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23.10.2026  |  373 Studien  |  longevity.m-vf.de</w:t>
      </w:r>
    </w:p>
    <w:p>
      <w:pPr>
        <w:pStyle w:val="Heading1"/>
      </w:pPr>
      <w:r>
        <w:t>Aufgenommen am 23.10.2026</w:t>
      </w:r>
    </w:p>
    <w:p>
      <w:pPr>
        <w:pStyle w:val="Heading2"/>
      </w:pPr>
      <w:r>
        <w:t>Interprofessionelle Schulung und Workflow verbessern geriatrisches Screening in Hausarztpraxen</w:t>
      </w:r>
    </w:p>
    <w:p>
      <w:r>
        <w:rPr>
          <w:i/>
          <w:color w:val="666666"/>
          <w:sz w:val="18"/>
        </w:rPr>
        <w:t>Litzelman DK et al.  ·  BMC Geriatr  ·  23.07.2026  ·  PMID 42907743</w:t>
      </w:r>
    </w:p>
    <w:p>
      <w:r>
        <w:t>US-amerikanische Studie mit 56 Hausärzten, 180 Assistenzärzten und 8818 älteren Patienten an acht Primärversorgungsstellen evaluierte ein Schulungs- und Systeminterventionsprogramm basierend auf dem Age-Friendly 4Ms-Rahmenwerk.</w:t>
      </w:r>
    </w:p>
    <w:p>
      <w:r>
        <w:rPr>
          <w:b/>
        </w:rPr>
        <w:t xml:space="preserve">Ergebnis: </w:t>
      </w:r>
      <w:r>
        <w:t>Nach Intervention verbesserten sich Screening-Raten für Demenz (OR 1,27, 95%-KI 0,98–1,63) und Sturzrisiko (OR 1,40, 95%-KI 1,00–1,95), mit Sturzrisiko-Screening zeigend die stärksten Verbesserungen (+0,64% pro Monat, p&lt;0,001). Kliniken mit stärkerer Systemintegration zeigten die robustesten Verbesserungen; Opioid-Screening und Advance-Care-Planning-Dokumentation nahmen ab.</w:t>
      </w:r>
    </w:p>
    <w:p>
      <w:r>
        <w:rPr>
          <w:b/>
          <w:sz w:val="19"/>
        </w:rPr>
        <w:t xml:space="preserve">Übertragbarkeit: </w:t>
      </w:r>
      <w:r>
        <w:rPr>
          <w:sz w:val="19"/>
        </w:rPr>
        <w:t>USA, Primärversorgung; Methoden auf deutsches Praxissystem übertragbar, aber Organisationsstruktur unterscheidet sich</w:t>
      </w:r>
    </w:p>
    <w:p>
      <w:r>
        <w:rPr>
          <w:color w:val="5A7D3A"/>
          <w:sz w:val="18"/>
        </w:rPr>
        <w:t>https://pubmed.ncbi.nlm.nih.gov/42907743/</w:t>
      </w:r>
    </w:p>
    <w:p>
      <w:pPr>
        <w:pStyle w:val="Heading2"/>
      </w:pPr>
      <w:r>
        <w:t>COVID-19 und Opioide kürzten Lebenserwartung in Kanada um 0,68 Jahre</w:t>
      </w:r>
    </w:p>
    <w:p>
      <w:r>
        <w:rPr>
          <w:i/>
          <w:color w:val="666666"/>
          <w:sz w:val="18"/>
        </w:rPr>
        <w:t>Sirag A et al.  ·  Health Rep  ·  21.10.2026  ·  PMID 42905875</w:t>
      </w:r>
    </w:p>
    <w:p>
      <w:r>
        <w:t>Kanadische Vital-Statistik-Studie verglich Sterblichkeits-Todesursachen-Stiftung zwischen 2017–2019 und 2020–2022 mittels Arriaga-Dekomposition, um die Beiträge einzelner Todesursachen zum Rückgang der Lebenserwartung bei der Geburt zu quantifizieren.</w:t>
      </w:r>
    </w:p>
    <w:p>
      <w:r>
        <w:rPr>
          <w:b/>
        </w:rPr>
        <w:t xml:space="preserve">Ergebnis: </w:t>
      </w:r>
      <w:r>
        <w:t>COVID-19 war der größte einzelne Beitrag zum Rückgang der Lebenserwartung bei der Geburt in Kanada (–0,46 Jahre für beide Geschlechter). Opioid-bedingte Todesfälle trugen –0,22 Jahre bei, während Krebserkrankungen einen geringen Anstieg (+0,17 Jahre) verursachten. Gesamtrückgang etwa 0,68 Jahre, hauptsächlich durch pandemic-direkte und indirekte Effekte.</w:t>
      </w:r>
    </w:p>
    <w:p>
      <w:r>
        <w:rPr>
          <w:b/>
          <w:sz w:val="19"/>
        </w:rPr>
        <w:t xml:space="preserve">Übertragbarkeit: </w:t>
      </w:r>
      <w:r>
        <w:rPr>
          <w:sz w:val="19"/>
        </w:rPr>
        <w:t>Kanada, vergleichbare Sozialversicherung und Lebenserwartung wie Deutschland; Methode und Prioritäten übertragbar</w:t>
      </w:r>
    </w:p>
    <w:p>
      <w:r>
        <w:rPr>
          <w:color w:val="5A7D3A"/>
          <w:sz w:val="18"/>
        </w:rPr>
        <w:t>https://pubmed.ncbi.nlm.nih.gov/42905875/</w:t>
      </w:r>
    </w:p>
    <w:p>
      <w:pPr>
        <w:pStyle w:val="Heading2"/>
      </w:pPr>
      <w:r>
        <w:t>Pflanzenbasierte Ernährung senkt Frailty-Risiko bei älteren Erwachsenen</w:t>
      </w:r>
    </w:p>
    <w:p>
      <w:r>
        <w:rPr>
          <w:i/>
          <w:color w:val="666666"/>
          <w:sz w:val="18"/>
        </w:rPr>
        <w:t>Lin J et al.  ·  Age Ageing  ·  03.08.2026  ·  PMID 42905723</w:t>
      </w:r>
    </w:p>
    <w:p>
      <w:r>
        <w:t>Studie mit 8628 älteren Erwachsenen aus drei Kohorten (CLHLS, HRS, ELSA) untersuchte die Assoziation verschiedener pflanzlicher Ernährungsmuster mit Frailty mittels Mundlak-Dekomposition.</w:t>
      </w:r>
    </w:p>
    <w:p>
      <w:r>
        <w:rPr>
          <w:b/>
        </w:rPr>
        <w:t xml:space="preserve">Ergebnis: </w:t>
      </w:r>
      <w:r>
        <w:t>Höhere Gesamtscores für pflanzenbasierte Diät waren mit niedrigerem Frailty-Risiko assoziiert (ORs 0,71–0,80 über alle drei Kohorten), während ungesunde pflanzliche Muster mit erhöhtem Risiko verbunden waren (ORs 1,24–1,41). Nüsse, Gemüse und Pflanzenöle zeigten überwiegend inverse Assoziationen mit mehreren Frailty-Domänen.</w:t>
      </w:r>
    </w:p>
    <w:p>
      <w:r>
        <w:rPr>
          <w:b/>
          <w:sz w:val="19"/>
        </w:rPr>
        <w:t xml:space="preserve">Übertragbarkeit: </w:t>
      </w:r>
      <w:r>
        <w:rPr>
          <w:sz w:val="19"/>
        </w:rPr>
        <w:t>UK, China, internationale Kohorten; Ernährungsmessungen und Frailty-Definition übertragbar auf deutsches Gesundheitssystem</w:t>
      </w:r>
    </w:p>
    <w:p>
      <w:r>
        <w:rPr>
          <w:color w:val="5A7D3A"/>
          <w:sz w:val="18"/>
        </w:rPr>
        <w:t>https://pubmed.ncbi.nlm.nih.gov/42905723/</w:t>
      </w:r>
    </w:p>
    <w:p>
      <w:pPr>
        <w:pStyle w:val="Heading2"/>
      </w:pPr>
      <w:r>
        <w:t>Multimorbidität kostet weltweit älteren Menschen 363 Milliarden Dollar pro Jahr</w:t>
      </w:r>
    </w:p>
    <w:p>
      <w:r>
        <w:rPr>
          <w:i/>
          <w:color w:val="666666"/>
          <w:sz w:val="18"/>
        </w:rPr>
        <w:t>Ji W et al.  ·  JAMA Netw Open  ·  01.10.2026  ·  PMID 42905709</w:t>
      </w:r>
    </w:p>
    <w:p>
      <w:r>
        <w:t>Globale ökonomische Evaluationsstudie mit Daten aus 204 Ländern (2000–2023) quantifizierte die gesundheitliche und finanzielle Last von Multimorbidität (78 Kombinationen) bei Erwachsenen ≥60 Jahren mittels Global Burden of Disease 2023 und makroökonomischen Daten.</w:t>
      </w:r>
    </w:p>
    <w:p>
      <w:r>
        <w:rPr>
          <w:b/>
        </w:rPr>
        <w:t xml:space="preserve">Ergebnis: </w:t>
      </w:r>
      <w:r>
        <w:t>Von 2000 bis 2023 stiegen die Jahre mit Behinderung (YLDs) von 2368 auf 2942 pro 100.000 Erwachsene ≥60 Jahren; wirtschaftliche Verluste nahmen von 80,1 Milliarden auf 363,25 Milliarden USD (kaufkraftparitätsbereinigt) zu. Schnellstes Wachstum: Diabetes, Angststörungen und Parkinson (AAPC 9,92% für Kosten). Höchste YLD-Rate: Osteoarthritis mit Alzheimer/Demenz (369,87 pro 100.000).</w:t>
      </w:r>
    </w:p>
    <w:p>
      <w:r>
        <w:rPr>
          <w:b/>
          <w:sz w:val="19"/>
        </w:rPr>
        <w:t xml:space="preserve">Übertragbarkeit: </w:t>
      </w:r>
      <w:r>
        <w:rPr>
          <w:sz w:val="19"/>
        </w:rPr>
        <w:t>Global, 204 Länder; Dimensionen und Trends übertragbar, aber absolute Kosten hängen von Finanzierungssystem und Lebenserwartung ab</w:t>
      </w:r>
    </w:p>
    <w:p>
      <w:r>
        <w:rPr>
          <w:color w:val="5A7D3A"/>
          <w:sz w:val="18"/>
        </w:rPr>
        <w:t>https://pubmed.ncbi.nlm.nih.gov/42905709/</w:t>
      </w:r>
    </w:p>
    <w:p>
      <w:pPr>
        <w:pStyle w:val="Heading2"/>
      </w:pPr>
      <w:r>
        <w:t>Feinstaub beschleunigt kardiovaskuläres Altern über Seneszenz und Entzündung</w:t>
      </w:r>
    </w:p>
    <w:p>
      <w:r>
        <w:rPr>
          <w:i/>
          <w:color w:val="666666"/>
          <w:sz w:val="18"/>
        </w:rPr>
        <w:t>Yadav P et al.  ·  Cardiovasc Toxicol  ·  21.10.2026  ·  PMID 42905338</w:t>
      </w:r>
    </w:p>
    <w:p>
      <w:r>
        <w:t>Scoping Review mit konzeptuellem PACA-Framework (Pollution-Accelerated Cardiovascular Aging) integrierte Evidenz zu Feinstaub-Exposition (PM2,5, ultrafeine Partikel) und kardiovaskulärem Altern durch Mitochondrien-Dysfunktion, Seneszenz, epigenetische Änderungen und autonome Dysregulation.</w:t>
      </w:r>
    </w:p>
    <w:p>
      <w:r>
        <w:rPr>
          <w:b/>
        </w:rPr>
        <w:t xml:space="preserve">Ergebnis: </w:t>
      </w:r>
      <w:r>
        <w:t>Framework schlägt Temporal-Evidence-Matrix vor, die Expositions-Kinetik, Lebensverlauf-Timing, Persistenz nach Expositions-Ende, Dosis-Wirkungs-Beziehungen und longitudinale Veränderungen relativ zu altersreferenzierten Vergleichern nutzt. Persistierende oder unvollständig reversible Defizite deuten auf chronische Verletzung hin; stärkere Evidenz für kardiovaskuläres Aging erfordert wiederholte Demonstration größerer Veränderungsraten als chronologisch erwartet.</w:t>
      </w:r>
    </w:p>
    <w:p>
      <w:r>
        <w:rPr>
          <w:b/>
          <w:sz w:val="19"/>
        </w:rPr>
        <w:t xml:space="preserve">Übertragbarkeit: </w:t>
      </w:r>
      <w:r>
        <w:rPr>
          <w:sz w:val="19"/>
        </w:rPr>
        <w:t>Überwiegend Tiermodelle und mechanistische Daten; PACA-Framework theoretisch, keine klinischen Endpunkte gemessen</w:t>
      </w:r>
    </w:p>
    <w:p>
      <w:r>
        <w:rPr>
          <w:color w:val="5A7D3A"/>
          <w:sz w:val="18"/>
        </w:rPr>
        <w:t>https://pubmed.ncbi.nlm.nih.gov/42905338/</w:t>
      </w:r>
    </w:p>
    <w:p>
      <w:pPr>
        <w:pStyle w:val="Heading2"/>
      </w:pPr>
      <w:r>
        <w:t>Frailty-Index prognostiziert post-ERCP-Pankreatitis bei älteren Patienten</w:t>
      </w:r>
    </w:p>
    <w:p>
      <w:r>
        <w:rPr>
          <w:i/>
          <w:color w:val="666666"/>
          <w:sz w:val="18"/>
        </w:rPr>
        <w:t>Zhang F et al.  ·  Clin Interv Aging  ·  16.10.2026  ·  PMID 42904120</w:t>
      </w:r>
    </w:p>
    <w:p>
      <w:r>
        <w:t>Retrospektive Studie von 696 älteren Patienten (≥65 Jahre), die sich einer endoskopischen retrograden Cholangiopankreatographie unterzogen, untersuchte den Zusammenhang zwischen präoperativer Frailty und post-ERCP-Pankreatitis mittels elektronischem Frailty-Index.</w:t>
      </w:r>
    </w:p>
    <w:p>
      <w:r>
        <w:rPr>
          <w:b/>
        </w:rPr>
        <w:t xml:space="preserve">Ergebnis: </w:t>
      </w:r>
      <w:r>
        <w:t>Von 696 Patienten entwickelten 79 (11,4%) eine post-ERCP-Pankreatitis. Nach multivariater Anpassung war Frailty mit höheren Chancen verbunden (OR 2,09, 95%-KI 1,08–4,05, p=0,028). Hinzunahme von Frailty zum Referenzmodell verbesserte die Diskrimination (AUC 0,714 zu 0,755, p=0,031); Netto-Reklassifizierungsverbesserung betrug 0,516.</w:t>
      </w:r>
    </w:p>
    <w:p>
      <w:r>
        <w:rPr>
          <w:b/>
          <w:sz w:val="19"/>
        </w:rPr>
        <w:t xml:space="preserve">Übertragbarkeit: </w:t>
      </w:r>
      <w:r>
        <w:rPr>
          <w:sz w:val="19"/>
        </w:rPr>
        <w:t>China; Frailty-Messung und Endoskopie-Risiken gelten international, aber Patientenpopulation und Gesundheitssystem unterscheiden sich</w:t>
      </w:r>
    </w:p>
    <w:p>
      <w:r>
        <w:rPr>
          <w:color w:val="5A7D3A"/>
          <w:sz w:val="18"/>
        </w:rPr>
        <w:t>https://pubmed.ncbi.nlm.nih.gov/42904120/</w:t>
      </w:r>
    </w:p>
    <w:p>
      <w:pPr>
        <w:pStyle w:val="Heading1"/>
      </w:pPr>
      <w:r>
        <w:t>Aufgenommen am 22.10.2026</w:t>
      </w:r>
    </w:p>
    <w:p>
      <w:pPr>
        <w:pStyle w:val="Heading2"/>
      </w:pPr>
      <w:r>
        <w:t>Notfallchirurgie bei über 90-Jährigen: regionale Unterschiede in der Langzeitsterblichkeit</w:t>
      </w:r>
    </w:p>
    <w:p>
      <w:r>
        <w:rPr>
          <w:i/>
          <w:color w:val="666666"/>
          <w:sz w:val="18"/>
        </w:rPr>
        <w:t>Suh JM et al.  ·  Crit Care  ·  25.07.2026  ·  PMID 42902313</w:t>
      </w:r>
    </w:p>
    <w:p>
      <w:r>
        <w:t>Nationale bevölkerungsbasierte Kohortenstudie an 4.887 über 90-Jährigen nach Notfalloperation mit Vergleich regionaler vs. metropolitaner Versorgung in Australien.</w:t>
      </w:r>
    </w:p>
    <w:p>
      <w:r>
        <w:rPr>
          <w:b/>
        </w:rPr>
        <w:t xml:space="preserve">Ergebnis: </w:t>
      </w:r>
      <w:r>
        <w:t>ICU- und Krankenhaussterblichkeit regional nicht unterschiedlich. Nach Entlassung regional/remote wohnhafte Patienten mit höherer 5-Jahres-Mortalität (adjustierte HR 1,133, 95%-KI 1,027–1,250, p=0,013). Überlebensvorteil der Metropolen erst nach Entlassung sichtbar.</w:t>
      </w:r>
    </w:p>
    <w:p>
      <w:r>
        <w:rPr>
          <w:b/>
          <w:sz w:val="19"/>
        </w:rPr>
        <w:t xml:space="preserve">Übertragbarkeit: </w:t>
      </w:r>
      <w:r>
        <w:rPr>
          <w:sz w:val="19"/>
        </w:rPr>
        <w:t>Australien, vergleichbare Gesundheitssysteme; zeigt Bedeutung regionaler Nachsorge für universelle Alterspopulation.</w:t>
      </w:r>
    </w:p>
    <w:p>
      <w:r>
        <w:rPr>
          <w:color w:val="5A7D3A"/>
          <w:sz w:val="18"/>
        </w:rPr>
        <w:t>https://pubmed.ncbi.nlm.nih.gov/42902313/</w:t>
      </w:r>
    </w:p>
    <w:p>
      <w:pPr>
        <w:pStyle w:val="Heading2"/>
      </w:pPr>
      <w:r>
        <w:t>Frühe Widrigkeiten und Lebensqualität im Alter: Langzeitfolgen für erfolgreiche Alternstrajectoria</w:t>
      </w:r>
    </w:p>
    <w:p>
      <w:r>
        <w:rPr>
          <w:i/>
          <w:color w:val="666666"/>
          <w:sz w:val="18"/>
        </w:rPr>
        <w:t>Yang K et al.  ·  BMC Geriatr  ·  24.07.2026  ·  PMID 42902202</w:t>
      </w:r>
    </w:p>
    <w:p>
      <w:r>
        <w:t>Prospektive Kohortenstudie an 3.092 älteren Chinesen, die vier Muster ungünstiger Kindheitserfahrungen mit Trajectoria gelungenen Alterns über acht Jahre verband.</w:t>
      </w:r>
    </w:p>
    <w:p>
      <w:r>
        <w:rPr>
          <w:b/>
        </w:rPr>
        <w:t xml:space="preserve">Ergebnis: </w:t>
      </w:r>
      <w:r>
        <w:t>Pervasive Adversität (OR 1,97, 95%-KI 1,10–3,83) und Haushalts-Dysfunktion (OR 1,36, 95%-KI 1,07–1,74) verbunden mit ungünstiger Trajectoria. Niedrige Schulbildung stärkster Prädiktor (OR 5,23, 95%-KI 3,84–7,13). Netzwerk-Analyse zeigte stärkere Koppelung von Kognition und chronischem Leiden in der Gruppe mit schlechterer Trajectoria.</w:t>
      </w:r>
    </w:p>
    <w:p>
      <w:r>
        <w:rPr>
          <w:b/>
          <w:sz w:val="19"/>
        </w:rPr>
        <w:t xml:space="preserve">Übertragbarkeit: </w:t>
      </w:r>
      <w:r>
        <w:rPr>
          <w:sz w:val="19"/>
        </w:rPr>
        <w:t>China, CHARLS-Daten; begrenzte Direktübertragbarkeit auf deutsche Versorgung, psychosoziale Mechanismen aber universal.</w:t>
      </w:r>
    </w:p>
    <w:p>
      <w:r>
        <w:rPr>
          <w:color w:val="5A7D3A"/>
          <w:sz w:val="18"/>
        </w:rPr>
        <w:t>https://pubmed.ncbi.nlm.nih.gov/42902202/</w:t>
      </w:r>
    </w:p>
    <w:p>
      <w:pPr>
        <w:pStyle w:val="Heading2"/>
      </w:pPr>
      <w:r>
        <w:t>Frailty und intraoperative Hypotonie bei älteren Patienten mit Hüftfrakturchirurgie</w:t>
      </w:r>
    </w:p>
    <w:p>
      <w:r>
        <w:rPr>
          <w:i/>
          <w:color w:val="666666"/>
          <w:sz w:val="18"/>
        </w:rPr>
        <w:t>Sutthibenjakul K et al.  ·  BMC Geriatr  ·  22.07.2026  ·  PMID 42902188</w:t>
      </w:r>
    </w:p>
    <w:p>
      <w:r>
        <w:t>Retrospektive Kohortenstudie an 522 Patienten ≥65 Jahren mit modifiziertem Frailty-Index zur Assoziation mit perioperativen Blutdruckabfällen.</w:t>
      </w:r>
    </w:p>
    <w:p>
      <w:r>
        <w:rPr>
          <w:b/>
        </w:rPr>
        <w:t xml:space="preserve">Ergebnis: </w:t>
      </w:r>
      <w:r>
        <w:t>Von 522 Patienten 23,8% gebrechlich, 57,1% mit intraoperativer Hypotonie (MAP &lt;65 mmHg). Frailty war nicht unabhängig mit Auftreten der Hypotonie assoziiert (OR 0,77, 95%-KI 0,38–1,53), aber gebrechliche Patienten zeigten längere kumulative Dauer der Hypotonie (p=0,045).</w:t>
      </w:r>
    </w:p>
    <w:p>
      <w:r>
        <w:rPr>
          <w:b/>
          <w:sz w:val="19"/>
        </w:rPr>
        <w:t xml:space="preserve">Übertragbarkeit: </w:t>
      </w:r>
      <w:r>
        <w:rPr>
          <w:sz w:val="19"/>
        </w:rPr>
        <w:t>Thailand, retrospektive Klinikdaten; Frailty-Assessment und perioperatives Monitoring als universelle Prinzipien übertragbar.</w:t>
      </w:r>
    </w:p>
    <w:p>
      <w:r>
        <w:rPr>
          <w:color w:val="5A7D3A"/>
          <w:sz w:val="18"/>
        </w:rPr>
        <w:t>https://pubmed.ncbi.nlm.nih.gov/42902188/</w:t>
      </w:r>
    </w:p>
    <w:p>
      <w:pPr>
        <w:pStyle w:val="Heading2"/>
      </w:pPr>
      <w:r>
        <w:t>Pflegen im Alter: Belastung, psychische Gesundheit und der Schutzeffekt sozialer Ressourcen</w:t>
      </w:r>
    </w:p>
    <w:p>
      <w:r>
        <w:rPr>
          <w:i/>
          <w:color w:val="666666"/>
          <w:sz w:val="18"/>
        </w:rPr>
        <w:t>Chaaya M et al.  ·  BMC Geriatr  ·  22.07.2026  ·  PMID 42902165</w:t>
      </w:r>
    </w:p>
    <w:p>
      <w:r>
        <w:t>Querschnittsstudie an 434 älteren Pflegepersonen im Libanon zur Assoziation zwischen Pflegebelastung und Depression/Angst sowie moderierenden Effekten.</w:t>
      </w:r>
    </w:p>
    <w:p>
      <w:r>
        <w:rPr>
          <w:b/>
        </w:rPr>
        <w:t xml:space="preserve">Ergebnis: </w:t>
      </w:r>
      <w:r>
        <w:t>36,4% mit hoher Pflegebelastung. Hohe Belastung verbunden mit um 7,65 Punkte höheren Depressionsscores (95%-KI 3,48–11,8) und 2,84 Punkte höheren Angstscores (95%-KI 0,73–4,95). Emotionale Unterstützung minderte signifikant den Belastungs-Depressionseffekt; finanzielle Ressourcen nicht.</w:t>
      </w:r>
    </w:p>
    <w:p>
      <w:r>
        <w:rPr>
          <w:b/>
          <w:sz w:val="19"/>
        </w:rPr>
        <w:t xml:space="preserve">Übertragbarkeit: </w:t>
      </w:r>
      <w:r>
        <w:rPr>
          <w:sz w:val="19"/>
        </w:rPr>
        <w:t>Libanon, ungleiche Gesundheitssysteme und Rentensicherung zu Deutschland, aber Mechanismus psychischer Belastung durch informale Pflege universal relevant.</w:t>
      </w:r>
    </w:p>
    <w:p>
      <w:r>
        <w:rPr>
          <w:color w:val="5A7D3A"/>
          <w:sz w:val="18"/>
        </w:rPr>
        <w:t>https://pubmed.ncbi.nlm.nih.gov/42902165/</w:t>
      </w:r>
    </w:p>
    <w:p>
      <w:pPr>
        <w:pStyle w:val="Heading2"/>
      </w:pPr>
      <w:r>
        <w:t>Lipid-Entzündung und Frailty als gemeinsame Treiber der cardiometabolischen Multimorbidität</w:t>
      </w:r>
    </w:p>
    <w:p>
      <w:r>
        <w:rPr>
          <w:i/>
          <w:color w:val="666666"/>
          <w:sz w:val="18"/>
        </w:rPr>
        <w:t>Zhao S et al.  ·  BMC Cardiovasc Disord  ·  25.07.2026  ·  PMID 42902143</w:t>
      </w:r>
    </w:p>
    <w:p>
      <w:r>
        <w:t>Nationale Kohortenstudie an 5.779 chinesischen Erwachsenen zur gemeinsamen Assoziation von Restcholesterin-Entzündungsindex und Frailty mit neuaufgetretener Multimorbidität.</w:t>
      </w:r>
    </w:p>
    <w:p>
      <w:r>
        <w:rPr>
          <w:b/>
        </w:rPr>
        <w:t xml:space="preserve">Ergebnis: </w:t>
      </w:r>
      <w:r>
        <w:t>510 Fälle Multimorbidität über Beobachtungszeit. Hoher RCII kombiniert mit Frailty zeigte HR 2,622 (95%-KI 1,972–3,488). Kumulativer RCII mit Frailty HR 2,849 (95%-KI 2,178–3,726). Modell mit kumulativem RCII und Frailty zeigte höheres AUC als reiner RCII (0,757 vs. 0,740). Additive/multiplikative Interaktion nach voller Anpassung nicht signifikant.</w:t>
      </w:r>
    </w:p>
    <w:p>
      <w:r>
        <w:rPr>
          <w:b/>
          <w:sz w:val="19"/>
        </w:rPr>
        <w:t xml:space="preserve">Übertragbarkeit: </w:t>
      </w:r>
      <w:r>
        <w:rPr>
          <w:sz w:val="19"/>
        </w:rPr>
        <w:t>China, CHARLS; lipidmetabolische Pathways aber transkulturelles Phänomen, Frailty-Screening in Primärversorgung universell.</w:t>
      </w:r>
    </w:p>
    <w:p>
      <w:r>
        <w:rPr>
          <w:color w:val="5A7D3A"/>
          <w:sz w:val="18"/>
        </w:rPr>
        <w:t>https://pubmed.ncbi.nlm.nih.gov/42902143/</w:t>
      </w:r>
    </w:p>
    <w:p>
      <w:pPr>
        <w:pStyle w:val="Heading2"/>
      </w:pPr>
      <w:r>
        <w:t>Wundinfektion nach Herzbypass bei gebrechlichen älteren Patienten: Risikofaktoren und Intervention</w:t>
      </w:r>
    </w:p>
    <w:p>
      <w:r>
        <w:rPr>
          <w:i/>
          <w:color w:val="666666"/>
          <w:sz w:val="18"/>
        </w:rPr>
        <w:t>Guerrieri M et al.  ·  JMIR Cardio  ·  16.10.2026  ·  PMID 42886572</w:t>
      </w:r>
    </w:p>
    <w:p>
      <w:r>
        <w:t>Retrospektive Multicenter-Studie an 467 gebrechlichen/pregebrechlichen Patienten ≥60 Jahren nach Koronarchirurgie zur Assoziation mit Wundinfektionen.</w:t>
      </w:r>
    </w:p>
    <w:p>
      <w:r>
        <w:rPr>
          <w:b/>
        </w:rPr>
        <w:t xml:space="preserve">Ergebnis: </w:t>
      </w:r>
      <w:r>
        <w:t>Wundinfektionsrate 5,6% (26/467). Im multivariaten Modell unabhängig assoziiert: Charlson-Komorbiditätsindex (OR 1,58, 95%-KI 1,25–1,99, p&lt;0,001) und Einsatz kardiopulmonaler Bypass (OR 4,89, 95%-KI 1,71–13,94, p=0,003). Komplikationsraten sonst zwischen Gruppen ähnlich.</w:t>
      </w:r>
    </w:p>
    <w:p>
      <w:r>
        <w:rPr>
          <w:b/>
          <w:sz w:val="19"/>
        </w:rPr>
        <w:t xml:space="preserve">Übertragbarkeit: </w:t>
      </w:r>
      <w:r>
        <w:rPr>
          <w:sz w:val="19"/>
        </w:rPr>
        <w:t>Brasilien, andere Gesundheitsfinanzierung; Frailty-stratifizierte perioperative Risikoadjustierung aber prinzipiell übertragbar.</w:t>
      </w:r>
    </w:p>
    <w:p>
      <w:r>
        <w:rPr>
          <w:color w:val="5A7D3A"/>
          <w:sz w:val="18"/>
        </w:rPr>
        <w:t>https://pubmed.ncbi.nlm.nih.gov/42886572/</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