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18.09.2026  |  6 Studien  |  longevity.m-vf.de</w:t>
      </w:r>
    </w:p>
    <w:p>
      <w:pPr>
        <w:pStyle w:val="Heading1"/>
      </w:pPr>
      <w:r>
        <w:t>Aufgenommen am 18.09.2026</w:t>
      </w:r>
    </w:p>
    <w:p>
      <w:pPr>
        <w:pStyle w:val="Heading2"/>
      </w:pPr>
      <w:r>
        <w:t>Kontrolltheorie des Alterns beschreibt sichere Dosierung und Sequenzierung geriatrischer Interventionen</w:t>
      </w:r>
    </w:p>
    <w:p>
      <w:r>
        <w:rPr>
          <w:i/>
          <w:color w:val="666666"/>
          <w:sz w:val="18"/>
        </w:rPr>
        <w:t>Zhavoronkov A et al.  ·  Aging (Albany NY)  ·  16.09.2026  ·  PMID 42754269</w:t>
      </w:r>
    </w:p>
    <w:p>
      <w:r>
        <w:t>Theoriearbeit entwickelt kontrolltheoretisches Rahmenwerk, das Altern als Verlust sicherer Kontrollierbarkeit definiert und präskriptive Dosierungs- und Sequenzierungsprotokolle für Geroprotektoren vorhersagt.</w:t>
      </w:r>
    </w:p>
    <w:p>
      <w:r>
        <w:rPr>
          <w:b/>
        </w:rPr>
        <w:t xml:space="preserve">Ergebnis: </w:t>
      </w:r>
      <w:r>
        <w:t>Biologisches Alter = minimale sichere Kontrollkosten für funktionale Wiederherstellung. Lie-Bracket-Analyse von 5-ODE-Modell zeigt Interventionsreihenfolge entscheidend. 20 falsfizierbare Vorhersagen; Kontrollwert-Reduktion prognostiziert translationalen Erfolg besser als Biomarker-Umkehr.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Konzeptuelle, nicht-empirische Arbeit; Übertragbarkeit hängt von Validierung in Patientenkohorten ab</w:t>
      </w:r>
    </w:p>
    <w:p>
      <w:r>
        <w:rPr>
          <w:color w:val="5A7D3A"/>
          <w:sz w:val="18"/>
        </w:rPr>
        <w:t>https://pubmed.ncbi.nlm.nih.gov/42754269/</w:t>
      </w:r>
    </w:p>
    <w:p>
      <w:pPr>
        <w:pStyle w:val="Heading2"/>
      </w:pPr>
      <w:r>
        <w:t>Computer- und Smartphone-Nutzung reduzieren Frailty bei älteren Erwachsenen</w:t>
      </w:r>
    </w:p>
    <w:p>
      <w:r>
        <w:rPr>
          <w:i/>
          <w:color w:val="666666"/>
          <w:sz w:val="18"/>
        </w:rPr>
        <w:t>Hori N et al.  ·  Geriatr Gerontol Int  ·  Sept. 2026  ·  PMID 42753144</w:t>
      </w:r>
    </w:p>
    <w:p>
      <w:r>
        <w:t>Querschnittsstudie untersuchte, ob Gesundheitsinformationen über Computer und Smartphone mit Frailty assoziiert sind, gemessen durch Mediation über Health Literacy bei 451 älteren Menschen.</w:t>
      </w:r>
    </w:p>
    <w:p>
      <w:r>
        <w:rPr>
          <w:b/>
        </w:rPr>
        <w:t xml:space="preserve">Ergebnis: </w:t>
      </w:r>
      <w:r>
        <w:t>33,8 % nutzten Computer/Smartphone für Gesundheitsinformation. Frailty-Prävalenz 3,5 %. Mediation über Health Literacy signifikant: β = 0,323 (95%-KI: 0,084–0,698). Keine Assoziation mit nur Robustness vs. Präfrailty.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vergleichbar mit deutschem Gesundheitswesen; einfacher Screening-Tool</w:t>
      </w:r>
    </w:p>
    <w:p>
      <w:r>
        <w:rPr>
          <w:color w:val="5A7D3A"/>
          <w:sz w:val="18"/>
        </w:rPr>
        <w:t>https://pubmed.ncbi.nlm.nih.gov/42753144/</w:t>
      </w:r>
    </w:p>
    <w:p>
      <w:pPr>
        <w:pStyle w:val="Heading2"/>
      </w:pPr>
      <w:r>
        <w:t>Frailty und Ernährungsstatus prägen Überleben älter Brustkrebspatientinnen</w:t>
      </w:r>
    </w:p>
    <w:p>
      <w:r>
        <w:rPr>
          <w:i/>
          <w:color w:val="666666"/>
          <w:sz w:val="18"/>
        </w:rPr>
        <w:t>Yang X et al.  ·  Cancer Med  ·  Sept. 2026  ·  PMID 42745681</w:t>
      </w:r>
    </w:p>
    <w:p>
      <w:r>
        <w:t>Retrospektive Studie entwickelte FINE Index (Frailty, Immunonutrition, TNM-Stadium) zur Vorhersage des Gesamtüberlebens bei 1.621 älteren Brustkrebspatientinnen (training n=1.132, validation n=489).</w:t>
      </w:r>
    </w:p>
    <w:p>
      <w:r>
        <w:rPr>
          <w:b/>
        </w:rPr>
        <w:t xml:space="preserve">Ergebnis: </w:t>
      </w:r>
      <w:r>
        <w:t>C-Index 0,767 (training), 0,739 (intern validation), 0,731 (extern validation). 3-, 5-, 10-Jahr-AUC &gt;0,7. Unabhängige Prädiktoren: Alter, PNI, TNM, mFI-5, Endokrintherapie. Besser als TNM allein.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(West-China Hospital), deutsche Kliniken nutzen ähnliche Frailty-Indices</w:t>
      </w:r>
    </w:p>
    <w:p>
      <w:r>
        <w:rPr>
          <w:color w:val="5A7D3A"/>
          <w:sz w:val="18"/>
        </w:rPr>
        <w:t>https://pubmed.ncbi.nlm.nih.gov/42745681/</w:t>
      </w:r>
    </w:p>
    <w:p>
      <w:pPr>
        <w:pStyle w:val="Heading2"/>
      </w:pPr>
      <w:r>
        <w:t>Orale Frailty korreliert mit BMI nur bei Sarkopenie-Risiko</w:t>
      </w:r>
    </w:p>
    <w:p>
      <w:r>
        <w:rPr>
          <w:i/>
          <w:color w:val="666666"/>
          <w:sz w:val="18"/>
        </w:rPr>
        <w:t>Hayase M et al.  ·  Nutrients  ·  28.08.2026  ·  PMID 42739007</w:t>
      </w:r>
    </w:p>
    <w:p>
      <w:r>
        <w:t>Querschnittstudie mit 3.829 älteren Japanern untersuchte Assoziation zwischen oraler Frailty und BMI-Kategorien, stratifiziert nach Sarkopenie-Status.</w:t>
      </w:r>
    </w:p>
    <w:p>
      <w:r>
        <w:rPr>
          <w:b/>
        </w:rPr>
        <w:t xml:space="preserve">Ergebnis: </w:t>
      </w:r>
      <w:r>
        <w:t>In Sarkopenie-Risikogruppe: Übergewicht OR 1,73 (95%-KI: 1,09–2,73), Untergewicht OR 1,44 (95%-KI: 1,07–1,95). Nicht-Sarkopenie-Gruppe: keine signifikante Assoziation.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80-Jährige; Frailty-Phenotyp mit praktischem Screening-Tool</w:t>
      </w:r>
    </w:p>
    <w:p>
      <w:r>
        <w:rPr>
          <w:color w:val="5A7D3A"/>
          <w:sz w:val="18"/>
        </w:rPr>
        <w:t>https://pubmed.ncbi.nlm.nih.gov/42739007/</w:t>
      </w:r>
    </w:p>
    <w:p>
      <w:pPr>
        <w:pStyle w:val="Heading2"/>
      </w:pPr>
      <w:r>
        <w:t>Funktionales Gehirnalter erfasst Heterogenität in Schizophrenien besser als strukturelle Parameter</w:t>
      </w:r>
    </w:p>
    <w:p>
      <w:r>
        <w:rPr>
          <w:i/>
          <w:color w:val="666666"/>
          <w:sz w:val="18"/>
        </w:rPr>
        <w:t>Volkmer S et al.  ·  Transl Psychiatry  ·  04.09.2026  ·  PMID 42697895</w:t>
      </w:r>
    </w:p>
    <w:p>
      <w:r>
        <w:t>Validierungsstudie untersuchte resting-state funktionales Gehirnalter (brain-age gap, BAG) bei Schizophreniespektrum-Störungen in vier Kohorten; innerhalb SSD assoziiert jüngeres Gehirnalter mit schlechterer Kognition.</w:t>
      </w:r>
    </w:p>
    <w:p>
      <w:r>
        <w:rPr>
          <w:b/>
        </w:rPr>
        <w:t xml:space="preserve">Ergebnis: </w:t>
      </w:r>
      <w:r>
        <w:t>SSD zeigte group-level BAG-Elevation 0,4–0,6. Innerhalb SSD: jüngeres Gehirnalter korreliert mit niedrigerer Kognition, längerer Krankheitsdauer, höheren neurologischen soft signs (NSS). Über 12–24 Wochen: BAG-Zunahme mit NSS-Motor-Reduktion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Schweiz, multizentrisches Design; Biomarker vorhersagewert offen</w:t>
      </w:r>
    </w:p>
    <w:p>
      <w:r>
        <w:rPr>
          <w:color w:val="5A7D3A"/>
          <w:sz w:val="18"/>
        </w:rPr>
        <w:t>https://pubmed.ncbi.nlm.nih.gov/42697895/</w:t>
      </w:r>
    </w:p>
    <w:p>
      <w:pPr>
        <w:pStyle w:val="Heading2"/>
      </w:pPr>
      <w:r>
        <w:t>Wahrnehmung des Alterns bei Männern 2013–2023 stabil trotz Gesundheitsbewusstsein</w:t>
      </w:r>
    </w:p>
    <w:p>
      <w:r>
        <w:rPr>
          <w:i/>
          <w:color w:val="666666"/>
          <w:sz w:val="18"/>
        </w:rPr>
        <w:t>Bejda G et al.  ·  Adv Clin Exp Med  ·  Aug. 2026  ·  PMID 42543032</w:t>
      </w:r>
    </w:p>
    <w:p>
      <w:r>
        <w:t>Vergleichende Querschnittstudie an 2013 und 2023 hospitalisierten Männern aus Polen untersuchte Veränderungen in Alterswahrnehmung und Gesundheitsverhalten mittels standardisierter Instrumente.</w:t>
      </w:r>
    </w:p>
    <w:p>
      <w:r>
        <w:rPr>
          <w:b/>
        </w:rPr>
        <w:t xml:space="preserve">Ergebnis: </w:t>
      </w:r>
      <w:r>
        <w:t>80,5 % (2013) vs. 75,9 % (2023) mit psychischen Alterssymptomen. Sexuelle Dysfunktion 65,8 % vs. 63,3 %. Testosterone-Abnahme als Altersmerkmal erwartet. Hohe Selbstwirksamkeit in beiden Kohorten. Unzureichendes Alterswissen bleibt.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 (Podlaskie), verwandter Sozialversicherungskontext</w:t>
      </w:r>
    </w:p>
    <w:p>
      <w:r>
        <w:rPr>
          <w:color w:val="5A7D3A"/>
          <w:sz w:val="18"/>
        </w:rPr>
        <w:t>https://pubmed.ncbi.nlm.nih.gov/42543032/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2026-09-18T06:00:00Z</dcterms:created>
  <dcterms:modified xsi:type="dcterms:W3CDTF">2026-09-18T06:00:00Z</dcterms:modified>
  <cp:category/>
</cp:coreProperties>
</file>