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04.10.2026  |  6 Studien  |  longevity.m-vf.de</w:t>
      </w:r>
    </w:p>
    <w:p>
      <w:pPr>
        <w:pStyle w:val="Heading1"/>
      </w:pPr>
      <w:r>
        <w:t>Aufgenommen am 04.10.2026</w:t>
      </w:r>
    </w:p>
    <w:p>
      <w:pPr>
        <w:pStyle w:val="Heading2"/>
      </w:pPr>
      <w:r>
        <w:t>Ernährungsscreening und Vorrehabilitation reduzieren Komplikationen bei älteren Frauen in der Krebschirurgie</w:t>
      </w:r>
    </w:p>
    <w:p>
      <w:r>
        <w:rPr>
          <w:i/>
          <w:color w:val="666666"/>
          <w:sz w:val="18"/>
        </w:rPr>
        <w:t>Feng Y et al.  ·  Front Public Health  ·  17.09.2026  ·  PMID 42824555</w:t>
      </w:r>
    </w:p>
    <w:p>
      <w:r>
        <w:t>Narrative Review zu Pflegeintervention bei älteren Frauen mit Krebs vor Operation: Frailty- und Ernährungsscreening, Dietitian-Referral, multimodale Prehabilitation und Enhanced Recovery.</w:t>
      </w:r>
    </w:p>
    <w:p>
      <w:r>
        <w:rPr>
          <w:b/>
        </w:rPr>
        <w:t xml:space="preserve">Ergebnis: </w:t>
      </w:r>
      <w:r>
        <w:t>Integrierten zwei-Schritt-Ansatz mit Frailty/Ernährungsscreening plus Multidimensionalem Assessment, Protein-Energie-Support und Mobilisierung in Enhanced-Recovery-Pathways wird empfohlen. Begründung: Ältere Frauen erleben Frailty-Malnutrition-Stress-Achse; Mangelernährung und Muskelabbau persistieren über Adjuvanztherapie hinaus. Wirkevidenz begrenzt auf funktionelle und ernährungsbezogene Outcomes, nicht nur Liegedauer.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Geriatrisches Assessments- und Ernährungskonzept ist in deutschen Kliniken strukturell etablierbar.</w:t>
      </w:r>
    </w:p>
    <w:p>
      <w:r>
        <w:rPr>
          <w:color w:val="5A7D3A"/>
          <w:sz w:val="18"/>
        </w:rPr>
        <w:t>https://pubmed.ncbi.nlm.nih.gov/42824555/</w:t>
      </w:r>
    </w:p>
    <w:p>
      <w:pPr>
        <w:pStyle w:val="Heading2"/>
      </w:pPr>
      <w:r>
        <w:t>Hitzebelastung verschlechtert funktionale Kapazität bei älteren Erwachsenen in China</w:t>
      </w:r>
    </w:p>
    <w:p>
      <w:r>
        <w:rPr>
          <w:i/>
          <w:color w:val="666666"/>
          <w:sz w:val="18"/>
        </w:rPr>
        <w:t>Huang L et al.  ·  BMC Public Health  ·  26.09.2026  ·  PMID 42823677</w:t>
      </w:r>
    </w:p>
    <w:p>
      <w:r>
        <w:t>Longitudinale Studie an 1.393 Chinesen (45–80 Jahre) über drei Wellen (2011–2015) zur Assoziation von Hitzewellentagen mit Trajektorien der intrinsischen Kapazität (WHO-Indikator für gesundes Altern).</w:t>
      </w:r>
    </w:p>
    <w:p>
      <w:r>
        <w:rPr>
          <w:b/>
        </w:rPr>
        <w:t xml:space="preserve">Ergebnis: </w:t>
      </w:r>
      <w:r>
        <w:t>Jeder zusätzliche Hitzewellentag erhöhte das Risiko der Low-declining-Trajektorie um 3,5 % (adjustierte RRR = 1,035; 95 % KI: 1,012–1,058; p = 0,003). Effekt war ausgeprägter bei geringerer Schulbildung (RRR = 1,07) und in ländlichen Regionen (RRR = 1,05). Kältespells zeigten keinen signifikanten Effekt. Klimawandel gefährdet funktionale Gesundheit sozioökonomisch benachteiligter älterer Menschen.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Funktionsfähigkeit als universales Konzept; Effektmodifikation durch Bildung und Wohnort relevant für alle Länder.</w:t>
      </w:r>
    </w:p>
    <w:p>
      <w:r>
        <w:rPr>
          <w:color w:val="5A7D3A"/>
          <w:sz w:val="18"/>
        </w:rPr>
        <w:t>https://pubmed.ncbi.nlm.nih.gov/42823677/</w:t>
      </w:r>
    </w:p>
    <w:p>
      <w:pPr>
        <w:pStyle w:val="Heading2"/>
      </w:pPr>
      <w:r>
        <w:t>Institutionelle Fragmentierung verstärkt Ungleichheit in der Langzeitpflege im asiatisch-pazifischen Raum</w:t>
      </w:r>
    </w:p>
    <w:p>
      <w:r>
        <w:rPr>
          <w:i/>
          <w:color w:val="666666"/>
          <w:sz w:val="18"/>
        </w:rPr>
        <w:t>Bhula-Or R et al.  ·  Australas J Ageing  ·  Dez. 2026  ·  PMID 42820354</w:t>
      </w:r>
    </w:p>
    <w:p>
      <w:r>
        <w:t>Qualitative Partizipative-Beobachtungs-Studie mit reflexiver Thematic Analysis über 107 Stakeholder (Policy, Wissenschaft, Zivilgesellschaft, Anbieter) aus ASEAN-Plus-Three während regionaler Politikdialogs 2025.</w:t>
      </w:r>
    </w:p>
    <w:p>
      <w:r>
        <w:rPr>
          <w:b/>
        </w:rPr>
        <w:t xml:space="preserve">Ergebnis: </w:t>
      </w:r>
      <w:r>
        <w:t>Drei zentrale Befunde: (1) institutionelle Fragmentierung wandelt frühere Benachteiligung in ungleiche Zugänge um; (2) Gemeinschaften fangen Lücken in formaler Pflege auf, verschieben aber nicht öffentliche Verantwortung; (3) Equity hängt von Neuverteilung von Mitsprache und sektorenübergreifender Koordination ab. Kosten fallen disproportional auf Frauen, ländliche und niedrigeinkommens-Ältere. Autorenvorschlag: nationale Koordinierungshubs als Lösungsarchitektur.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ASEAN-Region: Transferierbar für vergleichbare föderalistische/föderative Systeme; Koordinierungslücke relevant auch für Deutschland.</w:t>
      </w:r>
    </w:p>
    <w:p>
      <w:r>
        <w:rPr>
          <w:color w:val="5A7D3A"/>
          <w:sz w:val="18"/>
        </w:rPr>
        <w:t>https://pubmed.ncbi.nlm.nih.gov/42820354/</w:t>
      </w:r>
    </w:p>
    <w:p>
      <w:pPr>
        <w:pStyle w:val="Heading2"/>
      </w:pPr>
      <w:r>
        <w:t>Zervikale Atrophie übersteigt Alterseffekt bei Multiple Sklerose – besonders in 50ern und 60ern</w:t>
      </w:r>
    </w:p>
    <w:p>
      <w:r>
        <w:rPr>
          <w:i/>
          <w:color w:val="666666"/>
          <w:sz w:val="18"/>
        </w:rPr>
        <w:t>Jain K et al.  ·  Neurology  ·  27.10.2026  ·  PMID 42814910</w:t>
      </w:r>
    </w:p>
    <w:p>
      <w:r>
        <w:t>Cross-sectional Multizenterstudie (3 italienische Zentren) mit 480 gesunden Kontrollen und 1.295 MS-Patienten (18–70 Jahre): Untersuchung, ob MS eine krankheitsspezifische Reduktion der mittleren oberen zervikalen Rückenmarksarea (MUCCA) über Altern hinaus bewirkt, und ob diese durch Geschlecht und Erkrankungsbeginn moduliert wird.</w:t>
      </w:r>
    </w:p>
    <w:p>
      <w:r>
        <w:rPr>
          <w:b/>
        </w:rPr>
        <w:t xml:space="preserve">Ergebnis: </w:t>
      </w:r>
      <w:r>
        <w:t>Bei Kontrollen: MUCCA stieg bis späte 30er Jahre (p ≤ 0,033), sank nach 50 Jahren (p ≤ 0,008). MS-Patienten zeigten Z-Scores &lt; 0 ab 30 Jahren (p ≤ 0,039), besonders in 50ern und 60ern. Markanter früh-erwachsener Decline bis späte 40er, danach Abschwächung. Geschlechtsunterschiede nicht signifikant. Höhere Atrophie korreliert mit stärkerer Behinderung (ρ = 0,196–0,392, alle p &lt; 0,001). Rückenmarksatrophie ist sensitiver MS-Biomarker für Neurodegeneration jenseits reinen Alterns.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Deutschland: Neuroimaging-Daten aus europäischen Zentren mit vergleichbarer MS-Diagnostik; Transfer auf deutsche MS-Kohorten möglich.</w:t>
      </w:r>
    </w:p>
    <w:p>
      <w:r>
        <w:rPr>
          <w:color w:val="5A7D3A"/>
          <w:sz w:val="18"/>
        </w:rPr>
        <w:t>https://pubmed.ncbi.nlm.nih.gov/42814910/</w:t>
      </w:r>
    </w:p>
    <w:p>
      <w:pPr>
        <w:pStyle w:val="Heading2"/>
      </w:pPr>
      <w:r>
        <w:t>Kombinierte Bewegungs- und Ernährungsinterventionen beugen Frailty vor</w:t>
      </w:r>
    </w:p>
    <w:p>
      <w:r>
        <w:rPr>
          <w:i/>
          <w:color w:val="666666"/>
          <w:sz w:val="18"/>
        </w:rPr>
        <w:t>Aydin N et al.  ·  Orthop Nurs  ·  22.09.2026  ·  PMID 42809602</w:t>
      </w:r>
    </w:p>
    <w:p>
      <w:r>
        <w:t>Systematischer Review und Metaanalyse von 16 randomisierten Studien zu Frailty-Prävention bei Erwachsenen ab 65 Jahren.</w:t>
      </w:r>
    </w:p>
    <w:p>
      <w:r>
        <w:rPr>
          <w:b/>
        </w:rPr>
        <w:t xml:space="preserve">Ergebnis: </w:t>
      </w:r>
      <w:r>
        <w:t>Gesamteffektgröße: Hedges' g = –0,799 (95 % KI: –1,420 bis 0,179); Heterogenität hoch (I² = 97,32 %). Kombinierte Interventionen (Bewegung + Ernährung + integrierte Versorgung) zeigten größeren Effekt (g = 2,843; 95 % KI: 0,376–6,062) als einzelne Ansätze. Subgruppenunterschiede nicht signifikant (p = 0,080). Dauer und Frequenz von Bewegung sowie nutrizionale Unterstützung entscheidend.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Multimodale Prävention ist Standard; Metaanalyse belegt Notwendigkeit kombinierter Ansätze.</w:t>
      </w:r>
    </w:p>
    <w:p>
      <w:r>
        <w:rPr>
          <w:color w:val="5A7D3A"/>
          <w:sz w:val="18"/>
        </w:rPr>
        <w:t>https://pubmed.ncbi.nlm.nih.gov/42809602/</w:t>
      </w:r>
    </w:p>
    <w:p>
      <w:pPr>
        <w:pStyle w:val="Heading2"/>
      </w:pPr>
      <w:r>
        <w:t>Enactment-Kodierung verbessert prospektives Gedächtnis über alle Altersgruppen</w:t>
      </w:r>
    </w:p>
    <w:p>
      <w:r>
        <w:rPr>
          <w:i/>
          <w:color w:val="666666"/>
          <w:sz w:val="18"/>
        </w:rPr>
        <w:t>Stelz S et al.  ·  Memory  ·  21.08.2026  ·  PMID 42627881</w:t>
      </w:r>
    </w:p>
    <w:p>
      <w:r>
        <w:t>Randomisierte Studie an 373 Personen (Kinder bis Mittelalter) mit drei Kodierungsbedingungen (episodic future thinking, enactment encoding, Standard) und computerisierter prospektiver Gedächtnisaufgabe.</w:t>
      </w:r>
    </w:p>
    <w:p>
      <w:r>
        <w:rPr>
          <w:b/>
        </w:rPr>
        <w:t xml:space="preserve">Ergebnis: </w:t>
      </w:r>
      <w:r>
        <w:t>Enactment encoding führte zu signifikant besserer Leistung als episodic future thinking und Standard (Haupteffekt p &lt; 0,05). Vorteil war unabhängig von Altersgruppe – kein Alters-mal-Bedingung-Effekt (Erwartung widerlegt). Immediate Memory und Attention waren beste RBANS-Prädiktoren für alltägliche Funktionalität.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Universelle Kodierungsmethode, unabhängig von kognitiven Ressourcen im Alter anwendbar.</w:t>
      </w:r>
    </w:p>
    <w:p>
      <w:r>
        <w:rPr>
          <w:color w:val="5A7D3A"/>
          <w:sz w:val="18"/>
        </w:rPr>
        <w:t>https://pubmed.ncbi.nlm.nih.gov/42627881/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2026-10-04T06:00:00Z</dcterms:created>
  <dcterms:modified xsi:type="dcterms:W3CDTF">2026-10-04T06:00:00Z</dcterms:modified>
  <cp:category/>
</cp:coreProperties>
</file>