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11.09.2026  |  6 Studien  |  longevity.m-vf.de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Gesunde Arbeitsjahre: Länder- und individuelle Faktoren in multinationaler Kohorte</w:t>
      </w:r>
    </w:p>
    <w:p>
      <w:r>
        <w:rPr>
          <w:i/>
          <w:color w:val="666666"/>
          <w:sz w:val="18"/>
        </w:rPr>
        <w:t>Zhu J et al.  ·  PLoS Med  ·  10.09.2026  ·  PMID 42721193</w:t>
      </w:r>
    </w:p>
    <w:p>
      <w:r>
        <w:t>Multinational prospektive Kohortenstudie mit 79.833 Männern und 95.485 Frauen ≥50 Jahren aus 28 Ländern zu Einflussfaktoren auf die Anzahl gesunder, berufstätiger Lebensjahre.</w:t>
      </w:r>
    </w:p>
    <w:p>
      <w:r>
        <w:rPr>
          <w:b/>
        </w:rPr>
        <w:t xml:space="preserve">Ergebnis: </w:t>
      </w:r>
      <w:r>
        <w:t>Mit 50 Jahren: durchschnittliche Gesamtlebenserwartung 33,59 Jahre, davon 10,98 Jahre in Gesundheit und Erwerbstätigkeit (HWLE). Frauen: 9,82 Jahre HWLE, Männer: 12,36 Jahre. Verheiratung, höhere Bildung, gesunde Lebensstile verlängern HWLE. Schlaganfall reduziert HWLE um 5,49 Jahre. Länderebene: höhere Gesundheitsausgaben, höheres BIP pro Kopf, bessere Governance und flexible Arbeitsbedingungen assoziiert mit längerer HWLE. Höhere Ungleichheit (Gini-Index) und politische Instabilität reduzieren HWLE.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Länderübergreifend, einzelne europäische Länder eingeschlossen, zeigt Wirksamkeit von Prävention und Arbeitsbedingungen</w:t>
      </w:r>
    </w:p>
    <w:p>
      <w:r>
        <w:rPr>
          <w:color w:val="5A7D3A"/>
          <w:sz w:val="18"/>
        </w:rPr>
        <w:t>https://pubmed.ncbi.nlm.nih.gov/42721193/</w:t>
      </w:r>
    </w:p>
    <w:p>
      <w:pPr>
        <w:pStyle w:val="Heading2"/>
      </w:pPr>
      <w:r>
        <w:t>Biologisches Altern und Osteoarthritis-Risiko: Kohortenstudie UK Biobank</w:t>
      </w:r>
    </w:p>
    <w:p>
      <w:r>
        <w:rPr>
          <w:i/>
          <w:color w:val="666666"/>
          <w:sz w:val="18"/>
        </w:rPr>
        <w:t>Liu S et al.  ·  Int J Rheum Dis  ·  Sept. 2026  ·  PMID 42687813</w:t>
      </w:r>
    </w:p>
    <w:p>
      <w:r>
        <w:t>Querschnitts- und Längsschnittanalyse an 332.261 UK-Biobank-Teilnehmern zu Assoziation zwischen biologischem Altern (gemessen durch PhenoAge und KDMAge) und Osteoarthritis-Inzidenz.</w:t>
      </w:r>
    </w:p>
    <w:p>
      <w:r>
        <w:rPr>
          <w:b/>
        </w:rPr>
        <w:t xml:space="preserve">Ergebnis: </w:t>
      </w:r>
      <w:r>
        <w:t>55,4 % der Kohorte zeigten jüngeres biologisches Alter (PhenoAge Acceleration). Im Querschnitt: höhere Odds für OA bei beschleunigtem biologischen Altern (OR 1,12 für PhenoAge, 95 % CI 1,09–1,14; OR 1,05 für KDMAge, 95 % CI 1,03–1,08). Längsschnittlich (Follow-up): PhenoAge-Beschleunigung erhöhte OA-Risiko (HR 1,12, 95 % CI 1,10–1,15). KDMAge zeigte keine signifikante Längsassoziaton. Effekt stärker bei &gt;60 Jahren. Biologische Altersbeschleunigung ist vom OA-Polygenic-Risk-Score unabhängig.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vergleichbares englisches Sozialversicherungssystem, biomarkergestützte Risikovorhersage</w:t>
      </w:r>
    </w:p>
    <w:p>
      <w:r>
        <w:rPr>
          <w:color w:val="5A7D3A"/>
          <w:sz w:val="18"/>
        </w:rPr>
        <w:t>https://pubmed.ncbi.nlm.nih.gov/42687813/</w:t>
      </w:r>
    </w:p>
    <w:p>
      <w:pPr>
        <w:pStyle w:val="Heading2"/>
      </w:pPr>
      <w:r>
        <w:t>Hochaltrige in Deutschland: Demografie, regionale Ungleichheiten und Gesundheit</w:t>
      </w:r>
    </w:p>
    <w:p>
      <w:r>
        <w:rPr>
          <w:i/>
          <w:color w:val="666666"/>
          <w:sz w:val="18"/>
        </w:rPr>
        <w:t>Wolter B et al.  ·  Bundesgesundheitsblatt Gesundheitsforschung Gesundheitsschutz  ·  18.08.2026  ·  PMID 42611051</w:t>
      </w:r>
    </w:p>
    <w:p>
      <w:r>
        <w:t>Deutschlandweite Beschreibung der Demografie, Lebenslage und Gesundheit von über 80-Jährigen auf Basis der repräsentativen Studien Gesundheit 65+ und D80+.</w:t>
      </w:r>
    </w:p>
    <w:p>
      <w:r>
        <w:rPr>
          <w:b/>
        </w:rPr>
        <w:t xml:space="preserve">Ergebnis: </w:t>
      </w:r>
      <w:r>
        <w:t>Etwa ein Viertel der Hochaltrigen hat starke funktionale Einschränkungen (beide Datensätze konsistent). Männer zeigen bessere Alltagsfunktionalität als Frauen. Ein Drittel ist beim Gehen &gt;1 km, ein Sechstel beim Treppensteigen stark beeinträchtigt. Schwere Sehverluste bei 10 %, Hörverluste bei 27 %. Harninkontinenz betrifft 40 % (Frauen häufiger). 43 % sind pre-frail, 8,6 % frail. Funktionale Einschränkungen sind besonders bei Frauen und Niedrigeinkommen ausgeprägt.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Daten aus RKI und ceres, direkt anwendbar</w:t>
      </w:r>
    </w:p>
    <w:p>
      <w:r>
        <w:rPr>
          <w:color w:val="5A7D3A"/>
          <w:sz w:val="18"/>
        </w:rPr>
        <w:t>https://pubmed.ncbi.nlm.nih.gov/42611051/</w:t>
      </w:r>
    </w:p>
    <w:p>
      <w:pPr>
        <w:pStyle w:val="Heading2"/>
      </w:pPr>
      <w:r>
        <w:t>Präventive Hausbesuche zur Gesundheitsförderung älterer Menschen</w:t>
      </w:r>
    </w:p>
    <w:p>
      <w:r>
        <w:rPr>
          <w:i/>
          <w:color w:val="666666"/>
          <w:sz w:val="18"/>
        </w:rPr>
        <w:t>Blotenberg B et al.  ·  Bundesgesundheitsblatt Gesundheitsforschung Gesundheitsschutz  ·  13.08.2026  ·  PMID 42593520</w:t>
      </w:r>
    </w:p>
    <w:p>
      <w:r>
        <w:t>Diskussionsbeitrag zu Konzeption, Effektivität und Finanzierungserfordernissen präventiver Hausbesuche als niedrigschwellige Versorgungsform in Deutschland.</w:t>
      </w:r>
    </w:p>
    <w:p>
      <w:r>
        <w:rPr>
          <w:b/>
        </w:rPr>
        <w:t xml:space="preserve">Ergebnis: </w:t>
      </w:r>
      <w:r>
        <w:t>In Deutschland wachsende Zahl von Projekten mit unterschiedlichen Konzepten. PHB können Sturzrisiken, soziale Isolation und Ernährungsmängel früh erkennen und Versorgungskompetenz stärken. Zentrale Herausforderung: Langzeitfinanzierung und Verstetigung bislang projektförmig organisierter Angebote. Forderung: Bessere Verankerung in gesetzlicher Kranken- und Pflegeversicherung.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Gesundheitslandschaft, unmittelbar relevant für Finanzierungsdiskurs</w:t>
      </w:r>
    </w:p>
    <w:p>
      <w:r>
        <w:rPr>
          <w:color w:val="5A7D3A"/>
          <w:sz w:val="18"/>
        </w:rPr>
        <w:t>https://pubmed.ncbi.nlm.nih.gov/42593520/</w:t>
      </w:r>
    </w:p>
    <w:p>
      <w:pPr>
        <w:pStyle w:val="Heading2"/>
      </w:pPr>
      <w:r>
        <w:t>Körperliche Funktionsfähigkeit und Frailty im sehr hohen Alter</w:t>
      </w:r>
    </w:p>
    <w:p>
      <w:r>
        <w:rPr>
          <w:i/>
          <w:color w:val="666666"/>
          <w:sz w:val="18"/>
        </w:rPr>
        <w:t>Nowossadeck S et al.  ·  Bundesgesundheitsblatt Gesundheitsforschung Gesundheitsschutz  ·  11.08.2026  ·  PMID 42579141</w:t>
      </w:r>
    </w:p>
    <w:p>
      <w:r>
        <w:t>Analyse von Funktionsfähigkeit und Frailty bei über 80-Jährigen in deutschen Privathaushalten mit GALI und spezifischen Funktionsindikatoren.</w:t>
      </w:r>
    </w:p>
    <w:p>
      <w:r>
        <w:rPr>
          <w:b/>
        </w:rPr>
        <w:t xml:space="preserve">Ergebnis: </w:t>
      </w:r>
      <w:r>
        <w:t>Ein Viertel hat schwere funktionale Einschränkungen (GALI). Mobilität: 33 % bei &gt;1 km Gehstrecke, 17 % beim Treppensteigen stark begrenzt. Sensorische Defizite: 10 % Sehstörungen, 27 % Hörstörungen. Harninkontinenz 40 %. Robustheit 49 %, Pre-Frailty 43 %, Frailty 8,6 %. Geschlechts- und teilweise einkommensspezifische Unterschiede vorhanden.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Alternssurvey (DEAS) und Gesundheit 65+, direkt auf deutsches System übertragbar</w:t>
      </w:r>
    </w:p>
    <w:p>
      <w:r>
        <w:rPr>
          <w:color w:val="5A7D3A"/>
          <w:sz w:val="18"/>
        </w:rPr>
        <w:t>https://pubmed.ncbi.nlm.nih.gov/42579141/</w:t>
      </w:r>
    </w:p>
    <w:p>
      <w:pPr>
        <w:pStyle w:val="Heading2"/>
      </w:pPr>
      <w:r>
        <w:t>Genexpression in Mikroglia über die Lebensspanne: nichtlineare Muster und AD-Implikationen</w:t>
      </w:r>
    </w:p>
    <w:p>
      <w:r>
        <w:rPr>
          <w:i/>
          <w:color w:val="666666"/>
          <w:sz w:val="18"/>
        </w:rPr>
        <w:t>Muedano-Sosa A et al.  ·  Exp Gerontol  ·  01.10.2026  ·  PMID 42551772</w:t>
      </w:r>
    </w:p>
    <w:p>
      <w:r>
        <w:t>In-silico-Transkriptomanalyse öffentlicher Datensätze zur Charakterisierung von Genexpressions-Trajektorien während physiologischen und pathologischen Alterns von Mikroglia.</w:t>
      </w:r>
    </w:p>
    <w:p>
      <w:r>
        <w:rPr>
          <w:b/>
        </w:rPr>
        <w:t xml:space="preserve">Ergebnis: </w:t>
      </w:r>
      <w:r>
        <w:t>Physiologisches Alter der Mikroglia zeigt nichtlineare, spiegelsymmetrische Expressionsmuster bei Genen der Mitochondrienfunktion, lysosomalen Degradation und Immunantwort. Dieses Muster ist in humanen Daten konserviert. Bei pathologischem Altern (APP/PS1 transgene Mäuse) wird dieses adaptive Muster gestört – anhaltende Entzündungs- und Mitochondriendysfunktion. Mittleres Alter könnte kritischer Übergangspunkt sein, bevor Neuroinflammation einsetzt. Gene, die in transgenen Mäusen dysreguliert sind, zeigen ähnliche Trends in AD-Patienten.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Mausmodelle und humane Daten, grundlagenwissenschaftlich; translational zu AD</w:t>
      </w:r>
    </w:p>
    <w:p>
      <w:r>
        <w:rPr>
          <w:color w:val="5A7D3A"/>
          <w:sz w:val="18"/>
        </w:rPr>
        <w:t>https://pubmed.ncbi.nlm.nih.gov/42551772/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2026-09-11T06:00:00Z</dcterms:created>
  <dcterms:modified xsi:type="dcterms:W3CDTF">2026-09-11T06:00:00Z</dcterms:modified>
  <cp:category/>
</cp:coreProperties>
</file>