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27.08.2026  |  7 Studien  |  longevity.m-vf.de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Verzögerte Sterblichkeit und Multimorbiditätsaufbau bei Nachkommen von Hundertjährigen</w:t>
      </w:r>
    </w:p>
    <w:p>
      <w:r>
        <w:rPr>
          <w:i/>
          <w:color w:val="666666"/>
          <w:sz w:val="18"/>
        </w:rPr>
        <w:t>Reed ER et al.  ·  JAMA Netw Open  ·  03.08.2026  ·  PMID 42646838</w:t>
      </w:r>
    </w:p>
    <w:p>
      <w:r>
        <w:t>Studie an drei unabhängigen Kohorten (LonGenity, NECS, UK Biobank) verglich Sterblichkeit und Erkrankungsbeginn bei Nachkommen von Hundertjährigen (≥100 Jahre) mit Kontrollpersonen.</w:t>
      </w:r>
    </w:p>
    <w:p>
      <w:r>
        <w:rPr>
          <w:b/>
        </w:rPr>
        <w:t xml:space="preserve">Ergebnis: </w:t>
      </w:r>
      <w:r>
        <w:t>Hundertjährige-Nachkommen zeigten reduzierte Mortalität (HR 0,58; 95%-KI 0,41–0,81), verzögerter Beginn von Herzerkrankungen (HR 0,67) und Hypertonie (HR 0,68; Verzögerung 5,21 Jahre). Der Effekt ist konsistent über drei Länder und zeigt, dass Longevität familial transmittiert wird.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Großbritannien; Generalisierbarkeit durch multiple Länder hoch</w:t>
      </w:r>
    </w:p>
    <w:p>
      <w:r>
        <w:rPr>
          <w:color w:val="5A7D3A"/>
          <w:sz w:val="18"/>
        </w:rPr>
        <w:t>https://pubmed.ncbi.nlm.nih.gov/42646838/</w:t>
      </w:r>
    </w:p>
    <w:p>
      <w:pPr>
        <w:pStyle w:val="Heading2"/>
      </w:pPr>
      <w:r>
        <w:t>Gebrechlichkeit und periphere Schwindel-Inzidenz: Dosis-Wirkungs-Befund in UK Biobank</w:t>
      </w:r>
    </w:p>
    <w:p>
      <w:r>
        <w:rPr>
          <w:i/>
          <w:color w:val="666666"/>
          <w:sz w:val="18"/>
        </w:rPr>
        <w:t>Zhai Z et al.  ·  Front Neurol  ·  11.08.2026  ·  PMID 42643260</w:t>
      </w:r>
    </w:p>
    <w:p>
      <w:r>
        <w:t>489266 UK-Biobank-Teilnehmer wurden auf Assoziationen zwischen Frailty-Status (Fried-Phänotyp) und Inzidenz von Schwindel (Vertigo) über 13,2 Jahre Nachverfolgung untersucht.</w:t>
      </w:r>
    </w:p>
    <w:p>
      <w:r>
        <w:rPr>
          <w:b/>
        </w:rPr>
        <w:t xml:space="preserve">Ergebnis: </w:t>
      </w:r>
      <w:r>
        <w:t>Präfrailty (HR 1,36; 95%-KI 1,26–1,48) und Frailty (HR 2,05; 95%-KI 1,77–2,37) waren unabhängig mit erhöhtem Schwindel-Risiko assoziiert. Linearer Dosis-Wirkungs-Trend: jeder Punkt Frailty-Score erhöhte Risiko um 24% (95%-KI 19–29%). Effekt stärker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 Dokumentation; relevanter Befund für Sturzrisiko-Assessment</w:t>
      </w:r>
    </w:p>
    <w:p>
      <w:r>
        <w:rPr>
          <w:color w:val="5A7D3A"/>
          <w:sz w:val="18"/>
        </w:rPr>
        <w:t>https://pubmed.ncbi.nlm.nih.gov/42643260/</w:t>
      </w:r>
    </w:p>
    <w:p>
      <w:pPr>
        <w:pStyle w:val="Heading2"/>
      </w:pPr>
      <w:r>
        <w:t>Mobiltelefonnutzung und körperliche Gebrechlichkeit: temporale Querschnittsanalyse ohne kausale Assoziation</w:t>
      </w:r>
    </w:p>
    <w:p>
      <w:r>
        <w:rPr>
          <w:i/>
          <w:color w:val="666666"/>
          <w:sz w:val="18"/>
        </w:rPr>
        <w:t>Kong S et al.  ·  Front Public Health  ·  10.08.2026  ·  PMID 42638665</w:t>
      </w:r>
    </w:p>
    <w:p>
      <w:r>
        <w:t>5533 Personen der UK Biobank (40–70 Jahre) wurden über drei Wellen auf zeitliche Beziehungen zwischen wöchentlicher Telefonanrufdauer und vier Dimensionen von Frailty untersucht.</w:t>
      </w:r>
    </w:p>
    <w:p>
      <w:r>
        <w:rPr>
          <w:b/>
        </w:rPr>
        <w:t xml:space="preserve">Ergebnis: </w:t>
      </w:r>
      <w:r>
        <w:t>Nach Korrektur für multiples Testen (FDR) zeigten sich nur zwei schwache, intermittierende Assoziationen: psychische Frailty T1→Telefonzeit T2 (β 0,086, p_FDR 0,048) und soziale Frailty T2→Telefonzeit T3 (β 0,078, p_FDR 0,033). Keine robusten bidirektionalen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Ergebnis negativ (keine Effekt); Übertragbarkeit für Aussage 'kein Zusammenhang' gegeben</w:t>
      </w:r>
    </w:p>
    <w:p>
      <w:r>
        <w:rPr>
          <w:color w:val="5A7D3A"/>
          <w:sz w:val="18"/>
        </w:rPr>
        <w:t>https://pubmed.ncbi.nlm.nih.gov/42638665/</w:t>
      </w:r>
    </w:p>
    <w:p>
      <w:pPr>
        <w:pStyle w:val="Heading2"/>
      </w:pPr>
      <w:r>
        <w:t>Impfbotschaften im Fokus "gesundes Altern" erhöhen Impfintention bei älteren Erwachsenen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Querschnittsumfrage bei 2416 Personen ≥60 Jahren in Frankreich zu Effektivität von Impfbotschaften unter Einsatz von Social Marketing; drei Verhaltensadhärenz-Profile.</w:t>
      </w:r>
    </w:p>
    <w:p>
      <w:r>
        <w:rPr>
          <w:b/>
        </w:rPr>
        <w:t xml:space="preserve">Ergebnis: </w:t>
      </w:r>
      <w:r>
        <w:t>Zustimmung zu 'Impfung trägt zu gesundem Altern bei' stieg von 3% (niedrige Adhärenz) auf 56% (mittlere) und 78% (hohe). Botschaften zu Schlaganfall- und Herzinfarktreduktion zeigten höchste Impfabsicht (69% und 67% in hoher-Adhärenz-Gruppe). Vertrauenswürdige Gesundheitsfachleute waren Informationsquelle Nr. 1 (93–95%). Impfgutscheine: 57% (mittlere) bis 81% (hohe Adhärenz) würden sich impfen lassen.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europäisches Gesundheitssystem; Transfer für Kommunikationsstrategie hoch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Chair-Stand-Test als Mortalitätsprädiktor bei hochfunktionalen älteren Erwachsenen</w:t>
      </w:r>
    </w:p>
    <w:p>
      <w:r>
        <w:rPr>
          <w:i/>
          <w:color w:val="666666"/>
          <w:sz w:val="18"/>
        </w:rPr>
        <w:t>Máximo RO et al.  ·  Maturitas  ·  04.08.2026  ·  PMID 42570528</w:t>
      </w:r>
    </w:p>
    <w:p>
      <w:r>
        <w:t>2747 hochfunktionale ältere Erwachsene (Gehgeschwindigkeit &gt;0,8 oder &gt;1,0 m/s) der English Longitudinal Study of Ageing wurden 15 Jahre lang verfolgt; Mortalität nach Chair Stand Test und SPPB verglichen.</w:t>
      </w:r>
    </w:p>
    <w:p>
      <w:r>
        <w:rPr>
          <w:b/>
        </w:rPr>
        <w:t xml:space="preserve">Ergebnis: </w:t>
      </w:r>
      <w:r>
        <w:t>Mortalitätsraten: CST &gt;15 s: 41,4 pro 1000 Personenjahre vs. ≤15 s: 21,9. HR für CST &gt;15 s: 1,36 (95%-KI 1,13–1,62); für SPPB ≤10: HR 1,31 (95%-KI 1,12–1,54). Bei Gehgeschwindigkeit &gt;1,0 m/s: CST-HR 1,75 (95%-KI 1,30–2,36). CST ist einfacher anwendbar.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 Klinikpopulationen; schnelles, praktisches Test-Screening</w:t>
      </w:r>
    </w:p>
    <w:p>
      <w:r>
        <w:rPr>
          <w:color w:val="5A7D3A"/>
          <w:sz w:val="18"/>
        </w:rPr>
        <w:t>https://pubmed.ncbi.nlm.nih.gov/42570528/</w:t>
      </w:r>
    </w:p>
    <w:p>
      <w:pPr>
        <w:pStyle w:val="Heading2"/>
      </w:pPr>
      <w:r>
        <w:t>Renteneintritt und psychische Gesundheit: Kurzfristig besser, langfristig Erholung begrenzt</w:t>
      </w:r>
    </w:p>
    <w:p>
      <w:r>
        <w:rPr>
          <w:i/>
          <w:color w:val="666666"/>
          <w:sz w:val="18"/>
        </w:rPr>
        <w:t>Maddock J et al.  ·  Epidemiol Psychiatr Sci  ·  05.08.2026  ·  PMID 42552948</w:t>
      </w:r>
    </w:p>
    <w:p>
      <w:r>
        <w:t>Multilevel und instrumentale Variable Analyse bei 10698 Personen (48815 Beobachtungen) aus Survey of Health, Ageing and Retirement in Europe über 20 Jahre (10 Länder); Renteneintritt und Depressivität (EURO-D-Skala).</w:t>
      </w:r>
    </w:p>
    <w:p>
      <w:r>
        <w:rPr>
          <w:b/>
        </w:rPr>
        <w:t xml:space="preserve">Ergebnis: </w:t>
      </w:r>
      <w:r>
        <w:t>Spline-Modelle: minimal Veränderung vor Rente. Bei Renteneintritt leichte EURO-D-Reduktion (–0,07 Punkte/Jahr; 95%-KI –0,13 bis –0,0003), dann ab 2 Jahre post-Rente Anstieg (0,09/Jahr; 95%-KI 0,02–0,16). IV-Analyse: Rente assoziiert mit weniger Depressionssymptomen (–0,26; 95%-KI –0,45 bis –0,07). Alleinstehende berichteten höhere Depressivität, aber Wohnstatus moderierte Effekt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10 europäische Länder, vergleichbare Rentensysteme; Evidenz für deutsche Sozialversicherung relevant</w:t>
      </w:r>
    </w:p>
    <w:p>
      <w:r>
        <w:rPr>
          <w:color w:val="5A7D3A"/>
          <w:sz w:val="18"/>
        </w:rPr>
        <w:t>https://pubmed.ncbi.nlm.nih.gov/42552948/</w:t>
      </w:r>
    </w:p>
    <w:p>
      <w:pPr>
        <w:pStyle w:val="Heading2"/>
      </w:pPr>
      <w:r>
        <w:t>Sexuelle Gesundheit älterer Menschen in Hausarztpraxen: Barrieren und Handlungsempfehlungen</w:t>
      </w:r>
    </w:p>
    <w:p>
      <w:r>
        <w:rPr>
          <w:i/>
          <w:color w:val="666666"/>
          <w:sz w:val="18"/>
        </w:rPr>
        <w:t>Kocurkova A et al.  ·  Age Ageing  ·  02.07.2026  ·  PMID 42506889</w:t>
      </w:r>
    </w:p>
    <w:p>
      <w:r>
        <w:t>Qualitative Studie (16 halbstrukturierte Interviews) mit NHS-Hausarztfachkräften in England zur Erfahrung bei Gesprächen über Sexualität mit älteren Patienten.</w:t>
      </w:r>
    </w:p>
    <w:p>
      <w:r>
        <w:rPr>
          <w:b/>
        </w:rPr>
        <w:t xml:space="preserve">Ergebnis: </w:t>
      </w:r>
      <w:r>
        <w:t>Drei Hauptthemen identifiziert: (1) Unbewusste Annahmen, Fachleute-Unbehagen und Zeitmangel begrenzen Diskussionen; (2) körperliche Symptome sind 'natürliche Öffner', Gespräche bleiben aber medizinisch-fokussiert; (3) minimale Nutzung von Leitlinien, stattdessen Intuition/Erfahrung. Fachkräfte fordern klare, prägnante, psychologisch informierte Werkzeuge und Training. Sexuelle Gesundheit wird nicht als Qualitätsaspekt im Alter normalisiert.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NHS-Setting; Befunde zu Versorgungspraxen direkt übertragbar</w:t>
      </w:r>
    </w:p>
    <w:p>
      <w:r>
        <w:rPr>
          <w:color w:val="5A7D3A"/>
          <w:sz w:val="18"/>
        </w:rPr>
        <w:t>https://pubmed.ncbi.nlm.nih.gov/42506889/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