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16.09.2026  |  7 Studien  |  longevity.m-vf.de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Orale Gebrechlichkeit beeinträchtigt Alltagsfähigkeit durch schlechte Ernährung – Ernährungsstatus vermittelt</w:t>
      </w:r>
    </w:p>
    <w:p>
      <w:r>
        <w:rPr>
          <w:i/>
          <w:color w:val="666666"/>
          <w:sz w:val="18"/>
        </w:rPr>
        <w:t>Jiang W et al.  ·  Front Public Health  ·  31.08.2026  ·  PMID 42741152</w:t>
      </w:r>
    </w:p>
    <w:p>
      <w:r>
        <w:t>Querschnittsstudie mit 401 älteren Chengdu-Bewohnern (≥60 Jahre): untersuchte, ob orale Frailty (Zahnprobleme, Kaustörungen) die Alltagsfunktion beeinträchtigt und ob Malnutritionsrisiko diesen Zusammenhang mediert.</w:t>
      </w:r>
    </w:p>
    <w:p>
      <w:r>
        <w:rPr>
          <w:b/>
        </w:rPr>
        <w:t xml:space="preserve">Ergebnis: </w:t>
      </w:r>
      <w:r>
        <w:t>Orale Frailty korrelierte mit schlecherer Ernährung (B=–0,116; p=0,001) und niedriger ADL-Fähigkeit (Barthel-Index). Der direkte Assoziationseffekt blieb signifikant (B=–2,261; p=0,012), die indirekte Assoziation über Ernährung war klein aber signifikant (indirekt=–0,363; 95%-Bootstrap: –0,798 bis –0,044). Orale Frailty liegt bei 40,9 % vor, Malnutritionsrisiko bei 12,0 %.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Primärversorgung, Instrument ORALFRAIL übertragbar, Modell validierungsbedürftig für Deutschland</w:t>
      </w:r>
    </w:p>
    <w:p>
      <w:r>
        <w:rPr>
          <w:color w:val="5A7D3A"/>
          <w:sz w:val="18"/>
        </w:rPr>
        <w:t>https://pubmed.ncbi.nlm.nih.gov/42741152/</w:t>
      </w:r>
    </w:p>
    <w:p>
      <w:pPr>
        <w:pStyle w:val="Heading2"/>
      </w:pPr>
      <w:r>
        <w:t>Kurzzeitliches Prehab-Training steigert präoperative Funktionsfähigkeit fragiler Prostatapatienten</w:t>
      </w:r>
    </w:p>
    <w:p>
      <w:r>
        <w:rPr>
          <w:i/>
          <w:color w:val="666666"/>
          <w:sz w:val="18"/>
        </w:rPr>
        <w:t>Wang Z et al.  ·  BMC Geriatr  ·  24.07.2026  ·  PMID 42736541</w:t>
      </w:r>
    </w:p>
    <w:p>
      <w:r>
        <w:t>Randomisierte, verblindete Studie mit 80 älteren Männern (≥60 Jahre) mit Prostatakarzinom in prefrail/frail Zustand; geprüft, ob 12-tägiges Home-Prehabilitation (Bewegung, Ernährung, psychische Unterstützung) vor geplanter Prostatektomie die perioperative funktionelle Leistung verbessert.</w:t>
      </w:r>
    </w:p>
    <w:p>
      <w:r>
        <w:rPr>
          <w:b/>
        </w:rPr>
        <w:t xml:space="preserve">Ergebnis: </w:t>
      </w:r>
      <w:r>
        <w:t>Prehab-Gruppe verbesserte 6-Minuten-Gehstrecke um 27,70±16,86 m vor OP, Kontrollgruppe nur um –3,12±3,62 m; Differenz 30,82 m (95%-KI 25,32–36,33; p&lt;0,001). Postoperativ schnellere Mobilisierung, schnellere Magen-Darm-Erholung, kürzere Krankenhausliegedauer. Keine interventionsbezogenen Nebenereignisse.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Chinesische Klinikdaten, geriatrisches Prähabilitationskonzept übertragbar auf Deutschland</w:t>
      </w:r>
    </w:p>
    <w:p>
      <w:r>
        <w:rPr>
          <w:color w:val="5A7D3A"/>
          <w:sz w:val="18"/>
        </w:rPr>
        <w:t>https://pubmed.ncbi.nlm.nih.gov/42736541/</w:t>
      </w:r>
    </w:p>
    <w:p>
      <w:pPr>
        <w:pStyle w:val="Heading2"/>
      </w:pPr>
      <w:r>
        <w:t>Automatisierter Frailty-Index aus Labortests (FI-Lab) validiert akutes Mortalitätsrisiko</w:t>
      </w:r>
    </w:p>
    <w:p>
      <w:r>
        <w:rPr>
          <w:i/>
          <w:color w:val="666666"/>
          <w:sz w:val="18"/>
        </w:rPr>
        <w:t>Logan Ellis H et al.  ·  PLoS Med  ·  01.09.2026  ·  PMID 42678992</w:t>
      </w:r>
    </w:p>
    <w:p>
      <w:r>
        <w:t>Retrospektive multizentrische Studie an drei Kohorten (Boston, London, UK Biobank; insgesamt 872.744 Patienten), die einen aus 20-40 Standardlabortests berechneten automatisierten Frailty-Index zur Vorhersage der 1-Jahres-Mortalität in der Notaufnahme und klinischen Routine erprobte.</w:t>
      </w:r>
    </w:p>
    <w:p>
      <w:r>
        <w:rPr>
          <w:b/>
        </w:rPr>
        <w:t xml:space="preserve">Ergebnis: </w:t>
      </w:r>
      <w:r>
        <w:t>Der FI-Lab zeigte Hazard Ratios für 1-Jahres-Mortalität von 2,04 (95%-KI [1,99–2,09]) in MIMIC-IV-ED, 2,55 (95%-KI [2,42–2,69]) in King's College Hospital und 1,87 (95%-KI [1,80–1,94]) in UK Biobank pro Standardabweichung Anstieg – und übertraf damit den National Early Warning Score 2. Die Unterscheidungsfähigkeit stabilisierte sich bei 20–40 Tests. Ein pragmatisches, ohne zusätzliche Messungen anwendbares Instrument.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UK-Klinikdaten, Notaufnahme-Dokumentation übertragbar auf deutsche Krankenhaussysteme</w:t>
      </w:r>
    </w:p>
    <w:p>
      <w:r>
        <w:rPr>
          <w:color w:val="5A7D3A"/>
          <w:sz w:val="18"/>
        </w:rPr>
        <w:t>https://pubmed.ncbi.nlm.nih.gov/42678992/</w:t>
      </w:r>
    </w:p>
    <w:p>
      <w:pPr>
        <w:pStyle w:val="Heading2"/>
      </w:pPr>
      <w:r>
        <w:t>Intrinsic Capacity senkt kardiovaskuläres Risiko durch multidimensionale Funktionsmessung</w:t>
      </w:r>
    </w:p>
    <w:p>
      <w:r>
        <w:rPr>
          <w:i/>
          <w:color w:val="666666"/>
          <w:sz w:val="18"/>
        </w:rPr>
        <w:t>Zhang Z et al.  ·  Maturitas  ·  15.08.2026  ·  PMID 42612584</w:t>
      </w:r>
    </w:p>
    <w:p>
      <w:r>
        <w:t>Gepoolte Analyse dreier Langzeitkohorten (China, England, USA; 13.807 Probanden) untersuchte, ob Beeinträchtigungen in Intrinsic Capacity (Kognition, Mobilität, Vitalität, psychische Funktion, Sinnesfunktion) unabhängig und gemeinsam mit Hypertonie das Herzinfarkt- und Schlaganfallrisiko vorhersagen.</w:t>
      </w:r>
    </w:p>
    <w:p>
      <w:r>
        <w:rPr>
          <w:b/>
        </w:rPr>
        <w:t xml:space="preserve">Ergebnis: </w:t>
      </w:r>
      <w:r>
        <w:t>Gegenüber intakter Kapazität und normalen Blutdruckwerten zeigten beeinträchtigte IC (HR 1,53; 95%-KI 1,34–1,74), Hypertonie allein (HR 1,68; 95%-KI 1,46–1,93) und beide kombiniert (HR 2,29; 95%-KI 2,02–2,59) erhöhte kardiovaskuläre Ereignisrisiken. Das Modell mit IC-Messung erhöhte die C-Index-Diskriminierung von 0,619 auf 0,649. Progressive Risikozunahme mit jeder zusätzlich beeinträchtigten IC-Domäne.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Drei Kohorten auf vier Kontinenten, vergleichbare Outcomemessung, Übertragbarkeit hoch</w:t>
      </w:r>
    </w:p>
    <w:p>
      <w:r>
        <w:rPr>
          <w:color w:val="5A7D3A"/>
          <w:sz w:val="18"/>
        </w:rPr>
        <w:t>https://pubmed.ncbi.nlm.nih.gov/42612584/</w:t>
      </w:r>
    </w:p>
    <w:p>
      <w:pPr>
        <w:pStyle w:val="Heading2"/>
      </w:pPr>
      <w:r>
        <w:t>Multidomain-Rehabilitation nach Herzinfarkt wirkt auch bei Frailty – Frailty sollte nicht abschrecken</w:t>
      </w:r>
    </w:p>
    <w:p>
      <w:r>
        <w:rPr>
          <w:i/>
          <w:color w:val="666666"/>
          <w:sz w:val="18"/>
        </w:rPr>
        <w:t>Dal Passo B et al.  ·  Circ Popul Health Outcomes  ·  17.08.2026  ·  PMID 42605666</w:t>
      </w:r>
    </w:p>
    <w:p>
      <w:r>
        <w:t>Prespecified-Subgruppen-Analyse der italienischen PIpELINe-RCT mit 512 Patienten ≥65 Jahren nach Myokardinfarkt; getestet, ob Gebrechlichkeit (Fried-Phänotyp) den Nutzen von multidomäner Rehabilitation (Bewegung, Ernährung, Psyche, Beckenbodentraining) mindert.</w:t>
      </w:r>
    </w:p>
    <w:p>
      <w:r>
        <w:rPr>
          <w:b/>
        </w:rPr>
        <w:t xml:space="preserve">Ergebnis: </w:t>
      </w:r>
      <w:r>
        <w:t>68,4 % (350 von 512) waren prefrail/frail; davon profitierten die 232 der Interventionsgruppe signifikant mit 43 % relativem Risikoreduktion (HR 0,57; 95%-KI 0,34–0,94; p=0,028) für die primäre Endpunkte (kardiovaskulärer Tod oder ungeplante Hospitalisierung). Kein signifikanter Interaktionseffekt: Frailty mindert den Rehabilitations-Nutzen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Multizentrische italienische RCT, europäisches Setting, direkt auf deutsches Gesundheitswesen übertragbar</w:t>
      </w:r>
    </w:p>
    <w:p>
      <w:r>
        <w:rPr>
          <w:color w:val="5A7D3A"/>
          <w:sz w:val="18"/>
        </w:rPr>
        <w:t>https://pubmed.ncbi.nlm.nih.gov/42605666/</w:t>
      </w:r>
    </w:p>
    <w:p>
      <w:pPr>
        <w:pStyle w:val="Heading2"/>
      </w:pPr>
      <w:r>
        <w:t>Gebrechlichkeit steigert Demenzrisiko durch Entzündung, Stoffwechsel und vorzeigte Hirnalterung</w:t>
      </w:r>
    </w:p>
    <w:p>
      <w:r>
        <w:rPr>
          <w:i/>
          <w:color w:val="666666"/>
          <w:sz w:val="18"/>
        </w:rPr>
        <w:t>Chen W et al.  ·  J Nutr Health Aging  ·  10.07.2026  ·  PMID 42430904</w:t>
      </w:r>
    </w:p>
    <w:p>
      <w:r>
        <w:t>Kohortenstudie mit 452.516 UK-Biobank-Probanden ohne Demenz-Baseline, Verfolgung 13,7 Jahre: untersucht, ob der Fried-Frailty-Phänotyp das Demenzrisiko steigert und welche Pfade (Entzündung, Stoffwechsel, Hirn-Age-Gap) diese Assoziation vermitteln.</w:t>
      </w:r>
    </w:p>
    <w:p>
      <w:r>
        <w:rPr>
          <w:b/>
        </w:rPr>
        <w:t xml:space="preserve">Ergebnis: </w:t>
      </w:r>
      <w:r>
        <w:t>7.777 Demenzneuerkrankungen; Frailty erhöhte Risiko mit HR 2,21 (95%-KI 2,02–2,42). Mediation: Entzündungs-Score vermittelte 4 %, Stoffwechsel-Score 13 %, beschleunigtes Hirn-Alter (brain-age-gap) 20 % der Frailty-Demenz-Assoziation. Genetische Interaktion nachgewiesen (p=0,033).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Bildgebung, Biomarker, Konzept der Frailty-Prävention gegen Demenz auf deutsches Gesundheitswesen übertragbar</w:t>
      </w:r>
    </w:p>
    <w:p>
      <w:r>
        <w:rPr>
          <w:color w:val="5A7D3A"/>
          <w:sz w:val="18"/>
        </w:rPr>
        <w:t>https://pubmed.ncbi.nlm.nih.gov/42430904/</w:t>
      </w:r>
    </w:p>
    <w:p>
      <w:pPr>
        <w:pStyle w:val="Heading2"/>
      </w:pPr>
      <w:r>
        <w:t>Operative Belastung beschleunigt biologisches Altern, körperliche Aktivität puffert Effekt</w:t>
      </w:r>
    </w:p>
    <w:p>
      <w:r>
        <w:rPr>
          <w:i/>
          <w:color w:val="666666"/>
          <w:sz w:val="18"/>
        </w:rPr>
        <w:t>Wang X et al.  ·  J Nutr Health Aging  ·  09.07.2026  ·  PMID 42424841</w:t>
      </w:r>
    </w:p>
    <w:p>
      <w:r>
        <w:t>Querschnittanalyse von 126.668 UK-Biobank-Probanden ≥60 Jahren mit Operationsgeschichte: geprüft, ob Anzahl, Häufigkeit und zeitliche Nähe von Operationen das biologische Alter (PhenoAge-Acceleration) steigern und ob sportliche Aktivität diesen Effekt abschwächt.</w:t>
      </w:r>
    </w:p>
    <w:p>
      <w:r>
        <w:rPr>
          <w:b/>
        </w:rPr>
        <w:t xml:space="preserve">Ergebnis: </w:t>
      </w:r>
      <w:r>
        <w:t>≥4 Operationen assoziiert mit 0,14–0,39 Jahren PhenoAge-Acceleration. Operationen im Abstand ≤1 Jahr: +0,11 Jahre Beschleunigung. Operation ≤1 Jahr zurück: +0,35 Jahre Beschleunigung. Hohe körperliche Aktivität (≥600 MET-min/Woche) minderte diese Effekte deutlich; nur bei ≥5 Operationen blieb Beschleunigung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Operationsdaten und PhenoAge-Biomarker verfügbar, Aktivitätsbewertung übertragbar</w:t>
      </w:r>
    </w:p>
    <w:p>
      <w:r>
        <w:rPr>
          <w:color w:val="5A7D3A"/>
          <w:sz w:val="18"/>
        </w:rPr>
        <w:t>https://pubmed.ncbi.nlm.nih.gov/42424841/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