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26.10.2026  |  392 Studien  |  longevity.m-vf.de</w:t>
      </w:r>
    </w:p>
    <w:p>
      <w:pPr>
        <w:pStyle w:val="Heading1"/>
      </w:pPr>
      <w:r>
        <w:t>Aufgenommen am 26.10.2026</w:t>
      </w:r>
    </w:p>
    <w:p>
      <w:pPr>
        <w:pStyle w:val="Heading2"/>
      </w:pPr>
      <w:r>
        <w:t>Frailty-Assessments in präoperativer Geriatrie: systematische Übersicht von 35 Werkzeugen</w:t>
      </w:r>
    </w:p>
    <w:p>
      <w:r>
        <w:rPr>
          <w:i/>
          <w:color w:val="666666"/>
          <w:sz w:val="18"/>
        </w:rPr>
        <w:t>Chesney TR et al.  ·  BJS Open  ·  04.09.2026  ·  PMID 42925091</w:t>
      </w:r>
    </w:p>
    <w:p>
      <w:r>
        <w:t>Systematische Scoping Review von 160 Studien zu 35 Frailty-Messinstrumenten bei Personen ≥65 Jahren vor großen Operationen, untersucht anhand von 6 Performanzmetriken (Messeigenschaften, klinische Implikationen, praktische Faktoren).</w:t>
      </w:r>
    </w:p>
    <w:p>
      <w:r>
        <w:rPr>
          <w:b/>
        </w:rPr>
        <w:t xml:space="preserve">Ergebnis: </w:t>
      </w:r>
      <w:r>
        <w:t>Clinical Frailty Scale extensiv erforscht (4 von 6 Metriken), aber 40 % der Tools nur in einer Studie untersucht. Edmonton Frail Scale einziges Tool über alle 6 Metriken validiert. FRAIL scale, Geriatric 8 und Vulnerable Elders Survey-13 zeigen gute Balance zwischen Simplizität und Evidenzlage. Prädiktive Validität am meisten untersucht, während klinische Auswirkungen und Implementierungsfaktoren untererforscht.</w:t>
      </w:r>
    </w:p>
    <w:p>
      <w:r>
        <w:rPr>
          <w:b/>
          <w:sz w:val="19"/>
        </w:rPr>
        <w:t xml:space="preserve">Übertragbarkeit: </w:t>
      </w:r>
      <w:r>
        <w:rPr>
          <w:sz w:val="19"/>
        </w:rPr>
        <w:t>Kanada, Cochrane Review – internationale Standards; Auswahl übertragbar auf deutschsprachige Kliniken.</w:t>
      </w:r>
    </w:p>
    <w:p>
      <w:r>
        <w:rPr>
          <w:color w:val="5A7D3A"/>
          <w:sz w:val="18"/>
        </w:rPr>
        <w:t>https://pubmed.ncbi.nlm.nih.gov/42925091/</w:t>
      </w:r>
    </w:p>
    <w:p>
      <w:pPr>
        <w:pStyle w:val="Heading2"/>
      </w:pPr>
      <w:r>
        <w:t>Arbeitsplatzmaßnahmen für gesundes Altern: Verfügbarkeit und Effekt auf Arbeitsfähigkeit in Italien</w:t>
      </w:r>
    </w:p>
    <w:p>
      <w:r>
        <w:rPr>
          <w:i/>
          <w:color w:val="666666"/>
          <w:sz w:val="18"/>
        </w:rPr>
        <w:t>Dragano N et al.  ·  Med Lav  ·  23.10.2026  ·  PMID 42925044</w:t>
      </w:r>
    </w:p>
    <w:p>
      <w:r>
        <w:t>Querschnittstudie an 3.741 berufstätigen Personen im Alter 50–65 Jahren in Italien, die Verfügbarkeit von 20 Maßnahmen zur Förderung gesunden Alterns sowie deren Assoziationen mit dem Work Ability Index (WAI) untersuchte.</w:t>
      </w:r>
    </w:p>
    <w:p>
      <w:r>
        <w:rPr>
          <w:b/>
        </w:rPr>
        <w:t xml:space="preserve">Ergebnis: </w:t>
      </w:r>
      <w:r>
        <w:t>Durchschnittliche Verfügbarkeit von 5 von 20 Maßnahmen (viele unter 20 % der Arbeitnehmer); weniger verfügbar für Frauen, mit niedrigem Einkommen, in bestimmten Wirtschaftssektoren und bei befristeten Verträgen. Höhere Verfügbarkeit von Maßnahmen assoziiert mit besserem WAI (β = 0,107; 95%-KI 0,058–0,157). Implementierung bleibt noch deutlich ausbaubar, besonders für benachteiligte Arbeitnehmergruppen.</w:t>
      </w:r>
    </w:p>
    <w:p>
      <w:r>
        <w:rPr>
          <w:b/>
          <w:sz w:val="19"/>
        </w:rPr>
        <w:t xml:space="preserve">Übertragbarkeit: </w:t>
      </w:r>
      <w:r>
        <w:rPr>
          <w:sz w:val="19"/>
        </w:rPr>
        <w:t>Italien/DACH-Nachbar, vergleichbarer Arbeitsmarkt und Sozialversicherung.</w:t>
      </w:r>
    </w:p>
    <w:p>
      <w:r>
        <w:rPr>
          <w:color w:val="5A7D3A"/>
          <w:sz w:val="18"/>
        </w:rPr>
        <w:t>https://pubmed.ncbi.nlm.nih.gov/42925044/</w:t>
      </w:r>
    </w:p>
    <w:p>
      <w:pPr>
        <w:pStyle w:val="Heading2"/>
      </w:pPr>
      <w:r>
        <w:t>Digitale Teilhabe älterer Menschen mit Gebrechlichkeit: qualitative Analyse von fünf Nutzer-Profilen</w:t>
      </w:r>
    </w:p>
    <w:p>
      <w:r>
        <w:rPr>
          <w:i/>
          <w:color w:val="666666"/>
          <w:sz w:val="18"/>
        </w:rPr>
        <w:t>Ren K et al.  ·  Front Public Health  ·  08.10.2026  ·  PMID 42923139</w:t>
      </w:r>
    </w:p>
    <w:p>
      <w:r>
        <w:t>Qualitative Studie mit 24 älteren Erwachsenen mit Interneterfahrung, die Muster der Internetnutzung nach Gebrechlichkeit mittels semi-strukturierter Interviews und inductiver Inhaltsanalyse mit Entwicklung von fünf User-Personas analysierte.</w:t>
      </w:r>
    </w:p>
    <w:p>
      <w:r>
        <w:rPr>
          <w:b/>
        </w:rPr>
        <w:t xml:space="preserve">Ergebnis: </w:t>
      </w:r>
      <w:r>
        <w:t>Fünf Personas identifiziert: Health-Empowered Integrators, Basic-Function Adapters, Entertainment-Oriented Users, Resource-Limited Users, Health-Affected Users. Kernfindung: Gebrechlichkeit korreliert nicht direkt mit Internetnutzung; stattdessen bestimmen Gesundheitsfunktionsfähigkeit, digitale Kompetenzen, Bildungsressourcen und soziale Unterstützung gemeinsam die Muster. Gezielte Unterstützung nach Persona-Merkmalen könnte digitale Gerechtigkeit und Zugang zu Gesundheitsressourcen verbessern.</w:t>
      </w:r>
    </w:p>
    <w:p>
      <w:r>
        <w:rPr>
          <w:b/>
          <w:sz w:val="19"/>
        </w:rPr>
        <w:t xml:space="preserve">Übertragbarkeit: </w:t>
      </w:r>
      <w:r>
        <w:rPr>
          <w:sz w:val="19"/>
        </w:rPr>
        <w:t>China, qualitative Methode universell; Persona-Ansatz zur Gesundheitsdigitalisierung übertragbar.</w:t>
      </w:r>
    </w:p>
    <w:p>
      <w:r>
        <w:rPr>
          <w:color w:val="5A7D3A"/>
          <w:sz w:val="18"/>
        </w:rPr>
        <w:t>https://pubmed.ncbi.nlm.nih.gov/42923139/</w:t>
      </w:r>
    </w:p>
    <w:p>
      <w:pPr>
        <w:pStyle w:val="Heading2"/>
      </w:pPr>
      <w:r>
        <w:t>Integrierte Altenpolitik und Lebensqualität: Difference-in-Differences-Analyse über 24 Länder</w:t>
      </w:r>
    </w:p>
    <w:p>
      <w:r>
        <w:rPr>
          <w:i/>
          <w:color w:val="666666"/>
          <w:sz w:val="18"/>
        </w:rPr>
        <w:t>Tu Y et al.  ·  Front Public Health  ·  09.10.2026  ·  PMID 42920700</w:t>
      </w:r>
    </w:p>
    <w:p>
      <w:r>
        <w:t>Differenzen-in-Differenzen-Analyse mit Daten von 24 Ländern (2018–2025), vergleichend 11 Länder mit nationalen integrierten Altenpflegepolitiken (2021–2022 eingeführt) mit 13 Kontrollländern, Endpunkte Lebensqualitätsindex und Lebenserwartung mit 60 Jahren.</w:t>
      </w:r>
    </w:p>
    <w:p>
      <w:r>
        <w:rPr>
          <w:b/>
        </w:rPr>
        <w:t xml:space="preserve">Ergebnis: </w:t>
      </w:r>
      <w:r>
        <w:t>Politikadoption assoziiert mit +3,84 Punkten im Lebensqualitätsindex (95%-KI 2,39–5,30; p&lt;0,01; 0,33 SD) und +1,13 Jahren Lebenserwartung mit 60 Jahren (95%-KI 0,50–1,75; p&lt;0,01; 0,36 SD). Effekte stiegen von Jahr 1 (1,26 Punkte) auf Jahr 3 nach Einführung (3,84 Punkte). Mechanismen: Erhöhte universelle Krankenversicherung (+4,13), Ausweitung Sozialschutz (+5,28), reduzierte Selbstbeteiligung (−3,42). Effekte robuster in Ländern mit niedrigerem Einkommen.</w:t>
      </w:r>
    </w:p>
    <w:p>
      <w:r>
        <w:rPr>
          <w:b/>
          <w:sz w:val="19"/>
        </w:rPr>
        <w:t xml:space="preserve">Übertragbarkeit: </w:t>
      </w:r>
      <w:r>
        <w:rPr>
          <w:sz w:val="19"/>
        </w:rPr>
        <w:t>Globale Evidenz, DACH-orientiert; Ergebnis hängt an Finanzierungssystem – teilweise übertragbar auf deutsche Ländermodelle.</w:t>
      </w:r>
    </w:p>
    <w:p>
      <w:r>
        <w:rPr>
          <w:color w:val="5A7D3A"/>
          <w:sz w:val="18"/>
        </w:rPr>
        <w:t>https://pubmed.ncbi.nlm.nih.gov/42920700/</w:t>
      </w:r>
    </w:p>
    <w:p>
      <w:pPr>
        <w:pStyle w:val="Heading2"/>
      </w:pPr>
      <w:r>
        <w:t>Clinical Frailty Scale: Assoziationen mit Lebensqualität bei akut hospitalisierten Älteren</w:t>
      </w:r>
    </w:p>
    <w:p>
      <w:r>
        <w:rPr>
          <w:i/>
          <w:color w:val="666666"/>
          <w:sz w:val="18"/>
        </w:rPr>
        <w:t>Roa Santervas L et al.  ·  J Frailty Aging  ·  17.10.2026  ·  PMID 42891948</w:t>
      </w:r>
    </w:p>
    <w:p>
      <w:r>
        <w:t>Cross-sektonale Studie an 382 Patienten ≥70 Jahren in einer norwegischen Notfallaufnahme, die Zusammenhänge zwischen Clinical Frailty Scale und allgemeiner sowie oraler gesundheitsbezogener Lebensqualität untersuchte.</w:t>
      </w:r>
    </w:p>
    <w:p>
      <w:r>
        <w:rPr>
          <w:b/>
        </w:rPr>
        <w:t xml:space="preserve">Ergebnis: </w:t>
      </w:r>
      <w:r>
        <w:t>Zunehmende Gebrechlichkeit war signifikant mit niedrigeren 15D-Scores assoziiert (adjustiertes B −0,053; 95%-KI −0,061 bis −0,045), höheren Odds für niedrigere Lebenszufriedenheit (adjustierte OR 1,19; 95%-KI 1,02–1,39) und höheren Odds für negative Auswirkungen der Mundgesundheit (adjustierte OR 1,25; 95%-KI 1,05–1,48). Einfache Frailty-Bewertung bei akuter Aufnahme kann Patienten mit schlechterer Lebensqualität identifizieren.</w:t>
      </w:r>
    </w:p>
    <w:p>
      <w:r>
        <w:rPr>
          <w:b/>
          <w:sz w:val="19"/>
        </w:rPr>
        <w:t xml:space="preserve">Übertragbarkeit: </w:t>
      </w:r>
      <w:r>
        <w:rPr>
          <w:sz w:val="19"/>
        </w:rPr>
        <w:t>Norwegen, vergleichbares Versicherungssystem, ähnliche Notfallversorgungsstruktur.</w:t>
      </w:r>
    </w:p>
    <w:p>
      <w:r>
        <w:rPr>
          <w:color w:val="5A7D3A"/>
          <w:sz w:val="18"/>
        </w:rPr>
        <w:t>https://pubmed.ncbi.nlm.nih.gov/42891948/</w:t>
      </w:r>
    </w:p>
    <w:p>
      <w:pPr>
        <w:pStyle w:val="Heading2"/>
      </w:pPr>
      <w:r>
        <w:t>Gemeindeübungen und Funktionsbesserung bei älteren Menschen mit Gebrechlichkeit</w:t>
      </w:r>
    </w:p>
    <w:p>
      <w:r>
        <w:rPr>
          <w:i/>
          <w:color w:val="666666"/>
          <w:sz w:val="18"/>
        </w:rPr>
        <w:t>O'Shea M et al.  ·  J Frailty Aging  ·  05.10.2026  ·  PMID 42832337</w:t>
      </w:r>
    </w:p>
    <w:p>
      <w:r>
        <w:t>Prospektive Kohortenstudie mit 1.290 Teilnehmern (Durchschnittsalter 69 Jahre) in einem irischen, medizinisch betreuten Gruppentrainingsprogramm, stratifiziert nach Baseline-Gebrechlichkeit über 24 Wochen.</w:t>
      </w:r>
    </w:p>
    <w:p>
      <w:r>
        <w:rPr>
          <w:b/>
        </w:rPr>
        <w:t xml:space="preserve">Ergebnis: </w:t>
      </w:r>
      <w:r>
        <w:t>Bei Baseline 15 % fraile, 23 % präfraile, 62 % robuste Teilnehmer. Fraile Patienten zeigten Verbesserungen in Gehgeschwindigkeit, Timed Up and Go, sechsminütigem Gehtest und EQVAS zwischen Baseline und Woche 24; Präfraile in Sit-to-Stand, sechsminütigem Test und EQVAS; robuste in allen Maßnahmen. Programm war mit Funktionsverbesserungen über alle Frailty-Gruppen hinweg assoziiert.</w:t>
      </w:r>
    </w:p>
    <w:p>
      <w:r>
        <w:rPr>
          <w:b/>
          <w:sz w:val="19"/>
        </w:rPr>
        <w:t xml:space="preserve">Übertragbarkeit: </w:t>
      </w:r>
      <w:r>
        <w:rPr>
          <w:sz w:val="19"/>
        </w:rPr>
        <w:t>Irland, vergleichbares Primärversorgungssystem, Community-Setting übertragbar.</w:t>
      </w:r>
    </w:p>
    <w:p>
      <w:r>
        <w:rPr>
          <w:color w:val="5A7D3A"/>
          <w:sz w:val="18"/>
        </w:rPr>
        <w:t>https://pubmed.ncbi.nlm.nih.gov/42832337/</w:t>
      </w:r>
    </w:p>
    <w:p>
      <w:pPr>
        <w:pStyle w:val="Heading2"/>
      </w:pPr>
      <w:r>
        <w:t>Gebrechlichkeit und Palliativbedarf: Unterscheidung durch Fachleute – qualitative Fallstudiensynthese</w:t>
      </w:r>
    </w:p>
    <w:p>
      <w:r>
        <w:rPr>
          <w:i/>
          <w:color w:val="666666"/>
          <w:sz w:val="18"/>
        </w:rPr>
        <w:t>van der Ploeg T et al.  ·  J Frailty Aging  ·  05.09.2026  ·  PMID 42700391</w:t>
      </w:r>
    </w:p>
    <w:p>
      <w:r>
        <w:t>Qualitative Studie mit 15 Fallstudien, präsentiert an Fachleute in Niederlanden und Belgien (n=Respondenten mit Expertise), die Fähigkeit zur Unterscheidung zwischen Frailty-Komponenten und Palliativbedarf sowie Sicherheit dieser Urteile untersuchte.</w:t>
      </w:r>
    </w:p>
    <w:p>
      <w:r>
        <w:rPr>
          <w:b/>
        </w:rPr>
        <w:t xml:space="preserve">Ergebnis: </w:t>
      </w:r>
      <w:r>
        <w:t>Fachleute nutzen unterschiedliche Komponenten zur Klassifikation: In den meisten Fällen unterscheiden sich Frailty- und Palliativbewertungen signifikant (p&lt;0,05). Fachleute sind sicherer in der Erkennung von Frailty-Komponenten als Palliativbedarf. Erkenntnis: Patienten können Frailty-Komponenten haben ohne Palliativbedarf, aber nicht umgekehrt erkannt. Besseres Verständnis für Progression von Frailty zu Palliativbedarf könnte patientenzentrierte Versorgung und Lebensqualität verbessern.</w:t>
      </w:r>
    </w:p>
    <w:p>
      <w:r>
        <w:rPr>
          <w:b/>
          <w:sz w:val="19"/>
        </w:rPr>
        <w:t xml:space="preserve">Übertragbarkeit: </w:t>
      </w:r>
      <w:r>
        <w:rPr>
          <w:sz w:val="19"/>
        </w:rPr>
        <w:t>Niederlande/Belgien, deutschsprachige Gesundheitssysteme ähnlich; Befunde zur Versorgungsüberleitung anwendbar.</w:t>
      </w:r>
    </w:p>
    <w:p>
      <w:r>
        <w:rPr>
          <w:color w:val="5A7D3A"/>
          <w:sz w:val="18"/>
        </w:rPr>
        <w:t>https://pubmed.ncbi.nlm.nih.gov/42700391/</w:t>
      </w:r>
    </w:p>
    <w:p>
      <w:pPr>
        <w:pStyle w:val="Heading1"/>
      </w:pPr>
      <w:r>
        <w:t>Aufgenommen am 25.10.2026</w:t>
      </w:r>
    </w:p>
    <w:p>
      <w:pPr>
        <w:pStyle w:val="Heading2"/>
      </w:pPr>
      <w:r>
        <w:t>Frailty-Screening mit Prävention senkt Pflegequoten bei Älteren</w:t>
      </w:r>
    </w:p>
    <w:p>
      <w:r>
        <w:rPr>
          <w:i/>
          <w:color w:val="666666"/>
          <w:sz w:val="18"/>
        </w:rPr>
        <w:t>Soma S et al.  ·  Age Ageing  ·  03.08.2026  ·  PMID 42920343</w:t>
      </w:r>
    </w:p>
    <w:p>
      <w:r>
        <w:t>Untersucht wurde, ob ein kommunales Programm aus Frailty-Screening und Gesundheitsberatung die Quote der Pflegebedürftigkeit bei Menschen über 75 Jahren reduziert.</w:t>
      </w:r>
    </w:p>
    <w:p>
      <w:r>
        <w:rPr>
          <w:b/>
        </w:rPr>
        <w:t xml:space="preserve">Ergebnis: </w:t>
      </w:r>
      <w:r>
        <w:t>Nach Einführung des Programms nahm die altersstandardisierte Pflegequote bei den über 75-Jährigen deutlich ab: Der Trend sank um 0,974 pro Jahr (95 %-KI 0,963–0,983), sodass die Quote am Ende um 6,8 % unter der zu erwartenden Fortsetzung lag (95 %-KI 4,4–10,0 %). Dies zeigt den Nutzen von Frailty-Screening in der bevölkerungsgestützten Prävention.</w:t>
      </w:r>
    </w:p>
    <w:p>
      <w:r>
        <w:rPr>
          <w:b/>
          <w:sz w:val="19"/>
        </w:rPr>
        <w:t xml:space="preserve">Übertragbarkeit: </w:t>
      </w:r>
      <w:r>
        <w:rPr>
          <w:sz w:val="19"/>
        </w:rPr>
        <w:t>Japan, vergleichbare Langzeitpflegeversicherung; Ergebnis auf Alterungsgesellschaften übertragbar</w:t>
      </w:r>
    </w:p>
    <w:p>
      <w:r>
        <w:rPr>
          <w:color w:val="5A7D3A"/>
          <w:sz w:val="18"/>
        </w:rPr>
        <w:t>https://pubmed.ncbi.nlm.nih.gov/42920343/</w:t>
      </w:r>
    </w:p>
    <w:p>
      <w:pPr>
        <w:pStyle w:val="Heading2"/>
      </w:pPr>
      <w:r>
        <w:t>Messbare Indikatoren für Aging-in-Place bei älteren Menschen mit Frailty</w:t>
      </w:r>
    </w:p>
    <w:p>
      <w:r>
        <w:rPr>
          <w:i/>
          <w:color w:val="666666"/>
          <w:sz w:val="18"/>
        </w:rPr>
        <w:t>Dlima SD et al.  ·  BMC Geriatr  ·  28.07.2026  ·  PMID 42919131</w:t>
      </w:r>
    </w:p>
    <w:p>
      <w:r>
        <w:t>Experten-Delphi-Befragung zur Identifizierung von routinemäßig messbaren Indikatoren für gelungenes Altern zu Hause bei älteren Menschen mit oder Risiko für Frailty.</w:t>
      </w:r>
    </w:p>
    <w:p>
      <w:r>
        <w:rPr>
          <w:b/>
        </w:rPr>
        <w:t xml:space="preserve">Ergebnis: </w:t>
      </w:r>
      <w:r>
        <w:t>Nur vier Indikatoren erreichten Konsens für Wichtigkeit und praktische Machbarkeit: körperliche Leistung/Mobilität, Multimorbidität, Sinnesfunktionen und Druckgeschwüre. 27 weitere Indikatoren waren sehr wichtig, aber schwer routinemäßig zu erfassen. Technologie-Indikatoren waren weder wichtig noch machbar; Laien-Experten betonten jedoch digitale Kompetenz.</w:t>
      </w:r>
    </w:p>
    <w:p>
      <w:r>
        <w:rPr>
          <w:b/>
          <w:sz w:val="19"/>
        </w:rPr>
        <w:t xml:space="preserve">Übertragbarkeit: </w:t>
      </w:r>
      <w:r>
        <w:rPr>
          <w:sz w:val="19"/>
        </w:rPr>
        <w:t>UK (Manchester); Geriatrisches Assessment und Indikatorauswahl sind auf deutsches Versorgungssystem übertragbar</w:t>
      </w:r>
    </w:p>
    <w:p>
      <w:r>
        <w:rPr>
          <w:color w:val="5A7D3A"/>
          <w:sz w:val="18"/>
        </w:rPr>
        <w:t>https://pubmed.ncbi.nlm.nih.gov/42919131/</w:t>
      </w:r>
    </w:p>
    <w:p>
      <w:pPr>
        <w:pStyle w:val="Heading2"/>
      </w:pPr>
      <w:r>
        <w:t>Gesundheitsausgaben älterer Menschen treiben Haushalte in Armut: Versicherungslücken in Indien</w:t>
      </w:r>
    </w:p>
    <w:p>
      <w:r>
        <w:rPr>
          <w:i/>
          <w:color w:val="666666"/>
          <w:sz w:val="18"/>
        </w:rPr>
        <w:t>Soni N et al.  ·  Front Public Health  ·  07.10.2026  ·  PMID 42908591</w:t>
      </w:r>
    </w:p>
    <w:p>
      <w:r>
        <w:t>Untersucht wurde, wie Eigenleistungen für Gesundheit Haushalte mit älteren Menschen in Indien in Armut treiben und welche Faktoren dieses Risiko verschärfen oder puffern.</w:t>
      </w:r>
    </w:p>
    <w:p>
      <w:r>
        <w:rPr>
          <w:b/>
        </w:rPr>
        <w:t xml:space="preserve">Ergebnis: </w:t>
      </w:r>
      <w:r>
        <w:t>Längere Krankenhausaufenthalte, größere Haushalte, Kaste und private Gesundheitsversorgung erhöhen die Armutsquote erheblich. Krankenversicherung und Bildung reduzieren das Risiko. Trotz öffentlicher Programme ist die Abdeckung unzureichend und ungleich, weshalb ältere Menschen finanziell ungeschützt bleiben.</w:t>
      </w:r>
    </w:p>
    <w:p>
      <w:r>
        <w:rPr>
          <w:b/>
          <w:sz w:val="19"/>
        </w:rPr>
        <w:t xml:space="preserve">Übertragbarkeit: </w:t>
      </w:r>
      <w:r>
        <w:rPr>
          <w:sz w:val="19"/>
        </w:rPr>
        <w:t>Indien; zeigt Versorgungslücken in Ländern ohne Vollversicherung; für Deutschland relevant als Warnung vor Privatisierung von Altenversorgung</w:t>
      </w:r>
    </w:p>
    <w:p>
      <w:r>
        <w:rPr>
          <w:color w:val="5A7D3A"/>
          <w:sz w:val="18"/>
        </w:rPr>
        <w:t>https://pubmed.ncbi.nlm.nih.gov/42908591/</w:t>
      </w:r>
    </w:p>
    <w:p>
      <w:pPr>
        <w:pStyle w:val="Heading2"/>
      </w:pPr>
      <w:r>
        <w:t>Geriatrische Versorgung: Risikogeschichtetes Drei-Ebenen-Modell statt Checkliste</w:t>
      </w:r>
    </w:p>
    <w:p>
      <w:r>
        <w:rPr>
          <w:i/>
          <w:color w:val="666666"/>
          <w:sz w:val="18"/>
        </w:rPr>
        <w:t>Amir O et al.  ·  NEJM Catal Innov Care Deliv  ·  21.10.2026  ·  PMID 42904679</w:t>
      </w:r>
    </w:p>
    <w:p>
      <w:r>
        <w:t>Beschreibt ein risikostratifiziertes Versorgungsmodell für ältere Klinikpatienten, das die 4Ms (Mobility, Mentation, Medication, What Matters) allen Über-65-Jährigen anbietet und dann Hochrisiko-Patienten zu spezialisierten geriatrischen Teams leitet.</w:t>
      </w:r>
    </w:p>
    <w:p>
      <w:r>
        <w:rPr>
          <w:b/>
        </w:rPr>
        <w:t xml:space="preserve">Ergebnis: </w:t>
      </w:r>
      <w:r>
        <w:t>Das Modell unterscheidet: (1) universelle 4Ms-Prozesse für alle älteren Patienten, (2) spezialisierte Protokolle (z. B. Hüftfraktur) durch Generalisten mit Geriater-Aufsicht, (3) intensive Comanagement-Modelle durch spezialisierte geriatrische Teams. Dies vermeidet Ressourcen-Ineffizienz und verbessert die Ergebnisse durch angepasste Intensität.</w:t>
      </w:r>
    </w:p>
    <w:p>
      <w:r>
        <w:rPr>
          <w:b/>
          <w:sz w:val="19"/>
        </w:rPr>
        <w:t xml:space="preserve">Übertragbarkeit: </w:t>
      </w:r>
      <w:r>
        <w:rPr>
          <w:sz w:val="19"/>
        </w:rPr>
        <w:t>USA, CMS-System; Risikostratifizierung und Strukturmodell sind auf deutsches Klinikmanagement übertragbar</w:t>
      </w:r>
    </w:p>
    <w:p>
      <w:r>
        <w:rPr>
          <w:color w:val="5A7D3A"/>
          <w:sz w:val="18"/>
        </w:rPr>
        <w:t>https://pubmed.ncbi.nlm.nih.gov/42904679/</w:t>
      </w:r>
    </w:p>
    <w:p>
      <w:pPr>
        <w:pStyle w:val="Heading2"/>
      </w:pPr>
      <w:r>
        <w:t>Mobile interprofessionelle 4Ms-Versorgung für ländliche ältere Menschen</w:t>
      </w:r>
    </w:p>
    <w:p>
      <w:r>
        <w:rPr>
          <w:i/>
          <w:color w:val="666666"/>
          <w:sz w:val="18"/>
        </w:rPr>
        <w:t>Wick K et al.  ·  NEJM Catal Innov Care Deliv  ·  21.10.2026  ·  PMID 42904676</w:t>
      </w:r>
    </w:p>
    <w:p>
      <w:r>
        <w:t>Beschreibt ein mobiles interprofessionelles Klinik-Modell (MobileMOC), das die 4Ms in ländlichen Regionen über Klinikbesuche, Senior-Zentren und Lehre erbringt.</w:t>
      </w:r>
    </w:p>
    <w:p>
      <w:r>
        <w:rPr>
          <w:b/>
        </w:rPr>
        <w:t xml:space="preserve">Ergebnis: </w:t>
      </w:r>
      <w:r>
        <w:t>In den ersten 6 Monaten 2026 wurden 182 Patientenkontakte erbracht, 129 Patienten (45 % älter als 65 Jahre) erreicht, 1.579 Screenings durchgeführt, 119 Fachüberweisungen generiert und 710 Stunden klinische Lehre geleistet. Das Modell zeigt Machbarkeit, offenbart aber Messlücken und Finanzierungsgaps.</w:t>
      </w:r>
    </w:p>
    <w:p>
      <w:r>
        <w:rPr>
          <w:b/>
          <w:sz w:val="19"/>
        </w:rPr>
        <w:t xml:space="preserve">Übertragbarkeit: </w:t>
      </w:r>
      <w:r>
        <w:rPr>
          <w:sz w:val="19"/>
        </w:rPr>
        <w:t>USA; Struktur und Interprofessionalität sind auf deutsche ländliche Regionen mit Fachkräftemangel übertragbar</w:t>
      </w:r>
    </w:p>
    <w:p>
      <w:r>
        <w:rPr>
          <w:color w:val="5A7D3A"/>
          <w:sz w:val="18"/>
        </w:rPr>
        <w:t>https://pubmed.ncbi.nlm.nih.gov/42904676/</w:t>
      </w:r>
    </w:p>
    <w:p>
      <w:pPr>
        <w:pStyle w:val="Heading2"/>
      </w:pPr>
      <w:r>
        <w:t>Hundertjährige in Genua: Kohortenstudie zu kognitiver Gesundheit im höchsten Alter</w:t>
      </w:r>
    </w:p>
    <w:p>
      <w:r>
        <w:rPr>
          <w:i/>
          <w:color w:val="666666"/>
          <w:sz w:val="18"/>
        </w:rPr>
        <w:t>Di Maria E et al.  ·  Exp Gerontol  ·  01.10.2026  ·  PMID 42822552</w:t>
      </w:r>
    </w:p>
    <w:p>
      <w:r>
        <w:t>Italienische multidisziplinäre Kohorte von 88 Hundertjährigen (Alter 99–108 Jahre) zur Untersuchung von Schutzfaktoren für kognitive Funktion durch Neuropsychologie und Genomik.</w:t>
      </w:r>
    </w:p>
    <w:p>
      <w:r>
        <w:rPr>
          <w:b/>
        </w:rPr>
        <w:t xml:space="preserve">Ergebnis: </w:t>
      </w:r>
      <w:r>
        <w:t>Von 84 Hundertjährigen mit erfasstem kognitiven Status zeigte sich großes Spektrum: CDR 0–5 (Median 1), MMSE 3–30 (Median 24). 32 Patienten wurden nachbeobachtet, DNA von 67 gelagert. Protokoll ist praktikabel und wird akzeptiert. Erkenntnisse werden längerfristig genomische Varianten für kognitive Variabilität im hohen Alter aufklären.</w:t>
      </w:r>
    </w:p>
    <w:p>
      <w:r>
        <w:rPr>
          <w:b/>
          <w:sz w:val="19"/>
        </w:rPr>
        <w:t xml:space="preserve">Übertragbarkeit: </w:t>
      </w:r>
      <w:r>
        <w:rPr>
          <w:sz w:val="19"/>
        </w:rPr>
        <w:t>Italien, europäische Langzeitpflege; italienisches Alterssystem und High-Prevalence-Hundertjähriger machen Übertrag auf Deutschland begrenzt, aber kognitives Screening relevant</w:t>
      </w:r>
    </w:p>
    <w:p>
      <w:r>
        <w:rPr>
          <w:color w:val="5A7D3A"/>
          <w:sz w:val="18"/>
        </w:rPr>
        <w:t>https://pubmed.ncbi.nlm.nih.gov/42822552/</w:t>
      </w:r>
    </w:p>
    <w:p>
      <w:pPr>
        <w:pStyle w:val="Heading1"/>
      </w:pPr>
      <w:r>
        <w:t>Aufgenommen am 24.10.2026</w:t>
      </w:r>
    </w:p>
    <w:p>
      <w:pPr>
        <w:pStyle w:val="Heading2"/>
      </w:pPr>
      <w:r>
        <w:t>Frailty-Schweregrad bestimmt Überleben und Arztkostenbelastung bei älteren Menschen</w:t>
      </w:r>
    </w:p>
    <w:p>
      <w:r>
        <w:rPr>
          <w:i/>
          <w:color w:val="666666"/>
          <w:sz w:val="18"/>
        </w:rPr>
        <w:t>Pulok MH et al.  ·  Age Ageing  ·  03.08.2026  ·  PMID 42910912</w:t>
      </w:r>
    </w:p>
    <w:p>
      <w:r>
        <w:t>Retrospektive Kohortenstudie an 944 älteren Notaufnahmepatienten (Median 80,8 Jahre) zur Vorhersage von Kosten und Überleben anhand des Clinical Frailty Scale.</w:t>
      </w:r>
    </w:p>
    <w:p>
      <w:r>
        <w:rPr>
          <w:b/>
        </w:rPr>
        <w:t xml:space="preserve">Ergebnis: </w:t>
      </w:r>
      <w:r>
        <w:t>Schwer gebrechliche Patienten hatten über ein Jahr 704 CAD weniger Arztkosen als unkomplizierte – hauptsächlich durch kürzeres Überleben bedingt (41,6% starben innerhalb eines Jahres). Während der Lebenszeit fielen für alle Gebrechlichkeitsgruppen höhere Kosten an als für Nicht-Gebrechliche, was auf intensivere Nutzung bei kürzerer Dauer hindeutet. Der Frailty-Status war ein besserer Kostenprädiktor als Alter allein.</w:t>
      </w:r>
    </w:p>
    <w:p>
      <w:r>
        <w:rPr>
          <w:b/>
          <w:sz w:val="19"/>
        </w:rPr>
        <w:t xml:space="preserve">Übertragbarkeit: </w:t>
      </w:r>
      <w:r>
        <w:rPr>
          <w:sz w:val="19"/>
        </w:rPr>
        <w:t>Kanada, ähnliche Sozialversicherung und Gesundheitsfinanzierung wie Deutschland.</w:t>
      </w:r>
    </w:p>
    <w:p>
      <w:r>
        <w:rPr>
          <w:color w:val="5A7D3A"/>
          <w:sz w:val="18"/>
        </w:rPr>
        <w:t>https://pubmed.ncbi.nlm.nih.gov/42910912/</w:t>
      </w:r>
    </w:p>
    <w:p>
      <w:pPr>
        <w:pStyle w:val="Heading2"/>
      </w:pPr>
      <w:r>
        <w:t>Aktives Altern durch Betreuung und Freiwilligenarbeit: Wer profitiert, wer leidet?</w:t>
      </w:r>
    </w:p>
    <w:p>
      <w:r>
        <w:rPr>
          <w:i/>
          <w:color w:val="666666"/>
          <w:sz w:val="18"/>
        </w:rPr>
        <w:t>Cretazzo F et al.  ·  Front Public Health  ·  07.10.2026  ·  PMID 42909995</w:t>
      </w:r>
    </w:p>
    <w:p>
      <w:r>
        <w:t>Längsschnittstudie (SHARE Wellen 7–9) an älteren Europäern, die Übergänge zwischen Betreuungs- und Freiwilligentätigkeit in Bezug auf Gesundheit und psychisches Wohlbefinden verfolgten.</w:t>
      </w:r>
    </w:p>
    <w:p>
      <w:r>
        <w:rPr>
          <w:b/>
        </w:rPr>
        <w:t xml:space="preserve">Ergebnis: </w:t>
      </w:r>
      <w:r>
        <w:t>Übergänge von reiner Betreuung zu Doppelrolle („Super-Helper</w:t>
      </w:r>
    </w:p>
    <w:p>
      <w:r>
        <w:rPr>
          <w:b/>
          <w:sz w:val="19"/>
        </w:rPr>
        <w:t xml:space="preserve">Übertragbarkeit: </w:t>
      </w:r>
      <w:r>
        <w:rPr>
          <w:sz w:val="19"/>
        </w:rPr>
        <w:t>Europa, SHARE-Daten aus sozialversicherungsgestützten Systemen.</w:t>
      </w:r>
    </w:p>
    <w:p>
      <w:r>
        <w:rPr>
          <w:color w:val="5A7D3A"/>
          <w:sz w:val="18"/>
        </w:rPr>
        <w:t>https://pubmed.ncbi.nlm.nih.gov/42909995/</w:t>
      </w:r>
    </w:p>
    <w:p>
      <w:pPr>
        <w:pStyle w:val="Heading2"/>
      </w:pPr>
      <w:r>
        <w:t>Biologische Gebrechlichkeit und Chemotherapiedosis bestimmen Überleben bei älteren Darmkrebspatienten</w:t>
      </w:r>
    </w:p>
    <w:p>
      <w:r>
        <w:rPr>
          <w:i/>
          <w:color w:val="666666"/>
          <w:sz w:val="18"/>
        </w:rPr>
        <w:t>Ağaoğlu AB et al.  ·  Cancer Chemother Pharmacol  ·  23.10.2026  ·  PMID 42909624</w:t>
      </w:r>
    </w:p>
    <w:p>
      <w:r>
        <w:t>Retrospektive Studie an 94 Patienten ≥65 Jahren mit adjuvanter Chemotherapie nach Darmkrebsoperation zu Frailty-Index und Dosisintensität als Überlebensprädiktoren.</w:t>
      </w:r>
    </w:p>
    <w:p>
      <w:r>
        <w:rPr>
          <w:b/>
        </w:rPr>
        <w:t xml:space="preserve">Ergebnis: </w:t>
      </w:r>
      <w:r>
        <w:t>Laborgestützter Frailty-Index (FI-Lab) ≥0,25 sagte unabhängig schlechteres Gesamtüberleben vorher (Hazard Ratio 3,73, p=0,023) und krankheitsfreies Überleben (HR 2,81, p=0,029). Patienten ohne optimale Anfangsdosis hatten deutlich schlechtere Ergebnisse (OS HR 14,41; p=0,011). G8, mFI-5 und Charlson-Index waren nicht unabhängig prädiktiv.</w:t>
      </w:r>
    </w:p>
    <w:p>
      <w:r>
        <w:rPr>
          <w:b/>
          <w:sz w:val="19"/>
        </w:rPr>
        <w:t xml:space="preserve">Übertragbarkeit: </w:t>
      </w:r>
      <w:r>
        <w:rPr>
          <w:sz w:val="19"/>
        </w:rPr>
        <w:t>Türkei; biologische Reserve als Prädiktor ist universell, Dosisintensität und Messmethoden sind aber systemabhängig.</w:t>
      </w:r>
    </w:p>
    <w:p>
      <w:r>
        <w:rPr>
          <w:color w:val="5A7D3A"/>
          <w:sz w:val="18"/>
        </w:rPr>
        <w:t>https://pubmed.ncbi.nlm.nih.gov/42909624/</w:t>
      </w:r>
    </w:p>
    <w:p>
      <w:pPr>
        <w:pStyle w:val="Heading2"/>
      </w:pPr>
      <w:r>
        <w:t>Geriatrische Atemwegsmedizin: Künstliche Intelligenz und maßgeschneiderte Versorgung polymorber älterer Patienten</w:t>
      </w:r>
    </w:p>
    <w:p>
      <w:r>
        <w:rPr>
          <w:i/>
          <w:color w:val="666666"/>
          <w:sz w:val="18"/>
        </w:rPr>
        <w:t>Sorino C et al.  ·  Eur Respir Rev  ·  21.10.2026  ·  PMID 42906940</w:t>
      </w:r>
    </w:p>
    <w:p>
      <w:r>
        <w:t>Fachnachricht italienischer und europäischer Pneumologen zu klinischen Schnittstellen von Altern, Immunoseneszenz, Gebrechlichkeit und Lungenerkrankung im Alter mit Fokus auf praktische Versorgungsmodelle.</w:t>
      </w:r>
    </w:p>
    <w:p>
      <w:r>
        <w:rPr>
          <w:b/>
        </w:rPr>
        <w:t xml:space="preserve">Ergebnis: </w:t>
      </w:r>
      <w:r>
        <w:t>Kernbefunde: pneumonie-assoziierte Sarkopenie als Motor für Rezidivinfektion und funktionellen Niedergang; nicht-invasive Beatmungswahl muss Delirium-Risiko gegen Wirksamkeit abwägen; 20-valenter Pneumokokken- und RSV-Impfstoff als neue Präventionsstrategie; gerätegestützte Inhalationstherapie angepasst an inspiratorische Kraft statt nur Pharmakologie; Biologika (Dupilumab, Mepolizumab) ermöglichen Steroid-Einsparung; 4Ms-Modell (Mentation, Medication, Mobility, Morbidities) integriert mit KI als strukturierte Versorgung.</w:t>
      </w:r>
    </w:p>
    <w:p>
      <w:r>
        <w:rPr>
          <w:b/>
          <w:sz w:val="19"/>
        </w:rPr>
        <w:t xml:space="preserve">Übertragbarkeit: </w:t>
      </w:r>
      <w:r>
        <w:rPr>
          <w:sz w:val="19"/>
        </w:rPr>
        <w:t>Italien und Europa, Sozialversicherungssysteme; praxisorientiert für deutschsprachige Lungenkliniken.</w:t>
      </w:r>
    </w:p>
    <w:p>
      <w:r>
        <w:rPr>
          <w:color w:val="5A7D3A"/>
          <w:sz w:val="18"/>
        </w:rPr>
        <w:t>https://pubmed.ncbi.nlm.nih.gov/42906940/</w:t>
      </w:r>
    </w:p>
    <w:p>
      <w:pPr>
        <w:pStyle w:val="Heading2"/>
      </w:pPr>
      <w:r>
        <w:t>Flächendeckende Umsetzung der Age-Friendly 4Ms in 26 Krankenhäusern</w:t>
      </w:r>
    </w:p>
    <w:p>
      <w:r>
        <w:rPr>
          <w:i/>
          <w:color w:val="666666"/>
          <w:sz w:val="18"/>
        </w:rPr>
        <w:t>Ryer S et al.  ·  NEJM Catal Innov Care Deliv  ·  21.10.2026  ·  PMID 42904678</w:t>
      </w:r>
    </w:p>
    <w:p>
      <w:r>
        <w:t>Implementierungsstudie an 26 Krankenhäusern im Mittleren Westen (Wisconsin, Illinois) zur standardisierten Umsetzung der 4Ms (What Matters, Medication, Mentation, Mobility) mit Governance-Struktur, EHR-Integration und Qualitätsmessungen.</w:t>
      </w:r>
    </w:p>
    <w:p>
      <w:r>
        <w:rPr>
          <w:b/>
        </w:rPr>
        <w:t xml:space="preserve">Ergebnis: </w:t>
      </w:r>
      <w:r>
        <w:t>Implementierungsreife bei frühen Kohorten in geriatrischen stationären Einrichtungen Median 0,66, nicht-geriatrischen stationär 0,63, geriatrischen ambulant 0,47, nicht-geriatrischen ambulant 0,36 (Skala 0–1). Dokumentation What Matters und Kognitives Screening erheblich verbessert, Deliriumrate und Liegedauer reduziert. Hohe Variabilität zwischen Organisationen. Herausforderungen: Dokumentationslast, variable Adoption, konkurrierende Prioritäten.</w:t>
      </w:r>
    </w:p>
    <w:p>
      <w:r>
        <w:rPr>
          <w:b/>
          <w:sz w:val="19"/>
        </w:rPr>
        <w:t xml:space="preserve">Übertragbarkeit: </w:t>
      </w:r>
      <w:r>
        <w:rPr>
          <w:sz w:val="19"/>
        </w:rPr>
        <w:t>USA, aber Implementierungsmethode und Messrahmen sind auf deutsche Krankenhäuser übertragbar.</w:t>
      </w:r>
    </w:p>
    <w:p>
      <w:r>
        <w:rPr>
          <w:color w:val="5A7D3A"/>
          <w:sz w:val="18"/>
        </w:rPr>
        <w:t>https://pubmed.ncbi.nlm.nih.gov/42904678/</w:t>
      </w:r>
    </w:p>
    <w:p>
      <w:pPr>
        <w:pStyle w:val="Heading2"/>
      </w:pPr>
      <w:r>
        <w:t>Age-Friendly 4Ms in Sicherheitsnetzklnik: Implementierung bei älteren vulnerable Patienten</w:t>
      </w:r>
    </w:p>
    <w:p>
      <w:r>
        <w:rPr>
          <w:i/>
          <w:color w:val="666666"/>
          <w:sz w:val="18"/>
        </w:rPr>
        <w:t>Ohuabunwa UK et al.  ·  NEJM Catal Innov Care Deliv  ·  21.10.2026  ·  PMID 42904677</w:t>
      </w:r>
    </w:p>
    <w:p>
      <w:r>
        <w:t>Implementierungsstudie der 4Ms-Rahmenwerk (What Matters, Medication, Mentation, Mobility) plus Malnutrition und Übergangspflege in Safety-Net-Klinik mit 3427 älteren Patienten (79,3 Jahre, 64% Afroamerikaner).</w:t>
      </w:r>
    </w:p>
    <w:p>
      <w:r>
        <w:rPr>
          <w:b/>
        </w:rPr>
        <w:t xml:space="preserve">Ergebnis: </w:t>
      </w:r>
      <w:r>
        <w:t>Über zwei Jahre (März 2024–März 2026) erreichte die AFHS-Implementierung 100% Einhaltung bei 5 von 14 Protokollen, &gt;90% bei 5 weiteren. Was Matters-Dokumentation 74%, Delirium-Screening 98%, Funktionskapazitätsbewertung 96%. Assoziation mit Deliriumrate-Reduktion und verkürzter Krankenhausliegedauer.</w:t>
      </w:r>
    </w:p>
    <w:p>
      <w:r>
        <w:rPr>
          <w:b/>
          <w:sz w:val="19"/>
        </w:rPr>
        <w:t xml:space="preserve">Übertragbarkeit: </w:t>
      </w:r>
      <w:r>
        <w:rPr>
          <w:sz w:val="19"/>
        </w:rPr>
        <w:t>USA-Sicherheitsnetzkontext, aber 4Ms-Framework und Messmethoden sind übertragbar.</w:t>
      </w:r>
    </w:p>
    <w:p>
      <w:r>
        <w:rPr>
          <w:color w:val="5A7D3A"/>
          <w:sz w:val="18"/>
        </w:rPr>
        <w:t>https://pubmed.ncbi.nlm.nih.gov/42904677/</w:t>
      </w:r>
    </w:p>
    <w:p>
      <w:pPr>
        <w:pStyle w:val="Heading1"/>
      </w:pPr>
      <w:r>
        <w:t>Aufgenommen am 23.10.2026</w:t>
      </w:r>
    </w:p>
    <w:p>
      <w:pPr>
        <w:pStyle w:val="Heading2"/>
      </w:pPr>
      <w:r>
        <w:t>Interprofessionelle Schulung und Workflow verbessern geriatrisches Screening in Hausarztpraxen</w:t>
      </w:r>
    </w:p>
    <w:p>
      <w:r>
        <w:rPr>
          <w:i/>
          <w:color w:val="666666"/>
          <w:sz w:val="18"/>
        </w:rPr>
        <w:t>Litzelman DK et al.  ·  BMC Geriatr  ·  23.07.2026  ·  PMID 42907743</w:t>
      </w:r>
    </w:p>
    <w:p>
      <w:r>
        <w:t>US-amerikanische Studie mit 56 Hausärzten, 180 Assistenzärzten und 8818 älteren Patienten an acht Primärversorgungsstellen evaluierte ein Schulungs- und Systeminterventionsprogramm basierend auf dem Age-Friendly 4Ms-Rahmenwerk.</w:t>
      </w:r>
    </w:p>
    <w:p>
      <w:r>
        <w:rPr>
          <w:b/>
        </w:rPr>
        <w:t xml:space="preserve">Ergebnis: </w:t>
      </w:r>
      <w:r>
        <w:t>Nach Intervention verbesserten sich Screening-Raten für Demenz (OR 1,27, 95%-KI 0,98–1,63) und Sturzrisiko (OR 1,40, 95%-KI 1,00–1,95), mit Sturzrisiko-Screening zeigend die stärksten Verbesserungen (+0,64% pro Monat, p&lt;0,001). Kliniken mit stärkerer Systemintegration zeigten die robustesten Verbesserungen; Opioid-Screening und Advance-Care-Planning-Dokumentation nahmen ab.</w:t>
      </w:r>
    </w:p>
    <w:p>
      <w:r>
        <w:rPr>
          <w:b/>
          <w:sz w:val="19"/>
        </w:rPr>
        <w:t xml:space="preserve">Übertragbarkeit: </w:t>
      </w:r>
      <w:r>
        <w:rPr>
          <w:sz w:val="19"/>
        </w:rPr>
        <w:t>USA, Primärversorgung; Methoden auf deutsches Praxissystem übertragbar, aber Organisationsstruktur unterscheidet sich</w:t>
      </w:r>
    </w:p>
    <w:p>
      <w:r>
        <w:rPr>
          <w:color w:val="5A7D3A"/>
          <w:sz w:val="18"/>
        </w:rPr>
        <w:t>https://pubmed.ncbi.nlm.nih.gov/42907743/</w:t>
      </w:r>
    </w:p>
    <w:p>
      <w:pPr>
        <w:pStyle w:val="Heading2"/>
      </w:pPr>
      <w:r>
        <w:t>COVID-19 und Opioide kürzten Lebenserwartung in Kanada um 0,68 Jahre</w:t>
      </w:r>
    </w:p>
    <w:p>
      <w:r>
        <w:rPr>
          <w:i/>
          <w:color w:val="666666"/>
          <w:sz w:val="18"/>
        </w:rPr>
        <w:t>Sirag A et al.  ·  Health Rep  ·  21.10.2026  ·  PMID 42905875</w:t>
      </w:r>
    </w:p>
    <w:p>
      <w:r>
        <w:t>Kanadische Vital-Statistik-Studie verglich Sterblichkeits-Todesursachen-Stiftung zwischen 2017–2019 und 2020–2022 mittels Arriaga-Dekomposition, um die Beiträge einzelner Todesursachen zum Rückgang der Lebenserwartung bei der Geburt zu quantifizieren.</w:t>
      </w:r>
    </w:p>
    <w:p>
      <w:r>
        <w:rPr>
          <w:b/>
        </w:rPr>
        <w:t xml:space="preserve">Ergebnis: </w:t>
      </w:r>
      <w:r>
        <w:t>COVID-19 war der größte einzelne Beitrag zum Rückgang der Lebenserwartung bei der Geburt in Kanada (–0,46 Jahre für beide Geschlechter). Opioid-bedingte Todesfälle trugen –0,22 Jahre bei, während Krebserkrankungen einen geringen Anstieg (+0,17 Jahre) verursachten. Gesamtrückgang etwa 0,68 Jahre, hauptsächlich durch pandemic-direkte und indirekte Effekte.</w:t>
      </w:r>
    </w:p>
    <w:p>
      <w:r>
        <w:rPr>
          <w:b/>
          <w:sz w:val="19"/>
        </w:rPr>
        <w:t xml:space="preserve">Übertragbarkeit: </w:t>
      </w:r>
      <w:r>
        <w:rPr>
          <w:sz w:val="19"/>
        </w:rPr>
        <w:t>Kanada, vergleichbare Sozialversicherung und Lebenserwartung wie Deutschland; Methode und Prioritäten übertragbar</w:t>
      </w:r>
    </w:p>
    <w:p>
      <w:r>
        <w:rPr>
          <w:color w:val="5A7D3A"/>
          <w:sz w:val="18"/>
        </w:rPr>
        <w:t>https://pubmed.ncbi.nlm.nih.gov/42905875/</w:t>
      </w:r>
    </w:p>
    <w:p>
      <w:pPr>
        <w:pStyle w:val="Heading2"/>
      </w:pPr>
      <w:r>
        <w:t>Pflanzenbasierte Ernährung senkt Frailty-Risiko bei älteren Erwachsenen</w:t>
      </w:r>
    </w:p>
    <w:p>
      <w:r>
        <w:rPr>
          <w:i/>
          <w:color w:val="666666"/>
          <w:sz w:val="18"/>
        </w:rPr>
        <w:t>Lin J et al.  ·  Age Ageing  ·  03.08.2026  ·  PMID 42905723</w:t>
      </w:r>
    </w:p>
    <w:p>
      <w:r>
        <w:t>Studie mit 8628 älteren Erwachsenen aus drei Kohorten (CLHLS, HRS, ELSA) untersuchte die Assoziation verschiedener pflanzlicher Ernährungsmuster mit Frailty mittels Mundlak-Dekomposition.</w:t>
      </w:r>
    </w:p>
    <w:p>
      <w:r>
        <w:rPr>
          <w:b/>
        </w:rPr>
        <w:t xml:space="preserve">Ergebnis: </w:t>
      </w:r>
      <w:r>
        <w:t>Höhere Gesamtscores für pflanzenbasierte Diät waren mit niedrigerem Frailty-Risiko assoziiert (ORs 0,71–0,80 über alle drei Kohorten), während ungesunde pflanzliche Muster mit erhöhtem Risiko verbunden waren (ORs 1,24–1,41). Nüsse, Gemüse und Pflanzenöle zeigten überwiegend inverse Assoziationen mit mehreren Frailty-Domänen.</w:t>
      </w:r>
    </w:p>
    <w:p>
      <w:r>
        <w:rPr>
          <w:b/>
          <w:sz w:val="19"/>
        </w:rPr>
        <w:t xml:space="preserve">Übertragbarkeit: </w:t>
      </w:r>
      <w:r>
        <w:rPr>
          <w:sz w:val="19"/>
        </w:rPr>
        <w:t>UK, China, internationale Kohorten; Ernährungsmessungen und Frailty-Definition übertragbar auf deutsches Gesundheitssystem</w:t>
      </w:r>
    </w:p>
    <w:p>
      <w:r>
        <w:rPr>
          <w:color w:val="5A7D3A"/>
          <w:sz w:val="18"/>
        </w:rPr>
        <w:t>https://pubmed.ncbi.nlm.nih.gov/42905723/</w:t>
      </w:r>
    </w:p>
    <w:p>
      <w:pPr>
        <w:pStyle w:val="Heading2"/>
      </w:pPr>
      <w:r>
        <w:t>Multimorbidität kostet weltweit älteren Menschen 363 Milliarden Dollar pro Jahr</w:t>
      </w:r>
    </w:p>
    <w:p>
      <w:r>
        <w:rPr>
          <w:i/>
          <w:color w:val="666666"/>
          <w:sz w:val="18"/>
        </w:rPr>
        <w:t>Ji W et al.  ·  JAMA Netw Open  ·  01.10.2026  ·  PMID 42905709</w:t>
      </w:r>
    </w:p>
    <w:p>
      <w:r>
        <w:t>Globale ökonomische Evaluationsstudie mit Daten aus 204 Ländern (2000–2023) quantifizierte die gesundheitliche und finanzielle Last von Multimorbidität (78 Kombinationen) bei Erwachsenen ≥60 Jahren mittels Global Burden of Disease 2023 und makroökonomischen Daten.</w:t>
      </w:r>
    </w:p>
    <w:p>
      <w:r>
        <w:rPr>
          <w:b/>
        </w:rPr>
        <w:t xml:space="preserve">Ergebnis: </w:t>
      </w:r>
      <w:r>
        <w:t>Von 2000 bis 2023 stiegen die Jahre mit Behinderung (YLDs) von 2368 auf 2942 pro 100.000 Erwachsene ≥60 Jahren; wirtschaftliche Verluste nahmen von 80,1 Milliarden auf 363,25 Milliarden USD (kaufkraftparitätsbereinigt) zu. Schnellstes Wachstum: Diabetes, Angststörungen und Parkinson (AAPC 9,92% für Kosten). Höchste YLD-Rate: Osteoarthritis mit Alzheimer/Demenz (369,87 pro 100.000).</w:t>
      </w:r>
    </w:p>
    <w:p>
      <w:r>
        <w:rPr>
          <w:b/>
          <w:sz w:val="19"/>
        </w:rPr>
        <w:t xml:space="preserve">Übertragbarkeit: </w:t>
      </w:r>
      <w:r>
        <w:rPr>
          <w:sz w:val="19"/>
        </w:rPr>
        <w:t>Global, 204 Länder; Dimensionen und Trends übertragbar, aber absolute Kosten hängen von Finanzierungssystem und Lebenserwartung ab</w:t>
      </w:r>
    </w:p>
    <w:p>
      <w:r>
        <w:rPr>
          <w:color w:val="5A7D3A"/>
          <w:sz w:val="18"/>
        </w:rPr>
        <w:t>https://pubmed.ncbi.nlm.nih.gov/42905709/</w:t>
      </w:r>
    </w:p>
    <w:p>
      <w:pPr>
        <w:pStyle w:val="Heading2"/>
      </w:pPr>
      <w:r>
        <w:t>Feinstaub beschleunigt kardiovaskuläres Altern über Seneszenz und Entzündung</w:t>
      </w:r>
    </w:p>
    <w:p>
      <w:r>
        <w:rPr>
          <w:i/>
          <w:color w:val="666666"/>
          <w:sz w:val="18"/>
        </w:rPr>
        <w:t>Yadav P et al.  ·  Cardiovasc Toxicol  ·  21.10.2026  ·  PMID 42905338</w:t>
      </w:r>
    </w:p>
    <w:p>
      <w:r>
        <w:t>Scoping Review mit konzeptuellem PACA-Framework (Pollution-Accelerated Cardiovascular Aging) integrierte Evidenz zu Feinstaub-Exposition (PM2,5, ultrafeine Partikel) und kardiovaskulärem Altern durch Mitochondrien-Dysfunktion, Seneszenz, epigenetische Änderungen und autonome Dysregulation.</w:t>
      </w:r>
    </w:p>
    <w:p>
      <w:r>
        <w:rPr>
          <w:b/>
        </w:rPr>
        <w:t xml:space="preserve">Ergebnis: </w:t>
      </w:r>
      <w:r>
        <w:t>Framework schlägt Temporal-Evidence-Matrix vor, die Expositions-Kinetik, Lebensverlauf-Timing, Persistenz nach Expositions-Ende, Dosis-Wirkungs-Beziehungen und longitudinale Veränderungen relativ zu altersreferenzierten Vergleichern nutzt. Persistierende oder unvollständig reversible Defizite deuten auf chronische Verletzung hin; stärkere Evidenz für kardiovaskuläres Aging erfordert wiederholte Demonstration größerer Veränderungsraten als chronologisch erwartet.</w:t>
      </w:r>
    </w:p>
    <w:p>
      <w:r>
        <w:rPr>
          <w:b/>
          <w:sz w:val="19"/>
        </w:rPr>
        <w:t xml:space="preserve">Übertragbarkeit: </w:t>
      </w:r>
      <w:r>
        <w:rPr>
          <w:sz w:val="19"/>
        </w:rPr>
        <w:t>Überwiegend Tiermodelle und mechanistische Daten; PACA-Framework theoretisch, keine klinischen Endpunkte gemessen</w:t>
      </w:r>
    </w:p>
    <w:p>
      <w:r>
        <w:rPr>
          <w:color w:val="5A7D3A"/>
          <w:sz w:val="18"/>
        </w:rPr>
        <w:t>https://pubmed.ncbi.nlm.nih.gov/42905338/</w:t>
      </w:r>
    </w:p>
    <w:p>
      <w:pPr>
        <w:pStyle w:val="Heading2"/>
      </w:pPr>
      <w:r>
        <w:t>Frailty-Index prognostiziert post-ERCP-Pankreatitis bei älteren Patienten</w:t>
      </w:r>
    </w:p>
    <w:p>
      <w:r>
        <w:rPr>
          <w:i/>
          <w:color w:val="666666"/>
          <w:sz w:val="18"/>
        </w:rPr>
        <w:t>Zhang F et al.  ·  Clin Interv Aging  ·  16.10.2026  ·  PMID 42904120</w:t>
      </w:r>
    </w:p>
    <w:p>
      <w:r>
        <w:t>Retrospektive Studie von 696 älteren Patienten (≥65 Jahre), die sich einer endoskopischen retrograden Cholangiopankreatographie unterzogen, untersuchte den Zusammenhang zwischen präoperativer Frailty und post-ERCP-Pankreatitis mittels elektronischem Frailty-Index.</w:t>
      </w:r>
    </w:p>
    <w:p>
      <w:r>
        <w:rPr>
          <w:b/>
        </w:rPr>
        <w:t xml:space="preserve">Ergebnis: </w:t>
      </w:r>
      <w:r>
        <w:t>Von 696 Patienten entwickelten 79 (11,4%) eine post-ERCP-Pankreatitis. Nach multivariater Anpassung war Frailty mit höheren Chancen verbunden (OR 2,09, 95%-KI 1,08–4,05, p=0,028). Hinzunahme von Frailty zum Referenzmodell verbesserte die Diskrimination (AUC 0,714 zu 0,755, p=0,031); Netto-Reklassifizierungsverbesserung betrug 0,516.</w:t>
      </w:r>
    </w:p>
    <w:p>
      <w:r>
        <w:rPr>
          <w:b/>
          <w:sz w:val="19"/>
        </w:rPr>
        <w:t xml:space="preserve">Übertragbarkeit: </w:t>
      </w:r>
      <w:r>
        <w:rPr>
          <w:sz w:val="19"/>
        </w:rPr>
        <w:t>China; Frailty-Messung und Endoskopie-Risiken gelten international, aber Patientenpopulation und Gesundheitssystem unterscheiden sich</w:t>
      </w:r>
    </w:p>
    <w:p>
      <w:r>
        <w:rPr>
          <w:color w:val="5A7D3A"/>
          <w:sz w:val="18"/>
        </w:rPr>
        <w:t>https://pubmed.ncbi.nlm.nih.gov/42904120/</w:t>
      </w:r>
    </w:p>
    <w:p>
      <w:pPr>
        <w:pStyle w:val="Heading1"/>
      </w:pPr>
      <w:r>
        <w:t>Aufgenommen am 22.10.2026</w:t>
      </w:r>
    </w:p>
    <w:p>
      <w:pPr>
        <w:pStyle w:val="Heading2"/>
      </w:pPr>
      <w:r>
        <w:t>Notfallchirurgie bei über 90-Jährigen: regionale Unterschiede in der Langzeitsterblichkeit</w:t>
      </w:r>
    </w:p>
    <w:p>
      <w:r>
        <w:rPr>
          <w:i/>
          <w:color w:val="666666"/>
          <w:sz w:val="18"/>
        </w:rPr>
        <w:t>Suh JM et al.  ·  Crit Care  ·  25.07.2026  ·  PMID 42902313</w:t>
      </w:r>
    </w:p>
    <w:p>
      <w:r>
        <w:t>Nationale bevölkerungsbasierte Kohortenstudie an 4.887 über 90-Jährigen nach Notfalloperation mit Vergleich regionaler vs. metropolitaner Versorgung in Australien.</w:t>
      </w:r>
    </w:p>
    <w:p>
      <w:r>
        <w:rPr>
          <w:b/>
        </w:rPr>
        <w:t xml:space="preserve">Ergebnis: </w:t>
      </w:r>
      <w:r>
        <w:t>ICU- und Krankenhaussterblichkeit regional nicht unterschiedlich. Nach Entlassung regional/remote wohnhafte Patienten mit höherer 5-Jahres-Mortalität (adjustierte HR 1,133, 95%-KI 1,027–1,250, p=0,013). Überlebensvorteil der Metropolen erst nach Entlassung sichtbar.</w:t>
      </w:r>
    </w:p>
    <w:p>
      <w:r>
        <w:rPr>
          <w:b/>
          <w:sz w:val="19"/>
        </w:rPr>
        <w:t xml:space="preserve">Übertragbarkeit: </w:t>
      </w:r>
      <w:r>
        <w:rPr>
          <w:sz w:val="19"/>
        </w:rPr>
        <w:t>Australien, vergleichbare Gesundheitssysteme; zeigt Bedeutung regionaler Nachsorge für universelle Alterspopulation.</w:t>
      </w:r>
    </w:p>
    <w:p>
      <w:r>
        <w:rPr>
          <w:color w:val="5A7D3A"/>
          <w:sz w:val="18"/>
        </w:rPr>
        <w:t>https://pubmed.ncbi.nlm.nih.gov/42902313/</w:t>
      </w:r>
    </w:p>
    <w:p>
      <w:pPr>
        <w:pStyle w:val="Heading2"/>
      </w:pPr>
      <w:r>
        <w:t>Frühe Widrigkeiten und Lebensqualität im Alter: Langzeitfolgen für erfolgreiche Alternstrajectoria</w:t>
      </w:r>
    </w:p>
    <w:p>
      <w:r>
        <w:rPr>
          <w:i/>
          <w:color w:val="666666"/>
          <w:sz w:val="18"/>
        </w:rPr>
        <w:t>Yang K et al.  ·  BMC Geriatr  ·  24.07.2026  ·  PMID 42902202</w:t>
      </w:r>
    </w:p>
    <w:p>
      <w:r>
        <w:t>Prospektive Kohortenstudie an 3.092 älteren Chinesen, die vier Muster ungünstiger Kindheitserfahrungen mit Trajectoria gelungenen Alterns über acht Jahre verband.</w:t>
      </w:r>
    </w:p>
    <w:p>
      <w:r>
        <w:rPr>
          <w:b/>
        </w:rPr>
        <w:t xml:space="preserve">Ergebnis: </w:t>
      </w:r>
      <w:r>
        <w:t>Pervasive Adversität (OR 1,97, 95%-KI 1,10–3,83) und Haushalts-Dysfunktion (OR 1,36, 95%-KI 1,07–1,74) verbunden mit ungünstiger Trajectoria. Niedrige Schulbildung stärkster Prädiktor (OR 5,23, 95%-KI 3,84–7,13). Netzwerk-Analyse zeigte stärkere Koppelung von Kognition und chronischem Leiden in der Gruppe mit schlechterer Trajectoria.</w:t>
      </w:r>
    </w:p>
    <w:p>
      <w:r>
        <w:rPr>
          <w:b/>
          <w:sz w:val="19"/>
        </w:rPr>
        <w:t xml:space="preserve">Übertragbarkeit: </w:t>
      </w:r>
      <w:r>
        <w:rPr>
          <w:sz w:val="19"/>
        </w:rPr>
        <w:t>China, CHARLS-Daten; begrenzte Direktübertragbarkeit auf deutsche Versorgung, psychosoziale Mechanismen aber universal.</w:t>
      </w:r>
    </w:p>
    <w:p>
      <w:r>
        <w:rPr>
          <w:color w:val="5A7D3A"/>
          <w:sz w:val="18"/>
        </w:rPr>
        <w:t>https://pubmed.ncbi.nlm.nih.gov/42902202/</w:t>
      </w:r>
    </w:p>
    <w:p>
      <w:pPr>
        <w:pStyle w:val="Heading2"/>
      </w:pPr>
      <w:r>
        <w:t>Frailty und intraoperative Hypotonie bei älteren Patienten mit Hüftfrakturchirurgie</w:t>
      </w:r>
    </w:p>
    <w:p>
      <w:r>
        <w:rPr>
          <w:i/>
          <w:color w:val="666666"/>
          <w:sz w:val="18"/>
        </w:rPr>
        <w:t>Sutthibenjakul K et al.  ·  BMC Geriatr  ·  22.07.2026  ·  PMID 42902188</w:t>
      </w:r>
    </w:p>
    <w:p>
      <w:r>
        <w:t>Retrospektive Kohortenstudie an 522 Patienten ≥65 Jahren mit modifiziertem Frailty-Index zur Assoziation mit perioperativen Blutdruckabfällen.</w:t>
      </w:r>
    </w:p>
    <w:p>
      <w:r>
        <w:rPr>
          <w:b/>
        </w:rPr>
        <w:t xml:space="preserve">Ergebnis: </w:t>
      </w:r>
      <w:r>
        <w:t>Von 522 Patienten 23,8% gebrechlich, 57,1% mit intraoperativer Hypotonie (MAP &lt;65 mmHg). Frailty war nicht unabhängig mit Auftreten der Hypotonie assoziiert (OR 0,77, 95%-KI 0,38–1,53), aber gebrechliche Patienten zeigten längere kumulative Dauer der Hypotonie (p=0,045).</w:t>
      </w:r>
    </w:p>
    <w:p>
      <w:r>
        <w:rPr>
          <w:b/>
          <w:sz w:val="19"/>
        </w:rPr>
        <w:t xml:space="preserve">Übertragbarkeit: </w:t>
      </w:r>
      <w:r>
        <w:rPr>
          <w:sz w:val="19"/>
        </w:rPr>
        <w:t>Thailand, retrospektive Klinikdaten; Frailty-Assessment und perioperatives Monitoring als universelle Prinzipien übertragbar.</w:t>
      </w:r>
    </w:p>
    <w:p>
      <w:r>
        <w:rPr>
          <w:color w:val="5A7D3A"/>
          <w:sz w:val="18"/>
        </w:rPr>
        <w:t>https://pubmed.ncbi.nlm.nih.gov/42902188/</w:t>
      </w:r>
    </w:p>
    <w:p>
      <w:pPr>
        <w:pStyle w:val="Heading2"/>
      </w:pPr>
      <w:r>
        <w:t>Pflegen im Alter: Belastung, psychische Gesundheit und der Schutzeffekt sozialer Ressourcen</w:t>
      </w:r>
    </w:p>
    <w:p>
      <w:r>
        <w:rPr>
          <w:i/>
          <w:color w:val="666666"/>
          <w:sz w:val="18"/>
        </w:rPr>
        <w:t>Chaaya M et al.  ·  BMC Geriatr  ·  22.07.2026  ·  PMID 42902165</w:t>
      </w:r>
    </w:p>
    <w:p>
      <w:r>
        <w:t>Querschnittsstudie an 434 älteren Pflegepersonen im Libanon zur Assoziation zwischen Pflegebelastung und Depression/Angst sowie moderierenden Effekten.</w:t>
      </w:r>
    </w:p>
    <w:p>
      <w:r>
        <w:rPr>
          <w:b/>
        </w:rPr>
        <w:t xml:space="preserve">Ergebnis: </w:t>
      </w:r>
      <w:r>
        <w:t>36,4% mit hoher Pflegebelastung. Hohe Belastung verbunden mit um 7,65 Punkte höheren Depressionsscores (95%-KI 3,48–11,8) und 2,84 Punkte höheren Angstscores (95%-KI 0,73–4,95). Emotionale Unterstützung minderte signifikant den Belastungs-Depressionseffekt; finanzielle Ressourcen nicht.</w:t>
      </w:r>
    </w:p>
    <w:p>
      <w:r>
        <w:rPr>
          <w:b/>
          <w:sz w:val="19"/>
        </w:rPr>
        <w:t xml:space="preserve">Übertragbarkeit: </w:t>
      </w:r>
      <w:r>
        <w:rPr>
          <w:sz w:val="19"/>
        </w:rPr>
        <w:t>Libanon, ungleiche Gesundheitssysteme und Rentensicherung zu Deutschland, aber Mechanismus psychischer Belastung durch informale Pflege universal relevant.</w:t>
      </w:r>
    </w:p>
    <w:p>
      <w:r>
        <w:rPr>
          <w:color w:val="5A7D3A"/>
          <w:sz w:val="18"/>
        </w:rPr>
        <w:t>https://pubmed.ncbi.nlm.nih.gov/42902165/</w:t>
      </w:r>
    </w:p>
    <w:p>
      <w:pPr>
        <w:pStyle w:val="Heading2"/>
      </w:pPr>
      <w:r>
        <w:t>Lipid-Entzündung und Frailty als gemeinsame Treiber der cardiometabolischen Multimorbidität</w:t>
      </w:r>
    </w:p>
    <w:p>
      <w:r>
        <w:rPr>
          <w:i/>
          <w:color w:val="666666"/>
          <w:sz w:val="18"/>
        </w:rPr>
        <w:t>Zhao S et al.  ·  BMC Cardiovasc Disord  ·  25.07.2026  ·  PMID 42902143</w:t>
      </w:r>
    </w:p>
    <w:p>
      <w:r>
        <w:t>Nationale Kohortenstudie an 5.779 chinesischen Erwachsenen zur gemeinsamen Assoziation von Restcholesterin-Entzündungsindex und Frailty mit neuaufgetretener Multimorbidität.</w:t>
      </w:r>
    </w:p>
    <w:p>
      <w:r>
        <w:rPr>
          <w:b/>
        </w:rPr>
        <w:t xml:space="preserve">Ergebnis: </w:t>
      </w:r>
      <w:r>
        <w:t>510 Fälle Multimorbidität über Beobachtungszeit. Hoher RCII kombiniert mit Frailty zeigte HR 2,622 (95%-KI 1,972–3,488). Kumulativer RCII mit Frailty HR 2,849 (95%-KI 2,178–3,726). Modell mit kumulativem RCII und Frailty zeigte höheres AUC als reiner RCII (0,757 vs. 0,740). Additive/multiplikative Interaktion nach voller Anpassung nicht signifikant.</w:t>
      </w:r>
    </w:p>
    <w:p>
      <w:r>
        <w:rPr>
          <w:b/>
          <w:sz w:val="19"/>
        </w:rPr>
        <w:t xml:space="preserve">Übertragbarkeit: </w:t>
      </w:r>
      <w:r>
        <w:rPr>
          <w:sz w:val="19"/>
        </w:rPr>
        <w:t>China, CHARLS; lipidmetabolische Pathways aber transkulturelles Phänomen, Frailty-Screening in Primärversorgung universell.</w:t>
      </w:r>
    </w:p>
    <w:p>
      <w:r>
        <w:rPr>
          <w:color w:val="5A7D3A"/>
          <w:sz w:val="18"/>
        </w:rPr>
        <w:t>https://pubmed.ncbi.nlm.nih.gov/42902143/</w:t>
      </w:r>
    </w:p>
    <w:p>
      <w:pPr>
        <w:pStyle w:val="Heading2"/>
      </w:pPr>
      <w:r>
        <w:t>Wundinfektion nach Herzbypass bei gebrechlichen älteren Patienten: Risikofaktoren und Intervention</w:t>
      </w:r>
    </w:p>
    <w:p>
      <w:r>
        <w:rPr>
          <w:i/>
          <w:color w:val="666666"/>
          <w:sz w:val="18"/>
        </w:rPr>
        <w:t>Guerrieri M et al.  ·  JMIR Cardio  ·  16.10.2026  ·  PMID 42886572</w:t>
      </w:r>
    </w:p>
    <w:p>
      <w:r>
        <w:t>Retrospektive Multicenter-Studie an 467 gebrechlichen/pregebrechlichen Patienten ≥60 Jahren nach Koronarchirurgie zur Assoziation mit Wundinfektionen.</w:t>
      </w:r>
    </w:p>
    <w:p>
      <w:r>
        <w:rPr>
          <w:b/>
        </w:rPr>
        <w:t xml:space="preserve">Ergebnis: </w:t>
      </w:r>
      <w:r>
        <w:t>Wundinfektionsrate 5,6% (26/467). Im multivariaten Modell unabhängig assoziiert: Charlson-Komorbiditätsindex (OR 1,58, 95%-KI 1,25–1,99, p&lt;0,001) und Einsatz kardiopulmonaler Bypass (OR 4,89, 95%-KI 1,71–13,94, p=0,003). Komplikationsraten sonst zwischen Gruppen ähnlich.</w:t>
      </w:r>
    </w:p>
    <w:p>
      <w:r>
        <w:rPr>
          <w:b/>
          <w:sz w:val="19"/>
        </w:rPr>
        <w:t xml:space="preserve">Übertragbarkeit: </w:t>
      </w:r>
      <w:r>
        <w:rPr>
          <w:sz w:val="19"/>
        </w:rPr>
        <w:t>Brasilien, andere Gesundheitsfinanzierung; Frailty-stratifizierte perioperative Risikoadjustierung aber prinzipiell übertragbar.</w:t>
      </w:r>
    </w:p>
    <w:p>
      <w:r>
        <w:rPr>
          <w:color w:val="5A7D3A"/>
          <w:sz w:val="18"/>
        </w:rPr>
        <w:t>https://pubmed.ncbi.nlm.nih.gov/42886572/</w:t>
      </w:r>
    </w:p>
    <w:p>
      <w:pPr>
        <w:pStyle w:val="Heading1"/>
      </w:pPr>
      <w:r>
        <w:t>Aufgenommen am 21.10.2026</w:t>
      </w:r>
    </w:p>
    <w:p>
      <w:pPr>
        <w:pStyle w:val="Heading2"/>
      </w:pPr>
      <w:r>
        <w:t>Soziale Vulnerabilität als Frailty-Dimension in neurodegenerativen Erkrankungen</w:t>
      </w:r>
    </w:p>
    <w:p>
      <w:r>
        <w:rPr>
          <w:i/>
          <w:color w:val="666666"/>
          <w:sz w:val="18"/>
        </w:rPr>
        <w:t>Panzavolta A et al.  ·  Neurol Sci  ·  20.10.2026  ·  PMID 42900408</w:t>
      </w:r>
    </w:p>
    <w:p>
      <w:r>
        <w:t>Querschnittsstudie mit 47 Alzheimer-, 24 Frontotemporale-Demenz- und 66 Kontrollpersonen zur Messung physischer und sozialer Frailty mittels 60-Item-Fragebogen.</w:t>
      </w:r>
    </w:p>
    <w:p>
      <w:r>
        <w:rPr>
          <w:b/>
        </w:rPr>
        <w:t xml:space="preserve">Ergebnis: </w:t>
      </w:r>
      <w:r>
        <w:t>Demenzpatienten zeigten signifikant höhere globale (gFI) und soziale Frailty-Scores (sFI) als Kontrollen; sFI korrelierte mit Schweregrad und kognitiven Mustern bei beiden Demenzformen. Physische Frailty unterschied sich nicht zwischen Gruppen.</w:t>
      </w:r>
    </w:p>
    <w:p>
      <w:r>
        <w:rPr>
          <w:b/>
          <w:sz w:val="19"/>
        </w:rPr>
        <w:t xml:space="preserve">Übertragbarkeit: </w:t>
      </w:r>
      <w:r>
        <w:rPr>
          <w:sz w:val="19"/>
        </w:rPr>
        <w:t>Italien, europäische Versorgungsstruktur; soziale Frailty-Dimension relevant für deutschsprachige geriatrische Praxis.</w:t>
      </w:r>
    </w:p>
    <w:p>
      <w:r>
        <w:rPr>
          <w:color w:val="5A7D3A"/>
          <w:sz w:val="18"/>
        </w:rPr>
        <w:t>https://pubmed.ncbi.nlm.nih.gov/42900408/</w:t>
      </w:r>
    </w:p>
    <w:p>
      <w:pPr>
        <w:pStyle w:val="Heading2"/>
      </w:pPr>
      <w:r>
        <w:t>Unterschiedliche Verlaufsmuster oraler Frailty nach Zahnimplantaten im Alter</w:t>
      </w:r>
    </w:p>
    <w:p>
      <w:r>
        <w:rPr>
          <w:i/>
          <w:color w:val="666666"/>
          <w:sz w:val="18"/>
        </w:rPr>
        <w:t>Zhang Y et al.  ·  Front Public Health  ·  05.10.2026  ·  PMID 42898353</w:t>
      </w:r>
    </w:p>
    <w:p>
      <w:r>
        <w:t>Prospektive Kohortenstudie mit 211 älteren Patienten ≥60 Jahre, die Zahnimplantate erhielten, zur Identifizierung von Frailty-Trajektorien über 12 Monate mittels latent class growth modelling.</w:t>
      </w:r>
    </w:p>
    <w:p>
      <w:r>
        <w:rPr>
          <w:b/>
        </w:rPr>
        <w:t xml:space="preserve">Ergebnis: </w:t>
      </w:r>
      <w:r>
        <w:t>Drei Trajektorien wurden identifiziert: Rascher Rückgang-Stabil (42,7 %), Gradueller Rückgang-Plateau (35,1 %), Persistiert-Hohes-Risiko (22,2 %). Unabhängige Prädiktoren für die Hochrisiko-Gruppe: Alter (aOR 1,12), Polypharmazie (aOR 1,25), fehlende Zähne (aOR 1,09).</w:t>
      </w:r>
    </w:p>
    <w:p>
      <w:r>
        <w:rPr>
          <w:b/>
          <w:sz w:val="19"/>
        </w:rPr>
        <w:t xml:space="preserve">Übertragbarkeit: </w:t>
      </w:r>
      <w:r>
        <w:rPr>
          <w:sz w:val="19"/>
        </w:rPr>
        <w:t>China, aber klinisch-geriatrische Fragestellung; Polypharmazie-Effekt global relevant.</w:t>
      </w:r>
    </w:p>
    <w:p>
      <w:r>
        <w:rPr>
          <w:color w:val="5A7D3A"/>
          <w:sz w:val="18"/>
        </w:rPr>
        <w:t>https://pubmed.ncbi.nlm.nih.gov/42898353/</w:t>
      </w:r>
    </w:p>
    <w:p>
      <w:pPr>
        <w:pStyle w:val="Heading2"/>
      </w:pPr>
      <w:r>
        <w:t>Ernährungsvielfalt und gewonnene gesunde Lebensjahre bei älteren Erwachsenen</w:t>
      </w:r>
    </w:p>
    <w:p>
      <w:r>
        <w:rPr>
          <w:i/>
          <w:color w:val="666666"/>
          <w:sz w:val="18"/>
        </w:rPr>
        <w:t>Shi J et al.  ·  Front Public Health  ·  05.10.2026  ·  PMID 42898119</w:t>
      </w:r>
    </w:p>
    <w:p>
      <w:r>
        <w:t>Prospektive Kohortenstudie mit 9.953 Teilnehmern ≥65 Jahre zur Assoziation zwischen Ernährungsvielfalt und gewonnenen gesunden Lebensjahren (HLE) mittels Multistate-Analyse.</w:t>
      </w:r>
    </w:p>
    <w:p>
      <w:r>
        <w:rPr>
          <w:b/>
        </w:rPr>
        <w:t xml:space="preserve">Ergebnis: </w:t>
      </w:r>
      <w:r>
        <w:t>Bei hoher vs. niedriger Ernährungsvielfalt verlängerte sich die Lebenserwartung mit 65 Jahren um 1,26 Jahre (14,54 vs. 15,80 Jahre) und die HLE um 0,90 Jahre (13,32 vs. 14,22 Jahre). Höhere Ernährungsvielfalt war mit niedrigeren Sterblichkeitsübergängen aus Gesundheit und Behinderung verbunden; diese Unterschiede waren bei Männern und Stadtbewohnern ausgeprägter.</w:t>
      </w:r>
    </w:p>
    <w:p>
      <w:r>
        <w:rPr>
          <w:b/>
          <w:sz w:val="19"/>
        </w:rPr>
        <w:t xml:space="preserve">Übertragbarkeit: </w:t>
      </w:r>
      <w:r>
        <w:rPr>
          <w:sz w:val="19"/>
        </w:rPr>
        <w:t>China, nur bedingt übertragbar - andere Ernährungsmuster und Kohorte ohne europäische Sozialversicherung.</w:t>
      </w:r>
    </w:p>
    <w:p>
      <w:r>
        <w:rPr>
          <w:color w:val="5A7D3A"/>
          <w:sz w:val="18"/>
        </w:rPr>
        <w:t>https://pubmed.ncbi.nlm.nih.gov/42898119/</w:t>
      </w:r>
    </w:p>
    <w:p>
      <w:pPr>
        <w:pStyle w:val="Heading2"/>
      </w:pPr>
      <w:r>
        <w:t>Frailty und atherogenic Index kombiniert vorhersagen Herz-Metab.-Multimorbidität bei Älteren</w:t>
      </w:r>
    </w:p>
    <w:p>
      <w:r>
        <w:rPr>
          <w:i/>
          <w:color w:val="666666"/>
          <w:sz w:val="18"/>
        </w:rPr>
        <w:t>Wu H et al.  ·  J Glob Health  ·  19.10.2026  ·  PMID 42895260</w:t>
      </w:r>
    </w:p>
    <w:p>
      <w:r>
        <w:t>Prospektive Kohortenstudie mit 4.157 Teilnehmern ≥45 Jahre (CHARLS) zur Assoziation zwischen kumulativem AIP-FI-Index (atherogenic index × 37-Deficit-Frailty-Index) und incident cardiometabolic multimorbidity über 8,5 Jahre mittels Cox-Modelle und Machine Learning.</w:t>
      </w:r>
    </w:p>
    <w:p>
      <w:r>
        <w:rPr>
          <w:b/>
        </w:rPr>
        <w:t xml:space="preserve">Ergebnis: </w:t>
      </w:r>
      <w:r>
        <w:t>612 CMM-Fälle: Kumulative AIP-FI zeigte stärkere Assoziation mit CMM-Risiko als Baseline-Wert (HR 1,46 pro SD). Höchstes vs. niedrigstes Quartil: HR 3,95 (95% CI 2,95–5,29). Prädiktive AUC 0,7117 mit NRI 0,157 über traditionelle Marker. Bidirektionale Synergieeffekte zwischen AIP und FI.</w:t>
      </w:r>
    </w:p>
    <w:p>
      <w:r>
        <w:rPr>
          <w:b/>
          <w:sz w:val="19"/>
        </w:rPr>
        <w:t xml:space="preserve">Übertragbarkeit: </w:t>
      </w:r>
      <w:r>
        <w:rPr>
          <w:sz w:val="19"/>
        </w:rPr>
        <w:t>China (CHARLS), aber Konzept der kombinierten Vulnerabilität-Marker übertragbar auf deutsches Assessment.</w:t>
      </w:r>
    </w:p>
    <w:p>
      <w:r>
        <w:rPr>
          <w:color w:val="5A7D3A"/>
          <w:sz w:val="18"/>
        </w:rPr>
        <w:t>https://pubmed.ncbi.nlm.nih.gov/42895260/</w:t>
      </w:r>
    </w:p>
    <w:p>
      <w:pPr>
        <w:pStyle w:val="Heading2"/>
      </w:pPr>
      <w:r>
        <w:t>Triglycerid-Glukose-Frailty-Index bei Rheumatoider Arthritis vorhersagt Herz-Mortalität</w:t>
      </w:r>
    </w:p>
    <w:p>
      <w:r>
        <w:rPr>
          <w:i/>
          <w:color w:val="666666"/>
          <w:sz w:val="18"/>
        </w:rPr>
        <w:t>Xu Y et al.  ·  Medicine (Baltimore)  ·  16.10.2026  ·  PMID 42888590</w:t>
      </w:r>
    </w:p>
    <w:p>
      <w:r>
        <w:t>Querschnitt-Kohortenstudie mit 1.090 US-amerikanischen RA-Patienten aus NHANES 1999–2018 zur Assoziation zwischen TyG-FI (Triglycerid-Glukose-Index × 49-Item-Frailty-Index) und prevalent CVD sowie kardiovaskulärer Mortalität.</w:t>
      </w:r>
    </w:p>
    <w:p>
      <w:r>
        <w:rPr>
          <w:b/>
        </w:rPr>
        <w:t xml:space="preserve">Ergebnis: </w:t>
      </w:r>
      <w:r>
        <w:t>TyG-FI pro Einheit: OR 4,50 (95% CI 3,20–6,33) für prävalente CVD; HR 1,77 (95% CI 1,16–2,70) für Herz-Mortalität. AUC-Modelle mit TyG-FI (0,80 CVD, 0,81 Mortalität) überlegen vs. TyG allein (0,73, 0,80). Stärkere Assoziation bei Alter ≤65 Jahren.</w:t>
      </w:r>
    </w:p>
    <w:p>
      <w:r>
        <w:rPr>
          <w:b/>
          <w:sz w:val="19"/>
        </w:rPr>
        <w:t xml:space="preserve">Übertragbarkeit: </w:t>
      </w:r>
      <w:r>
        <w:rPr>
          <w:sz w:val="19"/>
        </w:rPr>
        <w:t>USA-Kohort, aber RA-assoziierte Multimorbidität und kombinierte Indizes relevant für deutsches Risiko-Assessment.</w:t>
      </w:r>
    </w:p>
    <w:p>
      <w:r>
        <w:rPr>
          <w:color w:val="5A7D3A"/>
          <w:sz w:val="18"/>
        </w:rPr>
        <w:t>https://pubmed.ncbi.nlm.nih.gov/42888590/</w:t>
      </w:r>
    </w:p>
    <w:p>
      <w:pPr>
        <w:pStyle w:val="Heading2"/>
      </w:pPr>
      <w:r>
        <w:t>Gesundheit im Alter als multidimensionales System: Validierung an 46.317 Europäern</w:t>
      </w:r>
    </w:p>
    <w:p>
      <w:r>
        <w:rPr>
          <w:i/>
          <w:color w:val="666666"/>
          <w:sz w:val="18"/>
        </w:rPr>
        <w:t>Tun T et al.  ·  Soc Sci Med  ·  16.09.2026  ·  PMID 42766933</w:t>
      </w:r>
    </w:p>
    <w:p>
      <w:r>
        <w:t>Sekundäranalyse von SHARE Wave 8 mit 46.317 Teilnehmern 50–104 Jahre zur psychometrischen Validierung eines sechsdimensionalen Gesundheitskonstrukts mittels Strukturgleichungsmodellierung.</w:t>
      </w:r>
    </w:p>
    <w:p>
      <w:r>
        <w:rPr>
          <w:b/>
        </w:rPr>
        <w:t xml:space="preserve">Ergebnis: </w:t>
      </w:r>
      <w:r>
        <w:t>Bestätigung einer zweiten Ordnung SEM mit sechs Dimensionen (Physische Gesundheit, Funktionsfähigkeit, Kognition, psychisches Wohlbefinden, finanzielle Autonomie, soziales Engagement) mit Faktorladungen 0,579–0,832 und guten Modellfit-Indizes (RMSEA 0,054, CFI 0,904). Modell war in europäischen Ländern konsistent.</w:t>
      </w:r>
    </w:p>
    <w:p>
      <w:r>
        <w:rPr>
          <w:b/>
          <w:sz w:val="19"/>
        </w:rPr>
        <w:t xml:space="preserve">Übertragbarkeit: </w:t>
      </w:r>
      <w:r>
        <w:rPr>
          <w:sz w:val="19"/>
        </w:rPr>
        <w:t>SHARE-Daten aus 28 europäischen Ländern, direkt auf Deutschland anwendbar.</w:t>
      </w:r>
    </w:p>
    <w:p>
      <w:r>
        <w:rPr>
          <w:color w:val="5A7D3A"/>
          <w:sz w:val="18"/>
        </w:rPr>
        <w:t>https://pubmed.ncbi.nlm.nih.gov/42766933/</w:t>
      </w:r>
    </w:p>
    <w:p>
      <w:pPr>
        <w:pStyle w:val="Heading1"/>
      </w:pPr>
      <w:r>
        <w:t>Aufgenommen am 20.10.2026</w:t>
      </w:r>
    </w:p>
    <w:p>
      <w:pPr>
        <w:pStyle w:val="Heading2"/>
      </w:pPr>
      <w:r>
        <w:t>Ösophagusspasmus bei Hochbetagter: Dysphagie-Diagnose bricht Teufelskreis aus Gewichtsverlust, Sarkopenie und Sturzrisiko</w:t>
      </w:r>
    </w:p>
    <w:p>
      <w:r>
        <w:rPr>
          <w:i/>
          <w:color w:val="666666"/>
          <w:sz w:val="18"/>
        </w:rPr>
        <w:t>Klein J et al.  ·  Dtsch Med Wochenschr  ·  19.10.2026  ·  PMID 42896540</w:t>
      </w:r>
    </w:p>
    <w:p>
      <w:r>
        <w:t>Fallbericht einer 93-jährigen sarkopenen Patientin mit Appetitlosigkeit, Übelkeit und Erbrechen in einer deutschen geriatrischen Klinik, bei der eine Breischluck-Untersuchung einen Ösophagussphinkterspasmus nachwies.</w:t>
      </w:r>
    </w:p>
    <w:p>
      <w:r>
        <w:rPr>
          <w:b/>
        </w:rPr>
        <w:t xml:space="preserve">Ergebnis: </w:t>
      </w:r>
      <w:r>
        <w:t>Nach Diagnose des distalen Motilitätsverluste durch Breischluck-Untersuchung konservative Therapie mit Botulinumtoxin-Injektionen durchgeführt, was kurzfristig zur Symptomverbesserung führte. Patientin kam aus dem Zyklus von Dysphagie → Gewichtsverlust → Sarkopenie → Frailty → Sturz heraus. Fallbericht unterstreicht Notwendigkeit gezielter Diagnostik und Therapie zur Prävention von Komplikationen.</w:t>
      </w:r>
    </w:p>
    <w:p>
      <w:r>
        <w:rPr>
          <w:b/>
          <w:sz w:val="19"/>
        </w:rPr>
        <w:t xml:space="preserve">Übertragbarkeit: </w:t>
      </w:r>
      <w:r>
        <w:rPr>
          <w:sz w:val="19"/>
        </w:rPr>
        <w:t>Deutschland (Bonn); geriatrisches Versorgungssystem und Versorgungskontext direkt anwendbar</w:t>
      </w:r>
    </w:p>
    <w:p>
      <w:r>
        <w:rPr>
          <w:color w:val="5A7D3A"/>
          <w:sz w:val="18"/>
        </w:rPr>
        <w:t>https://pubmed.ncbi.nlm.nih.gov/42896540/</w:t>
      </w:r>
    </w:p>
    <w:p>
      <w:pPr>
        <w:pStyle w:val="Heading2"/>
      </w:pPr>
      <w:r>
        <w:t>Zweistufiges Frailty-Screening in Hepatologie: Stuhl-Test und Griffstärke ersparen zwei Drittel der vollständigen Assessments</w:t>
      </w:r>
    </w:p>
    <w:p>
      <w:r>
        <w:rPr>
          <w:i/>
          <w:color w:val="666666"/>
          <w:sz w:val="18"/>
        </w:rPr>
        <w:t>Wang J et al.  ·  Nurs Open  ·  Okt. 2026  ·  PMID 42896173</w:t>
      </w:r>
    </w:p>
    <w:p>
      <w:r>
        <w:t>Querschnittstudie bei 606 hospitalisierten Patienten mit chronischer Lebererkrankung (August 2021–August 2025), die eine Pflegekraft-getragene Screening-Strategie mit Timed-Chair-Stand und Griffstärke gegen den Liver Frailty Index validierte.</w:t>
      </w:r>
    </w:p>
    <w:p>
      <w:r>
        <w:rPr>
          <w:b/>
        </w:rPr>
        <w:t xml:space="preserve">Ergebnis: </w:t>
      </w:r>
      <w:r>
        <w:t>Frailty-Prävalenz 18,6%. Einstufiges Screening (Chair-Stands ≥16,55 s oder Griffstärke ≤23,42 kg) erreichte 100% Sensitivität (Negative Predictive Value 1,000), identifizierte alle frailen Fälle und vermied 62,3% der vollständigen Assessments. Null verpasste Fälle in fünf Split-Sample-Analysen reproduziert.</w:t>
      </w:r>
    </w:p>
    <w:p>
      <w:r>
        <w:rPr>
          <w:b/>
          <w:sz w:val="19"/>
        </w:rPr>
        <w:t xml:space="preserve">Übertragbarkeit: </w:t>
      </w:r>
      <w:r>
        <w:rPr>
          <w:sz w:val="19"/>
        </w:rPr>
        <w:t>China; aber Screening-Kriterien und hepatologische Versorgung international ähnlich, externe Validierung ausstehend</w:t>
      </w:r>
    </w:p>
    <w:p>
      <w:r>
        <w:rPr>
          <w:color w:val="5A7D3A"/>
          <w:sz w:val="18"/>
        </w:rPr>
        <w:t>https://pubmed.ncbi.nlm.nih.gov/42896173/</w:t>
      </w:r>
    </w:p>
    <w:p>
      <w:pPr>
        <w:pStyle w:val="Heading2"/>
      </w:pPr>
      <w:r>
        <w:t>Frailty reduziert Arbeitsfähigkeit im Alter um vier bis acht Jahre</w:t>
      </w:r>
    </w:p>
    <w:p>
      <w:r>
        <w:rPr>
          <w:i/>
          <w:color w:val="666666"/>
          <w:sz w:val="18"/>
        </w:rPr>
        <w:t>Shui Y et al.  ·  J Glob Health  ·  19.10.2026  ·  PMID 42895270</w:t>
      </w:r>
    </w:p>
    <w:p>
      <w:r>
        <w:t>Multistate-Markov-Modelle bei 180.314 Personen ≥50 Jahren aus fünf harmonisierten Kohorten (33 Länder) zur Assoziation von Frailty-Status (robust, pre-frail, frail) mit gesunder Arbeitslebenserwartung (HWLE) im Alter von 50 Jahren.</w:t>
      </w:r>
    </w:p>
    <w:p>
      <w:r>
        <w:rPr>
          <w:b/>
        </w:rPr>
        <w:t xml:space="preserve">Ergebnis: </w:t>
      </w:r>
      <w:r>
        <w:t>HWLE bei 50 Jahren: 11,87 Jahre (95%-KI 11,74–12,00) robust, 7,34 Jahre (7,19–7,50) pre-frail, 3,77 Jahre (3,57–3,97) frail. Gegenüber robusten Personen: 4,53 Jahre kürzer (95%-KI −4,76, −4,29) pre-frail, 8,11 Jahre kürzer (−8,38, −7,84) frail. Männer hatten längere HWLE als Frauen in robusten und pre-frailen Gruppen. Höhere Bildung, Nichtrauchen und günstige nationale Faktoren verlängerten HWLE.</w:t>
      </w:r>
    </w:p>
    <w:p>
      <w:r>
        <w:rPr>
          <w:b/>
          <w:sz w:val="19"/>
        </w:rPr>
        <w:t xml:space="preserve">Übertragbarkeit: </w:t>
      </w:r>
      <w:r>
        <w:rPr>
          <w:sz w:val="19"/>
        </w:rPr>
        <w:t>33 Länder inklusive europäische; Frailty-Index robust, Bezug zu Arbeitsmarkt und Rente unterscheidet sich, aber Grundmechanismus universell</w:t>
      </w:r>
    </w:p>
    <w:p>
      <w:r>
        <w:rPr>
          <w:color w:val="5A7D3A"/>
          <w:sz w:val="18"/>
        </w:rPr>
        <w:t>https://pubmed.ncbi.nlm.nih.gov/42895270/</w:t>
      </w:r>
    </w:p>
    <w:p>
      <w:pPr>
        <w:pStyle w:val="Heading2"/>
      </w:pPr>
      <w:r>
        <w:t>Frailty-Trajektoren vorhersagen Osteoporose-Risiko stärker als einzelne Messungen</w:t>
      </w:r>
    </w:p>
    <w:p>
      <w:r>
        <w:rPr>
          <w:i/>
          <w:color w:val="666666"/>
          <w:sz w:val="18"/>
        </w:rPr>
        <w:t>Zhou J et al.  ·  J Glob Health  ·  19.10.2026  ·  PMID 42895262</w:t>
      </w:r>
    </w:p>
    <w:p>
      <w:r>
        <w:t>Longitudinale Kohortenstudie mit drei großen harmonisierten Datensätzen (HRS, ELSA, SHARE; ≥50 Jahre) zum Zusammenhang zwischen Frailty-Index-Verlauf und neuaufgetretener Osteoporose über 4–8 Jahre Nachbeobachtung.</w:t>
      </w:r>
    </w:p>
    <w:p>
      <w:r>
        <w:rPr>
          <w:b/>
        </w:rPr>
        <w:t xml:space="preserve">Ergebnis: </w:t>
      </w:r>
      <w:r>
        <w:t>Insgesamt 244 (ELSA), 2.693 (SHARE) und 1.986 (HRS) Neuerkrankungen mit Osteoporose. Höherer baseline Frailty Index unabhängig assoziiert mit erhöhtem Osteoporose-Risiko (HRS HR 1,43; 95%-KI 1,36–1,50; ELSA HR 1,36; 1,19–1,57; SHARE HR 1,39; 1,33–1,45, alle p&lt;0,001). Vier identifizierte Frailty-Trajektoren zeigten generell erhöhte Osteoporose-Risiken. Nichtlineare Analysen wiesen Schwellenwerteffekte auf (steilere Anstiege bei niedrigeren FI-Werten). Griffstärke vermittelte Assoziation partiell.</w:t>
      </w:r>
    </w:p>
    <w:p>
      <w:r>
        <w:rPr>
          <w:b/>
          <w:sz w:val="19"/>
        </w:rPr>
        <w:t xml:space="preserve">Übertragbarkeit: </w:t>
      </w:r>
      <w:r>
        <w:rPr>
          <w:sz w:val="19"/>
        </w:rPr>
        <w:t>Europäische und US-Kohorten; Frailty Index und Osteoporose-Definitions vergleichbar international</w:t>
      </w:r>
    </w:p>
    <w:p>
      <w:r>
        <w:rPr>
          <w:color w:val="5A7D3A"/>
          <w:sz w:val="18"/>
        </w:rPr>
        <w:t>https://pubmed.ncbi.nlm.nih.gov/42895262/</w:t>
      </w:r>
    </w:p>
    <w:p>
      <w:pPr>
        <w:pStyle w:val="Heading2"/>
      </w:pPr>
      <w:r>
        <w:t>Schädlicher Alkoholkonsum bei älteren Sturzpatienten häufig, mit Hyponatriämie assoziiert</w:t>
      </w:r>
    </w:p>
    <w:p>
      <w:r>
        <w:rPr>
          <w:i/>
          <w:color w:val="666666"/>
          <w:sz w:val="18"/>
        </w:rPr>
        <w:t>Rogmark C et al.  ·  Acta Orthop  ·  19.10.2026  ·  PMID 42894497</w:t>
      </w:r>
    </w:p>
    <w:p>
      <w:r>
        <w:t>Prospektive Kohortenstudie bei 505 Personen ≥65 Jahren mit akuter Sturz-bedingter Fraktur (Februar 2023–August 2024), die Phosphatidylethanol (PEth) als objektiven Marker für chronischen Alkoholkonsum zur Risikostratifizierung nutzte.</w:t>
      </w:r>
    </w:p>
    <w:p>
      <w:r>
        <w:rPr>
          <w:b/>
        </w:rPr>
        <w:t xml:space="preserve">Ergebnis: </w:t>
      </w:r>
      <w:r>
        <w:t>13% zeigten schädlichen Alkoholkonsum (PEth &gt;0,30 µmol/L), 8,9% intermediären Konsum (0,05–0,30), 78% keinen/niedrigen Konsum (&lt;0,05). Von nicht-frailen Patienten hatten 18% schädlichen und 11% intermediären Konsum. In der propensity-score-gematchten Kohorte: Alkoholkonsum assoziiert mit höherer Hyponatriämie-Wahrscheinlichkeit (OR 2,3; 95%-KI 1,1–4,5; p=0,02). Trend zu niedrigerer 90-Tages-Mortalität (OR 0,2; 95%-KI 0,1–1,0; p=0,05).</w:t>
      </w:r>
    </w:p>
    <w:p>
      <w:r>
        <w:rPr>
          <w:b/>
          <w:sz w:val="19"/>
        </w:rPr>
        <w:t xml:space="preserve">Übertragbarkeit: </w:t>
      </w:r>
      <w:r>
        <w:rPr>
          <w:sz w:val="19"/>
        </w:rPr>
        <w:t>Schweden (Lund/Malmö); Trauma-Management und Frailty-Screening vergleichbar mit Deutschland</w:t>
      </w:r>
    </w:p>
    <w:p>
      <w:r>
        <w:rPr>
          <w:color w:val="5A7D3A"/>
          <w:sz w:val="18"/>
        </w:rPr>
        <w:t>https://pubmed.ncbi.nlm.nih.gov/42894497/</w:t>
      </w:r>
    </w:p>
    <w:p>
      <w:pPr>
        <w:pStyle w:val="Heading2"/>
      </w:pPr>
      <w:r>
        <w:t>Soziale Kontakte fördern Grundfähigkeiten im Alter weltweit</w:t>
      </w:r>
    </w:p>
    <w:p>
      <w:r>
        <w:rPr>
          <w:i/>
          <w:color w:val="666666"/>
          <w:sz w:val="18"/>
        </w:rPr>
        <w:t>Lai ETC et al.  ·  Lancet Healthy Longev  ·  12.10.2026  ·  PMID 42863480</w:t>
      </w:r>
    </w:p>
    <w:p>
      <w:r>
        <w:t>Harmonisierte Längsschnittstudie zu 39.021 Personen ab 50 Jahren aus fünf Kohorten (USA, England, Europa, China, Japan), die den Zusammenhang zwischen sozialer Vernetzung und intrinsischer Kapazität (fünf Domänen: Kognition, Psyche, Sinne, Bewegung, Vitalität) untersuchte.</w:t>
      </w:r>
    </w:p>
    <w:p>
      <w:r>
        <w:rPr>
          <w:b/>
        </w:rPr>
        <w:t xml:space="preserve">Ergebnis: </w:t>
      </w:r>
      <w:r>
        <w:t>Höhere baseline soziale Vernetzung korrelierte mit besserer gesamter intrinsischer Kapazität (β=0,04 SD pro Punkt; 95%-KI 0,03–0,06). Stärkste Assoziationen zeigten sich in psychologischer (β=0,05 SD) und kognitiver Domäne (β=0,03 SD), beide p&lt;0,001. Soziale Partizipation und Partnerschaft waren am konsistentesten mit höherer Kapazität assoziiert. Baseline-Vernetzung sagte jedoch keine unterschiedlichen Raten des Funktionsverfalls über Follow-up voraus (β=0,0024 SD/Jahr; 95%-KI −0,0004 bis 0,0053).</w:t>
      </w:r>
    </w:p>
    <w:p>
      <w:r>
        <w:rPr>
          <w:b/>
          <w:sz w:val="19"/>
        </w:rPr>
        <w:t xml:space="preserve">Übertragbarkeit: </w:t>
      </w:r>
      <w:r>
        <w:rPr>
          <w:sz w:val="19"/>
        </w:rPr>
        <w:t>England und europäische Kohorten, vergleichbare Altersstrukturen und Sozialversicherungssysteme (SHARE-Daten)</w:t>
      </w:r>
    </w:p>
    <w:p>
      <w:r>
        <w:rPr>
          <w:color w:val="5A7D3A"/>
          <w:sz w:val="18"/>
        </w:rPr>
        <w:t>https://pubmed.ncbi.nlm.nih.gov/42863480/</w:t>
      </w:r>
    </w:p>
    <w:p>
      <w:pPr>
        <w:pStyle w:val="Heading2"/>
      </w:pPr>
      <w:r>
        <w:t>Bessere Grundfähigkeiten in neueren Generationen Europas – aber mit wachsenden Ungleichheiten</w:t>
      </w:r>
    </w:p>
    <w:p>
      <w:r>
        <w:rPr>
          <w:i/>
          <w:color w:val="666666"/>
          <w:sz w:val="18"/>
        </w:rPr>
        <w:t>Beard JR et al.  ·  Lancet Healthy Longev  ·  09.10.2026  ·  PMID 42854708</w:t>
      </w:r>
    </w:p>
    <w:p>
      <w:r>
        <w:t>Analyse von sieben Wellen der SHARE-Studie (2004–2022) bei 80.105 Personen ab 50 Jahren aus zehn europäischen Ländern zur Entwicklung der intrinsischen Kapazität über Geburtskohorten.</w:t>
      </w:r>
    </w:p>
    <w:p>
      <w:r>
        <w:rPr>
          <w:b/>
        </w:rPr>
        <w:t xml:space="preserve">Ergebnis: </w:t>
      </w:r>
      <w:r>
        <w:t>Neuere Geburtskohorten zeigten bei Studieneintritt höhere intrinsische Kapazität (Geburtsjahrkoeffizient 0,797; 95%-KI 0,780–0,815, p&lt;0,0001) und langsamere 10-Jahres-Rückgänge (0,426; 95%-KI 0,372–0,480, p&lt;0,0001). Frauen verzeichneten größere Gewinne als Männer. Länder mit niedrigerer Ausgangskapazität (z. B. Italien) zeigten größere Verbesserungen, aber kleinere Verlangsamungen im Rückgang. Höherer sozioökonomischer Status war mit größeren Gewinnen assoziiert, was Ungleichheiten verschärfte.</w:t>
      </w:r>
    </w:p>
    <w:p>
      <w:r>
        <w:rPr>
          <w:b/>
          <w:sz w:val="19"/>
        </w:rPr>
        <w:t xml:space="preserve">Übertragbarkeit: </w:t>
      </w:r>
      <w:r>
        <w:rPr>
          <w:sz w:val="19"/>
        </w:rPr>
        <w:t>10 europäische SHARE-Länder inklusive Deutschland; direkt auf deutsches Gesundheitssystem übertragbar</w:t>
      </w:r>
    </w:p>
    <w:p>
      <w:r>
        <w:rPr>
          <w:color w:val="5A7D3A"/>
          <w:sz w:val="18"/>
        </w:rPr>
        <w:t>https://pubmed.ncbi.nlm.nih.gov/42854708/</w:t>
      </w:r>
    </w:p>
    <w:p>
      <w:pPr>
        <w:pStyle w:val="Heading1"/>
      </w:pPr>
      <w:r>
        <w:t>Aufgenommen am 19.10.2026</w:t>
      </w:r>
    </w:p>
    <w:p>
      <w:pPr>
        <w:pStyle w:val="Heading2"/>
      </w:pPr>
      <w:r>
        <w:t>Geriatrische Schulungslücken in ambulanter Versorgung: Bedarfsanalyse aus 41 europäischen Ländern</w:t>
      </w:r>
    </w:p>
    <w:p>
      <w:r>
        <w:rPr>
          <w:i/>
          <w:color w:val="666666"/>
          <w:sz w:val="18"/>
        </w:rPr>
        <w:t>Kravvariti E et al.  ·  Age Ageing  ·  03.08.2026  ·  PMID 42891966</w:t>
      </w:r>
    </w:p>
    <w:p>
      <w:r>
        <w:t>Querschnittsbefragung von 2380 Fachkräften (Ärzte, Pflege, Diätassistenten, Therapeuten) aus Ambulanzen und häuslichen Diensten zur Selbsteinschätzung ihres Wissensstands bei 33 geriatrischen Themen.</w:t>
      </w:r>
    </w:p>
    <w:p>
      <w:r>
        <w:rPr>
          <w:b/>
        </w:rPr>
        <w:t xml:space="preserve">Ergebnis: </w:t>
      </w:r>
      <w:r>
        <w:t>Erhebliche Wissenslücken in allen Berufsgruppen: Umfassendes geriatrisches Assessment, Frailty-Screening, Polymedikation und Deprescribing, Sarkopenie, Dysphagie sowie Verhaltens- und Depressionssymptome bei Demenz zählten zu den Top-Defiziten. Profession-spezifische Prioritäten: Kommunikation und Vorsorgeverfügungen für Pflege, Deprescribing für Ärzte und Apotheker, Ernährungsassessment für Diätassistenten.</w:t>
      </w:r>
    </w:p>
    <w:p>
      <w:r>
        <w:rPr>
          <w:b/>
          <w:sz w:val="19"/>
        </w:rPr>
        <w:t xml:space="preserve">Übertragbarkeit: </w:t>
      </w:r>
      <w:r>
        <w:rPr>
          <w:sz w:val="19"/>
        </w:rPr>
        <w:t>41 europäische Länder, direkt relevant für deutschsprachigen Raum und Versorgungsstrukturen</w:t>
      </w:r>
    </w:p>
    <w:p>
      <w:r>
        <w:rPr>
          <w:color w:val="5A7D3A"/>
          <w:sz w:val="18"/>
        </w:rPr>
        <w:t>https://pubmed.ncbi.nlm.nih.gov/42891966/</w:t>
      </w:r>
    </w:p>
    <w:p>
      <w:pPr>
        <w:pStyle w:val="Heading2"/>
      </w:pPr>
      <w:r>
        <w:t>Elektronischer Frailty-Index sagt Sterblichkeit bei älteren Menschen voraus</w:t>
      </w:r>
    </w:p>
    <w:p>
      <w:r>
        <w:rPr>
          <w:i/>
          <w:color w:val="666666"/>
          <w:sz w:val="18"/>
        </w:rPr>
        <w:t>Du X et al.  ·  Front Public Health  ·  02.10.2026  ·  PMID 42890831</w:t>
      </w:r>
    </w:p>
    <w:p>
      <w:r>
        <w:t>Systematische Übersichtsarbeit und Meta-Analyse von 12 Studien (13 Kohorten mit 11 Hazard-Ratio- und 2 Odds-Ratio-Analysen) zur Assoziation zwischen elektronischem Frailty-Index (eFI) und Mortalität.</w:t>
      </w:r>
    </w:p>
    <w:p>
      <w:r>
        <w:rPr>
          <w:b/>
        </w:rPr>
        <w:t xml:space="preserve">Ergebnis: </w:t>
      </w:r>
      <w:r>
        <w:t>Dosisabhängige Assoziation: Milde Frailty (HR 1,81), moderate Frailty (HR 2,95) und schwere Frailty (HR 4,41) gegenüber nicht-frailer Gruppe. Erhebliche Heterogenität zwischen Studien je nach Nachbeobachtungsdauer, eFI-Schwellenwert und Studienumfeld. eFI scheint nützlich für Frailty-Screening und Risikostratifizierung, aber Ergebnisse erfordern vorsichtige Interpretation.</w:t>
      </w:r>
    </w:p>
    <w:p>
      <w:r>
        <w:rPr>
          <w:b/>
          <w:sz w:val="19"/>
        </w:rPr>
        <w:t xml:space="preserve">Übertragbarkeit: </w:t>
      </w:r>
      <w:r>
        <w:rPr>
          <w:sz w:val="19"/>
        </w:rPr>
        <w:t>UK Biobank und andere, elektronische Gesundheitsregisterdaten wie in Deutschland verfügbar</w:t>
      </w:r>
    </w:p>
    <w:p>
      <w:r>
        <w:rPr>
          <w:color w:val="5A7D3A"/>
          <w:sz w:val="18"/>
        </w:rPr>
        <w:t>https://pubmed.ncbi.nlm.nih.gov/42890831/</w:t>
      </w:r>
    </w:p>
    <w:p>
      <w:pPr>
        <w:pStyle w:val="Heading2"/>
      </w:pPr>
      <w:r>
        <w:t>Orale Frailty bei älteren Menschen mit Multimorbidität: Prävalenz 71,2%, verknüpft mit körperlicher Frailty</w:t>
      </w:r>
    </w:p>
    <w:p>
      <w:r>
        <w:rPr>
          <w:i/>
          <w:color w:val="666666"/>
          <w:sz w:val="18"/>
        </w:rPr>
        <w:t>Zhou Y et al.  ·  Front Public Health  ·  02.10.2026  ·  PMID 42890626</w:t>
      </w:r>
    </w:p>
    <w:p>
      <w:r>
        <w:t>Querschnittsstudie von 393 Personen ≥60 Jahre mit ≥1 chronischer Erkrankung in Nordostchina zur Prävalenz oraler Frailty mittels Oral Frailty Index-8 (OFI-8) und assoziierten Faktoren.</w:t>
      </w:r>
    </w:p>
    <w:p>
      <w:r>
        <w:rPr>
          <w:b/>
        </w:rPr>
        <w:t xml:space="preserve">Ergebnis: </w:t>
      </w:r>
      <w:r>
        <w:t>71,2% (n=280) orale Frailty (OFI-8: 5,61±2,58). Häufigste Items: Schwierigkeiten mit harter Nahrung 62,3%, Verschlucken 48,6%, Mundtrockenheit 45,8%. Unabhängig assoziiert: höheres Alter, weibliches Geschlecht, niedriges Einkommen, niedriger/hoher BMI, Alkoholkonsum, körperliche Frailty, Schlafstörung, negative Altersattitude, ≥3 Erkrankungen, Diabetes (alle p&lt;0,05).</w:t>
      </w:r>
    </w:p>
    <w:p>
      <w:r>
        <w:rPr>
          <w:b/>
          <w:sz w:val="19"/>
        </w:rPr>
        <w:t xml:space="preserve">Übertragbarkeit: </w:t>
      </w:r>
      <w:r>
        <w:rPr>
          <w:sz w:val="19"/>
        </w:rPr>
        <w:t>China, ethnische Minderheit – überwiegend strukturelle Befunde, Screening-Befund direkt relevant</w:t>
      </w:r>
    </w:p>
    <w:p>
      <w:r>
        <w:rPr>
          <w:color w:val="5A7D3A"/>
          <w:sz w:val="18"/>
        </w:rPr>
        <w:t>https://pubmed.ncbi.nlm.nih.gov/42890626/</w:t>
      </w:r>
    </w:p>
    <w:p>
      <w:pPr>
        <w:pStyle w:val="Heading2"/>
      </w:pPr>
      <w:r>
        <w:t>Frailty mit multilokulalen Schmerzen vergesellschaftet, teilweise durch Depression vermittelt</w:t>
      </w:r>
    </w:p>
    <w:p>
      <w:r>
        <w:rPr>
          <w:i/>
          <w:color w:val="666666"/>
          <w:sz w:val="18"/>
        </w:rPr>
        <w:t>Cheng Y et al.  ·  Medicine (Baltimore)  ·  16.10.2026  ·  PMID 42888628</w:t>
      </w:r>
    </w:p>
    <w:p>
      <w:r>
        <w:t>Querschnittsanalyse von 5281 Personen ≥45 Jahre aus China Health and Retirement Longitudinal Study zu Assoziation zwischen korrigiertem modifiziertem Frailty-Index (CMFI) und chronischen Schmerzen mit Mediationsanalyse.</w:t>
      </w:r>
    </w:p>
    <w:p>
      <w:r>
        <w:rPr>
          <w:b/>
        </w:rPr>
        <w:t xml:space="preserve">Ergebnis: </w:t>
      </w:r>
      <w:r>
        <w:t>Höherer CMFI stark mit erhöhtem Schmerz-Risiko assoziiert: Höchstes vs. niedrigstes CMFI-Quartil zeigte 11,6-fach erhöhtes Risiko für Kreuzschmerzen, 17,0-fach für Multisite-Schmerzen und 11,5-fach höhere Schmerzlokalisationen. Depression vermittelte ca. 30% dieser Assoziationen. Unterschiede nach Alter, Bildung und Wohnort.</w:t>
      </w:r>
    </w:p>
    <w:p>
      <w:r>
        <w:rPr>
          <w:b/>
          <w:sz w:val="19"/>
        </w:rPr>
        <w:t xml:space="preserve">Übertragbarkeit: </w:t>
      </w:r>
      <w:r>
        <w:rPr>
          <w:sz w:val="19"/>
        </w:rPr>
        <w:t>China, vergleichbare Altersstruktur – Befunde aber nicht direkt auf deutsche Sozialversicherung übertragbar</w:t>
      </w:r>
    </w:p>
    <w:p>
      <w:r>
        <w:rPr>
          <w:color w:val="5A7D3A"/>
          <w:sz w:val="18"/>
        </w:rPr>
        <w:t>https://pubmed.ncbi.nlm.nih.gov/42888628/</w:t>
      </w:r>
    </w:p>
    <w:p>
      <w:pPr>
        <w:pStyle w:val="Heading2"/>
      </w:pPr>
      <w:r>
        <w:t>Höhere Frailty mit schlechterer Herzgesundheit: Dosis-Wirkungs-Beziehung in US-Stichprobe</w:t>
      </w:r>
    </w:p>
    <w:p>
      <w:r>
        <w:rPr>
          <w:i/>
          <w:color w:val="666666"/>
          <w:sz w:val="18"/>
        </w:rPr>
        <w:t>Yan W et al.  ·  Medicine (Baltimore)  ·  16.10.2026  ·  PMID 42888560</w:t>
      </w:r>
    </w:p>
    <w:p>
      <w:r>
        <w:t>Querschnittsanalyse von 8015 Erwachsenen ≥20 Jahre aus NHANES 2007–2018 zur Assoziation zwischen Frailty-Index und kardiovaskulärer Gesundheit nach American Heart Association Definition.</w:t>
      </w:r>
    </w:p>
    <w:p>
      <w:r>
        <w:rPr>
          <w:b/>
        </w:rPr>
        <w:t xml:space="preserve">Ergebnis: </w:t>
      </w:r>
      <w:r>
        <w:t>Höhere Frailty-Niveaus linear mit erhöhtem Risiko schlechter kardiovaskulärer Gesundheit assoziiert (dosisabhängig). Serum-25(OH)D-Level unabhängig invers mit schlechter kardiovaskulärer Gesundheit assoziiert. Keine statistisch signifikante multiplikative Interaktion zwischen Frailty und 25(OH)D. Assoziationen variierten nach Geschlecht und 25(OH)D-Status.</w:t>
      </w:r>
    </w:p>
    <w:p>
      <w:r>
        <w:rPr>
          <w:b/>
          <w:sz w:val="19"/>
        </w:rPr>
        <w:t xml:space="preserve">Übertragbarkeit: </w:t>
      </w:r>
      <w:r>
        <w:rPr>
          <w:sz w:val="19"/>
        </w:rPr>
        <w:t>USA, aber Frailty-Kardiovaskularität-Assoziation prinzipiell übertragbar</w:t>
      </w:r>
    </w:p>
    <w:p>
      <w:r>
        <w:rPr>
          <w:color w:val="5A7D3A"/>
          <w:sz w:val="18"/>
        </w:rPr>
        <w:t>https://pubmed.ncbi.nlm.nih.gov/42888560/</w:t>
      </w:r>
    </w:p>
    <w:p>
      <w:pPr>
        <w:pStyle w:val="Heading2"/>
      </w:pPr>
      <w:r>
        <w:t>Handgriffkraft und Stuhlaufstehen als Functional-Indikatoren: Methodische Vorbehalte bei multizentrischen Studien</w:t>
      </w:r>
    </w:p>
    <w:p>
      <w:r>
        <w:rPr>
          <w:i/>
          <w:color w:val="666666"/>
          <w:sz w:val="18"/>
        </w:rPr>
        <w:t>Kudratova Z et al.  ·  Aging Clin Exp Res  ·  15.10.2026  ·  PMID 42875631</w:t>
      </w:r>
    </w:p>
    <w:p>
      <w:r>
        <w:t>Methodologischer Kommentar zu Prospektivanalyse über kumulative Handgriffkraft und erfolgreiches Altern in drei internationalen Kohorten, kritische Bewertung von Studiendesign und Vergleichbarkeit.</w:t>
      </w:r>
    </w:p>
    <w:p>
      <w:r>
        <w:rPr>
          <w:b/>
        </w:rPr>
        <w:t xml:space="preserve">Ergebnis: </w:t>
      </w:r>
      <w:r>
        <w:t>Handgriffkraft erfasst nicht alle funktionellen Determinanten erfolgreiches Alterns. Selbstberichtete chronische Erkrankungen verursachen Klassifizierungsfehler (unterschiedlich nach Sozioökonomie). Zwei-Phasen-Temporaldesign adressiert Selektionsbias und Kohortengrenzen unzureichend. Kohorten-relatives kognitives Schwellenwert gefährdet Bevölkerungsvergleichbarkeit. Empfehlung: stärkere methodologische Reflexion und Standardisierung.</w:t>
      </w:r>
    </w:p>
    <w:p>
      <w:r>
        <w:rPr>
          <w:b/>
          <w:sz w:val="19"/>
        </w:rPr>
        <w:t xml:space="preserve">Übertragbarkeit: </w:t>
      </w:r>
      <w:r>
        <w:rPr>
          <w:sz w:val="19"/>
        </w:rPr>
        <w:t>Internationale Kohorten (USA, Asien, Europa), Methoden-Review – Design-Kritik grundsätzlich relevant</w:t>
      </w:r>
    </w:p>
    <w:p>
      <w:r>
        <w:rPr>
          <w:color w:val="5A7D3A"/>
          <w:sz w:val="18"/>
        </w:rPr>
        <w:t>https://pubmed.ncbi.nlm.nih.gov/42875631/</w:t>
      </w:r>
    </w:p>
    <w:p>
      <w:pPr>
        <w:pStyle w:val="Heading1"/>
      </w:pPr>
      <w:r>
        <w:t>Aufgenommen am 18.10.2026</w:t>
      </w:r>
    </w:p>
    <w:p>
      <w:pPr>
        <w:pStyle w:val="Heading2"/>
      </w:pPr>
      <w:r>
        <w:t>Krafttraining senkt Gebrechlichkeit im Alter stärker als Gehen oder Tai Chi</w:t>
      </w:r>
    </w:p>
    <w:p>
      <w:r>
        <w:rPr>
          <w:i/>
          <w:color w:val="666666"/>
          <w:sz w:val="18"/>
        </w:rPr>
        <w:t>Li J et al.  ·  Front Public Health  ·  02.10.2026  ·  PMID 42891303</w:t>
      </w:r>
    </w:p>
    <w:p>
      <w:r>
        <w:t>Systematische Übersicht mit Metaanalyse von randomisierten Studien zu Krafttraining, Gehen und Tai Chi bei älteren Menschen mit Gebrechlichkeit (Frailty).</w:t>
      </w:r>
    </w:p>
    <w:p>
      <w:r>
        <w:rPr>
          <w:b/>
        </w:rPr>
        <w:t xml:space="preserve">Ergebnis: </w:t>
      </w:r>
      <w:r>
        <w:t>Bei 1.361 Teilnehmern zeigte Krafttraining eine signifikante Reduktion von Gebrechlichkeit (SMD = -0,78, 95%-KI -1,22 bis -0,35), während Gehen und Tai Chi keine statistisch signifikanten Effekte aufwiesen. Heterogenität war erheblich (I² = 88%), und optimale Dosierungsempfehlungen konnten nicht abgeleitet werden.</w:t>
      </w:r>
    </w:p>
    <w:p>
      <w:r>
        <w:rPr>
          <w:b/>
          <w:sz w:val="19"/>
        </w:rPr>
        <w:t xml:space="preserve">Übertragbarkeit: </w:t>
      </w:r>
      <w:r>
        <w:rPr>
          <w:sz w:val="19"/>
        </w:rPr>
        <w:t>Internationale Evidenz, direkt auf deutsches Versorgungssystem übertragbar</w:t>
      </w:r>
    </w:p>
    <w:p>
      <w:r>
        <w:rPr>
          <w:color w:val="5A7D3A"/>
          <w:sz w:val="18"/>
        </w:rPr>
        <w:t>https://pubmed.ncbi.nlm.nih.gov/42891303/</w:t>
      </w:r>
    </w:p>
    <w:p>
      <w:pPr>
        <w:pStyle w:val="Heading1"/>
      </w:pPr>
      <w:r>
        <w:t>Aufgenommen am 17.10.2026</w:t>
      </w:r>
    </w:p>
    <w:p>
      <w:pPr>
        <w:pStyle w:val="Heading2"/>
      </w:pPr>
      <w:r>
        <w:t>Vitamin-D-Mangel und Frailty-Risiko im Alter: Assoziationen in USA-Daten</w:t>
      </w:r>
    </w:p>
    <w:p>
      <w:r>
        <w:rPr>
          <w:i/>
          <w:color w:val="666666"/>
          <w:sz w:val="18"/>
        </w:rPr>
        <w:t>Zheng J et al.  ·  Aging Male  ·  31.12.2026  ·  PMID 42886648</w:t>
      </w:r>
    </w:p>
    <w:p>
      <w:r>
        <w:t>Querschnittanalyse von 8.064 US-Amerikanern über 40 Jahren, untersucht die Beziehung zwischen Serum-Vitamin-D und Gebrechlichkeit mit einem 49-Item-Frailty-Index.</w:t>
      </w:r>
    </w:p>
    <w:p>
      <w:r>
        <w:rPr>
          <w:b/>
        </w:rPr>
        <w:t xml:space="preserve">Ergebnis: </w:t>
      </w:r>
      <w:r>
        <w:t>Vitamin-D-Mangel (&lt;25 nmol/L) war mit erhöhtem Frailty-Risiko assoziiert (OR 2,15, 95% CI 1,42–3,25), während Insuffizienz nicht signifikant war (OR 1,15, 95% CI 0,95–1,38). Gebrechlichkeitsprävalenz: Mangel 55,9%, Insuffizienz 42,9%, ausreichend 37,2%. U-förmiger Zusammenhang zwischen Vitamin-D und Frailty-Index.</w:t>
      </w:r>
    </w:p>
    <w:p>
      <w:r>
        <w:rPr>
          <w:b/>
          <w:sz w:val="19"/>
        </w:rPr>
        <w:t xml:space="preserve">Übertragbarkeit: </w:t>
      </w:r>
      <w:r>
        <w:rPr>
          <w:sz w:val="19"/>
        </w:rPr>
        <w:t>USA-Daten, aber Assoziationsfrage unabhängig von Gesundheitssystem, große bevölkerungsrepräsentative Stichprobe.</w:t>
      </w:r>
    </w:p>
    <w:p>
      <w:r>
        <w:rPr>
          <w:color w:val="5A7D3A"/>
          <w:sz w:val="18"/>
        </w:rPr>
        <w:t>https://pubmed.ncbi.nlm.nih.gov/42886648/</w:t>
      </w:r>
    </w:p>
    <w:p>
      <w:pPr>
        <w:pStyle w:val="Heading2"/>
      </w:pPr>
      <w:r>
        <w:t>Mundgesundheit und Gebrechlichkeit im Alter: Geschlechtsunterschiede</w:t>
      </w:r>
    </w:p>
    <w:p>
      <w:r>
        <w:rPr>
          <w:i/>
          <w:color w:val="666666"/>
          <w:sz w:val="18"/>
        </w:rPr>
        <w:t>Yang JE et al.  ·  PLoS One  ·  16.10.2026  ·  PMID 42886645</w:t>
      </w:r>
    </w:p>
    <w:p>
      <w:r>
        <w:t>Südkoreanische Querschnittstudie mit 3.729 älteren Menschen (≥65 Jahre) untersucht Assoziationen zwischen Mundgesundheit und Frailty-Status (robust, Prä-Frailty, Frailty).</w:t>
      </w:r>
    </w:p>
    <w:p>
      <w:r>
        <w:rPr>
          <w:b/>
        </w:rPr>
        <w:t xml:space="preserve">Ergebnis: </w:t>
      </w:r>
      <w:r>
        <w:t>16% waren gebrechlich, 84% nicht gebrechlich. Zahnlosigkeit ohne Zahnersatz war stärkster Faktor (Frauen: OR 3,76; Männer: OR 2,95). Zahnlosigkeit, Kau-/Schluckstörungen und Zahnschmerzen waren signifikant mit Frailty assoziiert. Geschlechtsspezifische Unterschiede: Zahnempfindlichkeit erhöhte Frailty-Risiko bei Frauen (OR 1,82), senkte es bei Männern (OR 0,85).</w:t>
      </w:r>
    </w:p>
    <w:p>
      <w:r>
        <w:rPr>
          <w:b/>
          <w:sz w:val="19"/>
        </w:rPr>
        <w:t xml:space="preserve">Übertragbarkeit: </w:t>
      </w:r>
      <w:r>
        <w:rPr>
          <w:sz w:val="19"/>
        </w:rPr>
        <w:t>Korea, Datenqualität hoch, aber Übertragbarkeit auf Deutschland eingeschränkt durch unterschiedliche Zahnversorgung und Mundgesundheit.</w:t>
      </w:r>
    </w:p>
    <w:p>
      <w:r>
        <w:rPr>
          <w:color w:val="5A7D3A"/>
          <w:sz w:val="18"/>
        </w:rPr>
        <w:t>https://pubmed.ncbi.nlm.nih.gov/42886645/</w:t>
      </w:r>
    </w:p>
    <w:p>
      <w:pPr>
        <w:pStyle w:val="Heading2"/>
      </w:pPr>
      <w:r>
        <w:t>Ernährungsinterventionen bei Mangelernährung, Sarkopenie und Frailty im Alter</w:t>
      </w:r>
    </w:p>
    <w:p>
      <w:r>
        <w:rPr>
          <w:i/>
          <w:color w:val="666666"/>
          <w:sz w:val="18"/>
        </w:rPr>
        <w:t>Khalaf H et al.  ·  Nutrients  ·  27.09.2026  ·  PMID 42884640</w:t>
      </w:r>
    </w:p>
    <w:p>
      <w:r>
        <w:t>Narrative Übersichtsarbeit zur Evidenz für Ernährungsmassnahmen (Food First, Lebensmittelfortifikation, orale Nahrungsergänzungen) bei älteren Menschen und Pflegeheimbewohnern.</w:t>
      </w:r>
    </w:p>
    <w:p>
      <w:r>
        <w:rPr>
          <w:b/>
        </w:rPr>
        <w:t xml:space="preserve">Ergebnis: </w:t>
      </w:r>
      <w:r>
        <w:t>Lebensmittelfortifikation erhöht effektiv Energie- und Proteinaufnahme; orale Nahrungsergänzungen (ONS) verbessern BMI und Alltagsfunktion und senken Hospitalisierungsraten. Multimodale Ansätze (Ernährung plus Bewegung) sind wirksamer; geringe Therapieadhärenz bleibt Barriere. Food-First-Ansatz in Kombination mit ONS zeigt beste Ergebnisse.</w:t>
      </w:r>
    </w:p>
    <w:p>
      <w:r>
        <w:rPr>
          <w:b/>
          <w:sz w:val="19"/>
        </w:rPr>
        <w:t xml:space="preserve">Übertragbarkeit: </w:t>
      </w:r>
      <w:r>
        <w:rPr>
          <w:sz w:val="19"/>
        </w:rPr>
        <w:t>UK/Europa-Daten, transferierbar auf deutschsprachige Pflegeheimversorgung.</w:t>
      </w:r>
    </w:p>
    <w:p>
      <w:r>
        <w:rPr>
          <w:color w:val="5A7D3A"/>
          <w:sz w:val="18"/>
        </w:rPr>
        <w:t>https://pubmed.ncbi.nlm.nih.gov/42884640/</w:t>
      </w:r>
    </w:p>
    <w:p>
      <w:pPr>
        <w:pStyle w:val="Heading2"/>
      </w:pPr>
      <w:r>
        <w:t>Hochverarbeitete Lebensmittel und Frailty im Alter: Assoziationen in Südkorea</w:t>
      </w:r>
    </w:p>
    <w:p>
      <w:r>
        <w:rPr>
          <w:i/>
          <w:color w:val="666666"/>
          <w:sz w:val="18"/>
        </w:rPr>
        <w:t>Lee H et al.  ·  Nutrients  ·  23.09.2026  ·  PMID 42884586</w:t>
      </w:r>
    </w:p>
    <w:p>
      <w:r>
        <w:t>Querschnittanalyse von 9.861 südkoreanischen Älteren (≥65 Jahre) untersucht die Beziehung zwischen Anteil hochverarbeiteter Lebensmittel (UPF) an der Gesamtenergieaufnahme und Gebrechlichkeit.</w:t>
      </w:r>
    </w:p>
    <w:p>
      <w:r>
        <w:rPr>
          <w:b/>
        </w:rPr>
        <w:t xml:space="preserve">Ergebnis: </w:t>
      </w:r>
      <w:r>
        <w:t>Höchstes Quartil UPF-Energieanteil zeigte 31% höheres Frailty-Risiko als niedrigstes (OR 1,31, 95% CI 1,08–1,59, p=0,002). Besondere Assoziation mit niedriger körperlicher Aktivität (OR 1,31, 95% CI 1,13–1,51). Linearer Dosis-Wirkungs-Zusammenhang (keine Nicht-Linearität, p=0,8).</w:t>
      </w:r>
    </w:p>
    <w:p>
      <w:r>
        <w:rPr>
          <w:b/>
          <w:sz w:val="19"/>
        </w:rPr>
        <w:t xml:space="preserve">Übertragbarkeit: </w:t>
      </w:r>
      <w:r>
        <w:rPr>
          <w:sz w:val="19"/>
        </w:rPr>
        <w:t>Korea, Ernährungsassoziationen sind kulturabhängig und weniger auf Deutschland übertragbar als mediterrane oder nordeuropäische Diätmuster.</w:t>
      </w:r>
    </w:p>
    <w:p>
      <w:r>
        <w:rPr>
          <w:color w:val="5A7D3A"/>
          <w:sz w:val="18"/>
        </w:rPr>
        <w:t>https://pubmed.ncbi.nlm.nih.gov/42884586/</w:t>
      </w:r>
    </w:p>
    <w:p>
      <w:pPr>
        <w:pStyle w:val="Heading2"/>
      </w:pPr>
      <w:r>
        <w:t>Alltagsmessung psychischer Symptome im älteren Alter: Machbarkeit und Prädiktoren</w:t>
      </w:r>
    </w:p>
    <w:p>
      <w:r>
        <w:rPr>
          <w:i/>
          <w:color w:val="666666"/>
          <w:sz w:val="18"/>
        </w:rPr>
        <w:t>Kang J et al.  ·  J Affect Disord  ·  01.01.2027  ·  PMID 42785391</w:t>
      </w:r>
    </w:p>
    <w:p>
      <w:r>
        <w:t>US-amerikanische Studie mit 64 älteren Erwachsenen (Durchschnittsalter 63,4 Jahre; 31 gesund, 33 mit Depression), die zweimal täglich über ~10 Wochen Symptome via Smartphone berichteten.</w:t>
      </w:r>
    </w:p>
    <w:p>
      <w:r>
        <w:rPr>
          <w:b/>
        </w:rPr>
        <w:t xml:space="preserve">Ergebnis: </w:t>
      </w:r>
      <w:r>
        <w:t>Gesamtausfallquote 76% (SD 22,1). Gesunde Teilnehmer zeigten höhere Compliance (81% vs. 71% bei Depression, p=0,04). Schnellere Antwortlatenz sagte höhere Adhärenz voraus. Rasche affektive Schwankungen am Anfang waren Prädiktoren niedriger Adhärenz. EMA ist mit Anpassungen im späteren Alter durchführbar.</w:t>
      </w:r>
    </w:p>
    <w:p>
      <w:r>
        <w:rPr>
          <w:b/>
          <w:sz w:val="19"/>
        </w:rPr>
        <w:t xml:space="preserve">Übertragbarkeit: </w:t>
      </w:r>
      <w:r>
        <w:rPr>
          <w:sz w:val="19"/>
        </w:rPr>
        <w:t>USA, Methode unabhängig von Gesundheitssystem, aber Adhärenz-Faktoren in älteren Erwachsenen noch wenig erforscht.</w:t>
      </w:r>
    </w:p>
    <w:p>
      <w:r>
        <w:rPr>
          <w:color w:val="5A7D3A"/>
          <w:sz w:val="18"/>
        </w:rPr>
        <w:t>https://pubmed.ncbi.nlm.nih.gov/42785391/</w:t>
      </w:r>
    </w:p>
    <w:p>
      <w:pPr>
        <w:pStyle w:val="Heading2"/>
      </w:pPr>
      <w:r>
        <w:t>Funktionsfähigkeit am Lebensende: Drei Verlaufsmuster in den letzten Lebensjahren</w:t>
      </w:r>
    </w:p>
    <w:p>
      <w:r>
        <w:rPr>
          <w:i/>
          <w:color w:val="666666"/>
          <w:sz w:val="18"/>
        </w:rPr>
        <w:t>Kyrönlahti S et al.  ·  J Gerontol A Biol Sci Med Sci  ·  06.10.2026  ·  PMID 42720597</w:t>
      </w:r>
    </w:p>
    <w:p>
      <w:r>
        <w:t>Schwedische Längsschnittstudie mit 2.294 älteren Menschen (62% Frauen, Durchschnittsalter 89,8 Jahre), die verfolgte, wie sich Alltagsfähigkeiten (ADL-Einschränkungen) zeitlich vor dem Tod entwickelten.</w:t>
      </w:r>
    </w:p>
    <w:p>
      <w:r>
        <w:rPr>
          <w:b/>
        </w:rPr>
        <w:t xml:space="preserve">Ergebnis: </w:t>
      </w:r>
      <w:r>
        <w:t>53% zeigten durchgehend niedrige ADL-Einschränkungen bis zum Tod, 36% einen flachen Anstieg und 11% einen steilen Anstieg. Frauen, niedriger gebildete Personen und älter Verstorbene hatten häufiger zunehmende Behinderung. Kognitives Defizit war mit steiler Verschlechterung assoziiert. Für die meisten blieb die funktionale Fähigkeit bis 2 Jahre vor dem Tod erhalten.</w:t>
      </w:r>
    </w:p>
    <w:p>
      <w:r>
        <w:rPr>
          <w:b/>
          <w:sz w:val="19"/>
        </w:rPr>
        <w:t xml:space="preserve">Übertragbarkeit: </w:t>
      </w:r>
      <w:r>
        <w:rPr>
          <w:sz w:val="19"/>
        </w:rPr>
        <w:t>Schwedische Daten, vergleichbare nordeuropäische Altersstruktur und Versorgungssystem.</w:t>
      </w:r>
    </w:p>
    <w:p>
      <w:r>
        <w:rPr>
          <w:color w:val="5A7D3A"/>
          <w:sz w:val="18"/>
        </w:rPr>
        <w:t>https://pubmed.ncbi.nlm.nih.gov/42720597/</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2026-10-26T06:00:00Z</dcterms:created>
  <dcterms:modified xsi:type="dcterms:W3CDTF">2026-10-26T06:00:00Z</dcterms:modified>
  <cp:category/>
</cp:coreProperties>
</file>