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28.10.2026  |  6 Studien  |  longevity.m-vf.de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Richtige Nährstoffverteilung beugt Frailty vor – aber nur bei ausreichender Energiezufuhr</w:t>
      </w:r>
    </w:p>
    <w:p>
      <w:r>
        <w:rPr>
          <w:i/>
          <w:color w:val="666666"/>
          <w:sz w:val="18"/>
        </w:rPr>
        <w:t>Seo YB et al.  ·  Nutrients  ·  16.10.2026  ·  PMID 42942964</w:t>
      </w:r>
    </w:p>
    <w:p>
      <w:r>
        <w:t>Querschnittstudie von 2.803 Koreanern ≥65 Jahren (KNHANES 2022/2024), Assoziationen zwischen Makronährstoff-Adherenz (AMDR) und Frailty, stratifiziert nach Energiesuffizenz (≥30 kcal/kg/Tag).</w:t>
      </w:r>
    </w:p>
    <w:p>
      <w:r>
        <w:rPr>
          <w:b/>
        </w:rPr>
        <w:t xml:space="preserve">Ergebnis: </w:t>
      </w:r>
      <w:r>
        <w:t>Bei Energie-suffizienten Teilnehmern (n=925): AMDR-Nicht-Adherenz mit Frailty assoziiert (OR 5,58; 95% KI 1,59–19,67). Nicht-Adherenz zu Protein (OR 2,63) und Fett (OR 2,38) signifikant; bei energie-insuffizienten keine signifikante Assoziation (OR 1,08; p=0,58).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Ernährungsempfehlungen für Ältere gelten international, aber Energiebedarfsberechnung ist populationsspezifisch</w:t>
      </w:r>
    </w:p>
    <w:p>
      <w:r>
        <w:rPr>
          <w:color w:val="5A7D3A"/>
          <w:sz w:val="18"/>
        </w:rPr>
        <w:t>https://pubmed.ncbi.nlm.nih.gov/42942964/</w:t>
      </w:r>
    </w:p>
    <w:p>
      <w:pPr>
        <w:pStyle w:val="Heading2"/>
      </w:pPr>
      <w:r>
        <w:t>Frailty vorhersagt Mortalität bei akuter Herzinsuffizienz stärker als NT-proBNP</w:t>
      </w:r>
    </w:p>
    <w:p>
      <w:r>
        <w:rPr>
          <w:i/>
          <w:color w:val="666666"/>
          <w:sz w:val="18"/>
        </w:rPr>
        <w:t>Aletras G et al.  ·  Medicina (Kaunas)  ·  08.10.2026  ·  PMID 42942474</w:t>
      </w:r>
    </w:p>
    <w:p>
      <w:r>
        <w:t>Prospektive Single-Center-Registerstudie mit 530 hospitalisierten AHF-Patienten (Feb 2023–Juni 2025), Frailty nach Clinical Frailty Scale gegen kardiorenal-pathologische Variablen als Mortalitätsprädiktor.</w:t>
      </w:r>
    </w:p>
    <w:p>
      <w:r>
        <w:rPr>
          <w:b/>
        </w:rPr>
        <w:t xml:space="preserve">Ergebnis: </w:t>
      </w:r>
      <w:r>
        <w:t>Frailty stark mit 12-Monats-Mortalität assoziiert (HR 3,29 pro Stratum, 95% KI 2,43–4,45). Mortalität stieg: CFS 1–3: 4,5 %, CFS 4–5: 19,3 %, CFS 6–9: 49,7 %. Addition von CFS zum kardiorenal-Modell verbesserte C-Index von 0,701 auf 0,734 (optimism-korrigiert 0,694–0,726).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Universitätsklinik; CFS-Messung in deutschen Kliniken praktikabel</w:t>
      </w:r>
    </w:p>
    <w:p>
      <w:r>
        <w:rPr>
          <w:color w:val="5A7D3A"/>
          <w:sz w:val="18"/>
        </w:rPr>
        <w:t>https://pubmed.ncbi.nlm.nih.gov/42942474/</w:t>
      </w:r>
    </w:p>
    <w:p>
      <w:pPr>
        <w:pStyle w:val="Heading2"/>
      </w:pPr>
      <w:r>
        <w:t>Intrinsic Capacity vorhersagt Erfolg kardiovaskulärer Rehabilitation bei Älteren</w:t>
      </w:r>
    </w:p>
    <w:p>
      <w:r>
        <w:rPr>
          <w:i/>
          <w:color w:val="666666"/>
          <w:sz w:val="18"/>
        </w:rPr>
        <w:t>Bencivenga L et al.  ·  J Nutr Health Aging  ·  26.09.2026  ·  PMID 42800461</w:t>
      </w:r>
    </w:p>
    <w:p>
      <w:r>
        <w:t>Prospektive Studie mit 551 italienischen Patienten ≥65 Jahren in kardialer Rehabilitation, vergleichend Intrinsic Capacity und Frailty Index als Prädiktoren für Gehstrecke nach Rehabilitation.</w:t>
      </w:r>
    </w:p>
    <w:p>
      <w:r>
        <w:rPr>
          <w:b/>
        </w:rPr>
        <w:t xml:space="preserve">Ergebnis: </w:t>
      </w:r>
      <w:r>
        <w:t>Intrinsic Capacity zeigte stärkere Assoziation mit Gehstreckengewinn (β=0,571; R²adj=0,362) als Frailty Index (β=-0,281; R²adj=0,235). Effektstärke für Intrinsic Capacity vs. Frailty: Differenz in R²adj von 0,127 Punkte (12,7 % besser erklärte Varianz).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Sozialsystem; Comprehensive Geriatric Assessment etabliert in DACH-Ländern</w:t>
      </w:r>
    </w:p>
    <w:p>
      <w:r>
        <w:rPr>
          <w:color w:val="5A7D3A"/>
          <w:sz w:val="18"/>
        </w:rPr>
        <w:t>https://pubmed.ncbi.nlm.nih.gov/42800461/</w:t>
      </w:r>
    </w:p>
    <w:p>
      <w:pPr>
        <w:pStyle w:val="Heading2"/>
      </w:pPr>
      <w:r>
        <w:t>Bewegungsförderung älterer Menschen auf kommunaler Ebene: Strukturen, Barrieren, politische Strategien</w:t>
      </w:r>
    </w:p>
    <w:p>
      <w:r>
        <w:rPr>
          <w:i/>
          <w:color w:val="666666"/>
          <w:sz w:val="18"/>
        </w:rPr>
        <w:t>Aluttis C et al.  ·  Bundesgesundheitsblatt Gesundheitsforschung Gesundheitsschutz  ·  23.09.2026  ·  PMID 42776169</w:t>
      </w:r>
    </w:p>
    <w:p>
      <w:r>
        <w:t>Deutsche Qualitativ-Analyse zu Bewegungsförderung von über 65-Jährigen in Kommunen, untersucht Strukturen, Implementierungsbarrieren und Rolle von Narrativen in der Politikpriorisierung.</w:t>
      </w:r>
    </w:p>
    <w:p>
      <w:r>
        <w:rPr>
          <w:b/>
        </w:rPr>
        <w:t xml:space="preserve">Ergebnis: </w:t>
      </w:r>
      <w:r>
        <w:t>Mehrheit der 65+-Jährigen in Deutschland erfüllt Bewegungsempfehlungen nicht (Norm: Mangel statt Aktivität). Barrieren auf kommunaler Ebene: Fragmentierung, projektbezogene Ansätze, begrenzte Ressourcen. Lösungsfaktoren: aktivitätsfreundliche Strukturen (sichere Wege, erreichbare Ziele, öffentliche Räume); strategische Narrative können Priorisierung verschieben.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direktes Erhebungsland; kommunale Ebene Schlüsselansatz im föderalen System</w:t>
      </w:r>
    </w:p>
    <w:p>
      <w:r>
        <w:rPr>
          <w:color w:val="5A7D3A"/>
          <w:sz w:val="18"/>
        </w:rPr>
        <w:t>https://pubmed.ncbi.nlm.nih.gov/42776169/</w:t>
      </w:r>
    </w:p>
    <w:p>
      <w:pPr>
        <w:pStyle w:val="Heading2"/>
      </w:pPr>
      <w:r>
        <w:t>Insulinresistenz-Surrogate vorhersagt Cardiometabolische Multimorbidität konsistent in China und England</w:t>
      </w:r>
    </w:p>
    <w:p>
      <w:r>
        <w:rPr>
          <w:i/>
          <w:color w:val="666666"/>
          <w:sz w:val="18"/>
        </w:rPr>
        <w:t>Wei J et al.  ·  Maturitas  ·  04.09.2026  ·  PMID 42721914</w:t>
      </w:r>
    </w:p>
    <w:p>
      <w:r>
        <w:t>Prospektive Kohortenstudie: China Health and Retirement Longitudinal Study + English Longitudinal Study of Ageing, harmonisierte Daten von älteren Teilnehmern, geschätzte Glukose-Disposal-Rate als Prädiktor für nicht-glykämische Herzerkrankung/-Schlaganfall und Multimorbidität-Progression.</w:t>
      </w:r>
    </w:p>
    <w:p>
      <w:r>
        <w:rPr>
          <w:b/>
        </w:rPr>
        <w:t xml:space="preserve">Ergebnis: </w:t>
      </w:r>
      <w:r>
        <w:t>Untere Glukose-Disposal-Rate mit Herzerkrankung/Schlaganfall-Inzidenz: HR 1,25 (KI 1,18–1,33) China, HR 1,23 (1,14–1,32) England; gepoolte HR 1,24 (1,19–1,30). External Concordance 0,66–0,68; Diskrimination besser als Hämoglobin A1c allein, aber nicht über Einzelkomponenten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+ England; Crossover-Validität, aber absolute Risikokalibrierung erfordert lokale Anpassung</w:t>
      </w:r>
    </w:p>
    <w:p>
      <w:r>
        <w:rPr>
          <w:color w:val="5A7D3A"/>
          <w:sz w:val="18"/>
        </w:rPr>
        <w:t>https://pubmed.ncbi.nlm.nih.gov/42721914/</w:t>
      </w:r>
    </w:p>
    <w:p>
      <w:pPr>
        <w:pStyle w:val="Heading2"/>
      </w:pPr>
      <w:r>
        <w:t>Frailty beschleunigt Multimorbiditätsaccumulation und kostet Jahre voller Gesundheit</w:t>
      </w:r>
    </w:p>
    <w:p>
      <w:r>
        <w:rPr>
          <w:i/>
          <w:color w:val="666666"/>
          <w:sz w:val="18"/>
        </w:rPr>
        <w:t>Xing X et al.  ·  J Nutr Health Aging  ·  04.09.2026  ·  PMID 42697174</w:t>
      </w:r>
    </w:p>
    <w:p>
      <w:r>
        <w:t>Multistate-Analyse von 276.696 UK-Biobank-Teilnehmern ohne Grunderkrankungen (mittleres Alter 55,3 Jahre), Frailty-Phänotyp als Prädiktor für Transition zu Erkrankung und Multimorbidität über 13 Jahre.</w:t>
      </w:r>
    </w:p>
    <w:p>
      <w:r>
        <w:rPr>
          <w:b/>
        </w:rPr>
        <w:t xml:space="preserve">Ergebnis: </w:t>
      </w:r>
      <w:r>
        <w:t>Frail-Gruppe verlor 2,72 Jahre (95% KI 2,64–2,81) multimorbidität-freies Überleben über 12 Jahre. Transition von gesund zu Erkrankung: HR 1,77 (1,72–1,83); von Erkrankung zu Multimorbidität: HR 1,73 (1,68–1,79). Eliminierung von Pre-Frailty/Frailty könnte 9,85 % der Inzidenzfälle verhindern.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Frailty-Screening in Prävention übertragbar auf deutsche Primärversorgung</w:t>
      </w:r>
    </w:p>
    <w:p>
      <w:r>
        <w:rPr>
          <w:color w:val="5A7D3A"/>
          <w:sz w:val="18"/>
        </w:rPr>
        <w:t>https://pubmed.ncbi.nlm.nih.gov/42697174/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