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Gesundes Altern und Longevity</w:t>
      </w:r>
    </w:p>
    <w:p>
      <w:r>
        <w:rPr>
          <w:i/>
          <w:color w:val="666666"/>
          <w:sz w:val="18"/>
        </w:rPr>
        <w:t>Stand: 28.10.2026  |  404 Studien  |  longevity.m-vf.de</w:t>
      </w:r>
    </w:p>
    <w:p>
      <w:pPr>
        <w:pStyle w:val="Heading1"/>
      </w:pPr>
      <w:r>
        <w:t>Aufgenommen am 28.10.2026</w:t>
      </w:r>
    </w:p>
    <w:p>
      <w:pPr>
        <w:pStyle w:val="Heading2"/>
      </w:pPr>
      <w:r>
        <w:t>Richtige Nährstoffverteilung beugt Frailty vor – aber nur bei ausreichender Energiezufuhr</w:t>
      </w:r>
    </w:p>
    <w:p>
      <w:r>
        <w:rPr>
          <w:i/>
          <w:color w:val="666666"/>
          <w:sz w:val="18"/>
        </w:rPr>
        <w:t>Seo YB et al.  ·  Nutrients  ·  16.10.2026  ·  PMID 42942964</w:t>
      </w:r>
    </w:p>
    <w:p>
      <w:r>
        <w:t>Querschnittstudie von 2.803 Koreanern ≥65 Jahren (KNHANES 2022/2024), Assoziationen zwischen Makronährstoff-Adherenz (AMDR) und Frailty, stratifiziert nach Energiesuffizenz (≥30 kcal/kg/Tag).</w:t>
      </w:r>
    </w:p>
    <w:p>
      <w:r>
        <w:rPr>
          <w:b/>
        </w:rPr>
        <w:t xml:space="preserve">Ergebnis: </w:t>
      </w:r>
      <w:r>
        <w:t>Bei Energie-suffizienten Teilnehmern (n=925): AMDR-Nicht-Adherenz mit Frailty assoziiert (OR 5,58; 95% KI 1,59–19,67). Nicht-Adherenz zu Protein (OR 2,63) und Fett (OR 2,38) signifikant; bei energie-insuffizienten keine signifikante Assoziation (OR 1,08; p=0,58).</w:t>
      </w:r>
    </w:p>
    <w:p>
      <w:r>
        <w:rPr>
          <w:b/>
          <w:sz w:val="19"/>
        </w:rPr>
        <w:t xml:space="preserve">Übertragbarkeit: </w:t>
      </w:r>
      <w:r>
        <w:rPr>
          <w:sz w:val="19"/>
        </w:rPr>
        <w:t>Südkorea; Ernährungsempfehlungen für Ältere gelten international, aber Energiebedarfsberechnung ist populationsspezifisch</w:t>
      </w:r>
    </w:p>
    <w:p>
      <w:r>
        <w:rPr>
          <w:color w:val="5A7D3A"/>
          <w:sz w:val="18"/>
        </w:rPr>
        <w:t>https://pubmed.ncbi.nlm.nih.gov/42942964/</w:t>
      </w:r>
    </w:p>
    <w:p>
      <w:pPr>
        <w:pStyle w:val="Heading2"/>
      </w:pPr>
      <w:r>
        <w:t>Frailty vorhersagt Mortalität bei akuter Herzinsuffizienz stärker als NT-proBNP</w:t>
      </w:r>
    </w:p>
    <w:p>
      <w:r>
        <w:rPr>
          <w:i/>
          <w:color w:val="666666"/>
          <w:sz w:val="18"/>
        </w:rPr>
        <w:t>Aletras G et al.  ·  Medicina (Kaunas)  ·  08.10.2026  ·  PMID 42942474</w:t>
      </w:r>
    </w:p>
    <w:p>
      <w:r>
        <w:t>Prospektive Single-Center-Registerstudie mit 530 hospitalisierten AHF-Patienten (Feb 2023–Juni 2025), Frailty nach Clinical Frailty Scale gegen kardiorenal-pathologische Variablen als Mortalitätsprädiktor.</w:t>
      </w:r>
    </w:p>
    <w:p>
      <w:r>
        <w:rPr>
          <w:b/>
        </w:rPr>
        <w:t xml:space="preserve">Ergebnis: </w:t>
      </w:r>
      <w:r>
        <w:t>Frailty stark mit 12-Monats-Mortalität assoziiert (HR 3,29 pro Stratum, 95% KI 2,43–4,45). Mortalität stieg: CFS 1–3: 4,5 %, CFS 4–5: 19,3 %, CFS 6–9: 49,7 %. Addition von CFS zum kardiorenal-Modell verbesserte C-Index von 0,701 auf 0,734 (optimism-korrigiert 0,694–0,726).</w:t>
      </w:r>
    </w:p>
    <w:p>
      <w:r>
        <w:rPr>
          <w:b/>
          <w:sz w:val="19"/>
        </w:rPr>
        <w:t xml:space="preserve">Übertragbarkeit: </w:t>
      </w:r>
      <w:r>
        <w:rPr>
          <w:sz w:val="19"/>
        </w:rPr>
        <w:t>Griechenland, Universitätsklinik; CFS-Messung in deutschen Kliniken praktikabel</w:t>
      </w:r>
    </w:p>
    <w:p>
      <w:r>
        <w:rPr>
          <w:color w:val="5A7D3A"/>
          <w:sz w:val="18"/>
        </w:rPr>
        <w:t>https://pubmed.ncbi.nlm.nih.gov/42942474/</w:t>
      </w:r>
    </w:p>
    <w:p>
      <w:pPr>
        <w:pStyle w:val="Heading2"/>
      </w:pPr>
      <w:r>
        <w:t>Intrinsic Capacity vorhersagt Erfolg kardiovaskulärer Rehabilitation bei Älteren</w:t>
      </w:r>
    </w:p>
    <w:p>
      <w:r>
        <w:rPr>
          <w:i/>
          <w:color w:val="666666"/>
          <w:sz w:val="18"/>
        </w:rPr>
        <w:t>Bencivenga L et al.  ·  J Nutr Health Aging  ·  26.09.2026  ·  PMID 42800461</w:t>
      </w:r>
    </w:p>
    <w:p>
      <w:r>
        <w:t>Prospektive Studie mit 551 italienischen Patienten ≥65 Jahren in kardialer Rehabilitation, vergleichend Intrinsic Capacity und Frailty Index als Prädiktoren für Gehstrecke nach Rehabilitation.</w:t>
      </w:r>
    </w:p>
    <w:p>
      <w:r>
        <w:rPr>
          <w:b/>
        </w:rPr>
        <w:t xml:space="preserve">Ergebnis: </w:t>
      </w:r>
      <w:r>
        <w:t>Intrinsic Capacity zeigte stärkere Assoziation mit Gehstreckengewinn (β=0,571; R²adj=0,362) als Frailty Index (β=-0,281; R²adj=0,235). Effektstärke für Intrinsic Capacity vs. Frailty: Differenz in R²adj von 0,127 Punkte (12,7 % besser erklärte Varianz).</w:t>
      </w:r>
    </w:p>
    <w:p>
      <w:r>
        <w:rPr>
          <w:b/>
          <w:sz w:val="19"/>
        </w:rPr>
        <w:t xml:space="preserve">Übertragbarkeit: </w:t>
      </w:r>
      <w:r>
        <w:rPr>
          <w:sz w:val="19"/>
        </w:rPr>
        <w:t>Italien, vergleichbares Sozialsystem; Comprehensive Geriatric Assessment etabliert in DACH-Ländern</w:t>
      </w:r>
    </w:p>
    <w:p>
      <w:r>
        <w:rPr>
          <w:color w:val="5A7D3A"/>
          <w:sz w:val="18"/>
        </w:rPr>
        <w:t>https://pubmed.ncbi.nlm.nih.gov/42800461/</w:t>
      </w:r>
    </w:p>
    <w:p>
      <w:pPr>
        <w:pStyle w:val="Heading2"/>
      </w:pPr>
      <w:r>
        <w:t>Bewegungsförderung älterer Menschen auf kommunaler Ebene: Strukturen, Barrieren, politische Strategien</w:t>
      </w:r>
    </w:p>
    <w:p>
      <w:r>
        <w:rPr>
          <w:i/>
          <w:color w:val="666666"/>
          <w:sz w:val="18"/>
        </w:rPr>
        <w:t>Aluttis C et al.  ·  Bundesgesundheitsblatt Gesundheitsforschung Gesundheitsschutz  ·  23.09.2026  ·  PMID 42776169</w:t>
      </w:r>
    </w:p>
    <w:p>
      <w:r>
        <w:t>Deutsche Qualitativ-Analyse zu Bewegungsförderung von über 65-Jährigen in Kommunen, untersucht Strukturen, Implementierungsbarrieren und Rolle von Narrativen in der Politikpriorisierung.</w:t>
      </w:r>
    </w:p>
    <w:p>
      <w:r>
        <w:rPr>
          <w:b/>
        </w:rPr>
        <w:t xml:space="preserve">Ergebnis: </w:t>
      </w:r>
      <w:r>
        <w:t>Mehrheit der 65+-Jährigen in Deutschland erfüllt Bewegungsempfehlungen nicht (Norm: Mangel statt Aktivität). Barrieren auf kommunaler Ebene: Fragmentierung, projektbezogene Ansätze, begrenzte Ressourcen. Lösungsfaktoren: aktivitätsfreundliche Strukturen (sichere Wege, erreichbare Ziele, öffentliche Räume); strategische Narrative können Priorisierung verschieben.</w:t>
      </w:r>
    </w:p>
    <w:p>
      <w:r>
        <w:rPr>
          <w:b/>
          <w:sz w:val="19"/>
        </w:rPr>
        <w:t xml:space="preserve">Übertragbarkeit: </w:t>
      </w:r>
      <w:r>
        <w:rPr>
          <w:sz w:val="19"/>
        </w:rPr>
        <w:t>Deutschland, direktes Erhebungsland; kommunale Ebene Schlüsselansatz im föderalen System</w:t>
      </w:r>
    </w:p>
    <w:p>
      <w:r>
        <w:rPr>
          <w:color w:val="5A7D3A"/>
          <w:sz w:val="18"/>
        </w:rPr>
        <w:t>https://pubmed.ncbi.nlm.nih.gov/42776169/</w:t>
      </w:r>
    </w:p>
    <w:p>
      <w:pPr>
        <w:pStyle w:val="Heading2"/>
      </w:pPr>
      <w:r>
        <w:t>Insulinresistenz-Surrogate vorhersagt Cardiometabolische Multimorbidität konsistent in China und England</w:t>
      </w:r>
    </w:p>
    <w:p>
      <w:r>
        <w:rPr>
          <w:i/>
          <w:color w:val="666666"/>
          <w:sz w:val="18"/>
        </w:rPr>
        <w:t>Wei J et al.  ·  Maturitas  ·  04.09.2026  ·  PMID 42721914</w:t>
      </w:r>
    </w:p>
    <w:p>
      <w:r>
        <w:t>Prospektive Kohortenstudie: China Health and Retirement Longitudinal Study + English Longitudinal Study of Ageing, harmonisierte Daten von älteren Teilnehmern, geschätzte Glukose-Disposal-Rate als Prädiktor für nicht-glykämische Herzerkrankung/-Schlaganfall und Multimorbidität-Progression.</w:t>
      </w:r>
    </w:p>
    <w:p>
      <w:r>
        <w:rPr>
          <w:b/>
        </w:rPr>
        <w:t xml:space="preserve">Ergebnis: </w:t>
      </w:r>
      <w:r>
        <w:t>Untere Glukose-Disposal-Rate mit Herzerkrankung/Schlaganfall-Inzidenz: HR 1,25 (KI 1,18–1,33) China, HR 1,23 (1,14–1,32) England; gepoolte HR 1,24 (1,19–1,30). External Concordance 0,66–0,68; Diskrimination besser als Hämoglobin A1c allein, aber nicht über Einzelkomponenten hinaus.</w:t>
      </w:r>
    </w:p>
    <w:p>
      <w:r>
        <w:rPr>
          <w:b/>
          <w:sz w:val="19"/>
        </w:rPr>
        <w:t xml:space="preserve">Übertragbarkeit: </w:t>
      </w:r>
      <w:r>
        <w:rPr>
          <w:sz w:val="19"/>
        </w:rPr>
        <w:t>China + England; Crossover-Validität, aber absolute Risikokalibrierung erfordert lokale Anpassung</w:t>
      </w:r>
    </w:p>
    <w:p>
      <w:r>
        <w:rPr>
          <w:color w:val="5A7D3A"/>
          <w:sz w:val="18"/>
        </w:rPr>
        <w:t>https://pubmed.ncbi.nlm.nih.gov/42721914/</w:t>
      </w:r>
    </w:p>
    <w:p>
      <w:pPr>
        <w:pStyle w:val="Heading2"/>
      </w:pPr>
      <w:r>
        <w:t>Frailty beschleunigt Multimorbiditätsaccumulation und kostet Jahre voller Gesundheit</w:t>
      </w:r>
    </w:p>
    <w:p>
      <w:r>
        <w:rPr>
          <w:i/>
          <w:color w:val="666666"/>
          <w:sz w:val="18"/>
        </w:rPr>
        <w:t>Xing X et al.  ·  J Nutr Health Aging  ·  04.09.2026  ·  PMID 42697174</w:t>
      </w:r>
    </w:p>
    <w:p>
      <w:r>
        <w:t>Multistate-Analyse von 276.696 UK-Biobank-Teilnehmern ohne Grunderkrankungen (mittleres Alter 55,3 Jahre), Frailty-Phänotyp als Prädiktor für Transition zu Erkrankung und Multimorbidität über 13 Jahre.</w:t>
      </w:r>
    </w:p>
    <w:p>
      <w:r>
        <w:rPr>
          <w:b/>
        </w:rPr>
        <w:t xml:space="preserve">Ergebnis: </w:t>
      </w:r>
      <w:r>
        <w:t>Frail-Gruppe verlor 2,72 Jahre (95% KI 2,64–2,81) multimorbidität-freies Überleben über 12 Jahre. Transition von gesund zu Erkrankung: HR 1,77 (1,72–1,83); von Erkrankung zu Multimorbidität: HR 1,73 (1,68–1,79). Eliminierung von Pre-Frailty/Frailty könnte 9,85 % der Inzidenzfälle verhindern.</w:t>
      </w:r>
    </w:p>
    <w:p>
      <w:r>
        <w:rPr>
          <w:b/>
          <w:sz w:val="19"/>
        </w:rPr>
        <w:t xml:space="preserve">Übertragbarkeit: </w:t>
      </w:r>
      <w:r>
        <w:rPr>
          <w:sz w:val="19"/>
        </w:rPr>
        <w:t>UK Biobank; Frailty-Screening in Prävention übertragbar auf deutsche Primärversorgung</w:t>
      </w:r>
    </w:p>
    <w:p>
      <w:r>
        <w:rPr>
          <w:color w:val="5A7D3A"/>
          <w:sz w:val="18"/>
        </w:rPr>
        <w:t>https://pubmed.ncbi.nlm.nih.gov/42697174/</w:t>
      </w:r>
    </w:p>
    <w:p>
      <w:pPr>
        <w:pStyle w:val="Heading1"/>
      </w:pPr>
      <w:r>
        <w:t>Aufgenommen am 27.10.2026</w:t>
      </w:r>
    </w:p>
    <w:p>
      <w:pPr>
        <w:pStyle w:val="Heading2"/>
      </w:pPr>
      <w:r>
        <w:t>Gefäßchirurgie: Geriatrisches Konsil senkt Sterblichkeit und Komplikationen bei älteren Patienten</w:t>
      </w:r>
    </w:p>
    <w:p>
      <w:r>
        <w:rPr>
          <w:i/>
          <w:color w:val="666666"/>
          <w:sz w:val="18"/>
        </w:rPr>
        <w:t>Power Foley M et al.  ·  Age Ageing  ·  03.08.2026  ·  PMID 42933995</w:t>
      </w:r>
    </w:p>
    <w:p>
      <w:r>
        <w:t>Systematische Übersicht von 8 Studien mit 2.441 Patienten, die formalisierte geriatrische Interventionen (präoperatives Comprehensive Assessment, Liaison-Service oder Co-Management) vor/während Gefäßchirurgie mit Standardversorgung verglich.</w:t>
      </w:r>
    </w:p>
    <w:p>
      <w:r>
        <w:rPr>
          <w:b/>
        </w:rPr>
        <w:t xml:space="preserve">Ergebnis: </w:t>
      </w:r>
      <w:r>
        <w:t>Geriatrische Modelle waren assoziiert mit reduziertem Risiko für Krankenhaussterblichkeit (RR 0,65; 95%-CI 0,46–0,90; p=0,010), kardiale Komplikationen (RR 0,35; p&lt;0,001) und Infektionen (RR 0,48; p&lt;0,001). Delirium-Risiko war nicht signifikant gesenkt. Verweildauer und Entlassungsort unterschieden sich nicht.</w:t>
      </w:r>
    </w:p>
    <w:p>
      <w:r>
        <w:rPr>
          <w:b/>
          <w:sz w:val="19"/>
        </w:rPr>
        <w:t xml:space="preserve">Übertragbarkeit: </w:t>
      </w:r>
      <w:r>
        <w:rPr>
          <w:sz w:val="19"/>
        </w:rPr>
        <w:t>Irland und Großbritannien; Befund übertragbar auf deutsches Gesundheitssystem mit ähnlichem Auftrag zur geriatrischen Ko-Versorgung.</w:t>
      </w:r>
    </w:p>
    <w:p>
      <w:r>
        <w:rPr>
          <w:color w:val="5A7D3A"/>
          <w:sz w:val="18"/>
        </w:rPr>
        <w:t>https://pubmed.ncbi.nlm.nih.gov/42933995/</w:t>
      </w:r>
    </w:p>
    <w:p>
      <w:pPr>
        <w:pStyle w:val="Heading2"/>
      </w:pPr>
      <w:r>
        <w:t>Depression und Frailty: Depressive Symptome verdoppeln Gebrechlichkeitsrisiko bei älteren Patienten mit Kardiometabolischer Erkrankung</w:t>
      </w:r>
    </w:p>
    <w:p>
      <w:r>
        <w:rPr>
          <w:i/>
          <w:color w:val="666666"/>
          <w:sz w:val="18"/>
        </w:rPr>
        <w:t>Kobayashi F et al.  ·  PLoS One  ·  26.10.2026  ·  PMID 42932359</w:t>
      </w:r>
    </w:p>
    <w:p>
      <w:r>
        <w:t>Längscohortenstudie von 431 Patienten ≥65 Jahren mit kardiometabolischen Erkrankungen (Nachbeobachtung Median 2,9 Jahre) zur Assoziation depressiver Symptome (GDS-15 ≥5) mit neu aufgetretener Frailty.</w:t>
      </w:r>
    </w:p>
    <w:p>
      <w:r>
        <w:rPr>
          <w:b/>
        </w:rPr>
        <w:t xml:space="preserve">Ergebnis: </w:t>
      </w:r>
      <w:r>
        <w:t>Depressive Symptome waren unabhängig assoziiert mit Frailty (adjustierte HR für mCHS-Definition 1,92; 95%-CI 1,60–2,31; für KCL-Definition 2,05; 95%-CI 1,70–2,48). Signifikante Interaktion zwischen Depression und Diabetes: Patienten mit beiden Merkmalen hatten markant erhöhtes Frailty-Risiko.</w:t>
      </w:r>
    </w:p>
    <w:p>
      <w:r>
        <w:rPr>
          <w:b/>
          <w:sz w:val="19"/>
        </w:rPr>
        <w:t xml:space="preserve">Übertragbarkeit: </w:t>
      </w:r>
      <w:r>
        <w:rPr>
          <w:sz w:val="19"/>
        </w:rPr>
        <w:t>Japan; Befund ist altersunabhängig übertragbar, aber Messinstrumente (mCHS, KCL) sind von regionaler Anwendbarkeit abhängig.</w:t>
      </w:r>
    </w:p>
    <w:p>
      <w:r>
        <w:rPr>
          <w:color w:val="5A7D3A"/>
          <w:sz w:val="18"/>
        </w:rPr>
        <w:t>https://pubmed.ncbi.nlm.nih.gov/42932359/</w:t>
      </w:r>
    </w:p>
    <w:p>
      <w:pPr>
        <w:pStyle w:val="Heading2"/>
      </w:pPr>
      <w:r>
        <w:t>Schlaganfall-Rehabilitation: Ältere Patienten über 80 Jahren profitieren weniger von koordinierter Langzeitintervention</w:t>
      </w:r>
    </w:p>
    <w:p>
      <w:r>
        <w:rPr>
          <w:i/>
          <w:color w:val="666666"/>
          <w:sz w:val="18"/>
        </w:rPr>
        <w:t>Ihle-Hansen H et al.  ·  J Rehabil Med  ·  26.10.2026  ·  PMID 42929098</w:t>
      </w:r>
    </w:p>
    <w:p>
      <w:r>
        <w:t>Randomisierte Studie an 301 norwegischen Patienten nach Schlaganfall (Durchschnittsalter 71 Jahre), die eine 18 Monate andauernde koordinierte Intervention mit monatlichen Treffen versus Standardversorgung verglich.</w:t>
      </w:r>
    </w:p>
    <w:p>
      <w:r>
        <w:rPr>
          <w:b/>
        </w:rPr>
        <w:t xml:space="preserve">Ergebnis: </w:t>
      </w:r>
      <w:r>
        <w:t>Bei Patienten ≥80 Jahren war die Wahrscheinlichkeit für günstige Funktionsergebnisse in der Interventionsgruppe signifikant niedriger als in der Kontrolle (23,4 % vs. 57,0 %; p=0,004). Bei jüngeren Patienten verbesserte die Intervention die kognitiven Testergebnisse (Trail Making Test B: −32,2 s; p=0,015). Frailty als solche modifizierte die Interventionswirkung nicht.</w:t>
      </w:r>
    </w:p>
    <w:p>
      <w:r>
        <w:rPr>
          <w:b/>
          <w:sz w:val="19"/>
        </w:rPr>
        <w:t xml:space="preserve">Übertragbarkeit: </w:t>
      </w:r>
      <w:r>
        <w:rPr>
          <w:sz w:val="19"/>
        </w:rPr>
        <w:t>Norwegen, vergleichbares europäisches Versicherungssystem; Befund zu Altersgrenze hat universelle Relevanz für Geriatrie.</w:t>
      </w:r>
    </w:p>
    <w:p>
      <w:r>
        <w:rPr>
          <w:color w:val="5A7D3A"/>
          <w:sz w:val="18"/>
        </w:rPr>
        <w:t>https://pubmed.ncbi.nlm.nih.gov/42929098/</w:t>
      </w:r>
    </w:p>
    <w:p>
      <w:pPr>
        <w:pStyle w:val="Heading2"/>
      </w:pPr>
      <w:r>
        <w:t>Umweltbelastung und Schilddrüse: Benzol-Exposition erhöht Dysfunktionsrisiko durch Beschleunigung biologischen Alterns</w:t>
      </w:r>
    </w:p>
    <w:p>
      <w:r>
        <w:rPr>
          <w:i/>
          <w:color w:val="666666"/>
          <w:sz w:val="18"/>
        </w:rPr>
        <w:t>Yu L et al.  ·  Front Public Health  ·  17.09.2026  ·  PMID 42823953</w:t>
      </w:r>
    </w:p>
    <w:p>
      <w:r>
        <w:t>Kohortenstudie von 385.130 UK-Biobank-Teilnehmern zur Assoziation chronischer Benzol-Exposition mit Hypothyreose und Hyperthyreose; Testung, ob biologisches Altern den Effekt mediiert.</w:t>
      </w:r>
    </w:p>
    <w:p>
      <w:r>
        <w:rPr>
          <w:b/>
        </w:rPr>
        <w:t xml:space="preserve">Ergebnis: </w:t>
      </w:r>
      <w:r>
        <w:t>Benzol-Exposition zeigte dosisabhängige Assoziation mit Hypothyreose (HR pro 1 μg/m³: 1,19; 95%-CI 1,16–1,21) und Hyperthyreose (HR 1,21; 95%-CI 1,18–1,25). Beschleunigte biologische Alterung mediierte 3,07 % des Benzol-Hyperthyreose-Effekts; additive Interaktion mit höherem biologischem Alter auf Hypothyreose.</w:t>
      </w:r>
    </w:p>
    <w:p>
      <w:r>
        <w:rPr>
          <w:b/>
          <w:sz w:val="19"/>
        </w:rPr>
        <w:t xml:space="preserve">Übertragbarkeit: </w:t>
      </w:r>
      <w:r>
        <w:rPr>
          <w:sz w:val="19"/>
        </w:rPr>
        <w:t>UK Biobank; Luftqualitätsdaten sind in Deutschland verfügbar; biologische Altersmarker sind populationsübergreifend einsetzbar.</w:t>
      </w:r>
    </w:p>
    <w:p>
      <w:r>
        <w:rPr>
          <w:color w:val="5A7D3A"/>
          <w:sz w:val="18"/>
        </w:rPr>
        <w:t>https://pubmed.ncbi.nlm.nih.gov/42823953/</w:t>
      </w:r>
    </w:p>
    <w:p>
      <w:pPr>
        <w:pStyle w:val="Heading2"/>
      </w:pPr>
      <w:r>
        <w:t>Beschleunigte biologische Alterung erhöht Gicht-Risiko und Sterblichkeit bei älteren Menschen</w:t>
      </w:r>
    </w:p>
    <w:p>
      <w:r>
        <w:rPr>
          <w:i/>
          <w:color w:val="666666"/>
          <w:sz w:val="18"/>
        </w:rPr>
        <w:t>Zhao H et al.  ·  Maturitas  ·  25.09.2026  ·  PMID 42815273</w:t>
      </w:r>
    </w:p>
    <w:p>
      <w:r>
        <w:t>Querschnitts- und Kohortenstudie mit 385.130 UK-Biobank-Teilnehmern und 5.228 NHANES-Erwachsenen zur Assoziation von biologischem Altern (KDMAge, PhenoAge) mit Gicht-Prävalenz, Gicht-Inzidenz und Mortalität.</w:t>
      </w:r>
    </w:p>
    <w:p>
      <w:r>
        <w:rPr>
          <w:b/>
        </w:rPr>
        <w:t xml:space="preserve">Ergebnis: </w:t>
      </w:r>
      <w:r>
        <w:t>In NHANES war jedes Jahr biologischer Alterungsbeschleunigung mit 4 % erhöhtem Gicht-Risiko verbunden (OR 1,04; 95%-CI 1,03–1,05). Im UK Biobank: HR für Gicht-Neuauftreten bei KDMAge-Beschleunigung 1,80 (95%-CI 1,71–1,90). Bei Gicht-Patienten: beschleunigte biologische Alterung war mit 21–134 % erhöhtem Sterberisiko assoziiert (HR 1,21–2,34).</w:t>
      </w:r>
    </w:p>
    <w:p>
      <w:r>
        <w:rPr>
          <w:b/>
          <w:sz w:val="19"/>
        </w:rPr>
        <w:t xml:space="preserve">Übertragbarkeit: </w:t>
      </w:r>
      <w:r>
        <w:rPr>
          <w:sz w:val="19"/>
        </w:rPr>
        <w:t>UK Biobank und NHANES; biologische Altersmarker sind populationsübergreifend relevant, aber absolute Risiken gelten nur lokal.</w:t>
      </w:r>
    </w:p>
    <w:p>
      <w:r>
        <w:rPr>
          <w:color w:val="5A7D3A"/>
          <w:sz w:val="18"/>
        </w:rPr>
        <w:t>https://pubmed.ncbi.nlm.nih.gov/42815273/</w:t>
      </w:r>
    </w:p>
    <w:p>
      <w:pPr>
        <w:pStyle w:val="Heading2"/>
      </w:pPr>
      <w:r>
        <w:t>Armmuskulatur und Frailty: Dysbalance zwischen Fett und Muskel als klinisches Marker für biologische Alterung</w:t>
      </w:r>
    </w:p>
    <w:p>
      <w:r>
        <w:rPr>
          <w:i/>
          <w:color w:val="666666"/>
          <w:sz w:val="18"/>
        </w:rPr>
        <w:t>Sun Z et al.  ·  Maturitas  ·  17.09.2026  ·  PMID 42777331</w:t>
      </w:r>
    </w:p>
    <w:p>
      <w:r>
        <w:t>Querschnittsanalyse von 445.317 UK-Biobank-Teilnehmern zur Assoziation von regionalem Fett-Muskel-Verhältnis (aus Bioimpedanz) mit Frailty-Status und proteingestütztem biologischem Altern.</w:t>
      </w:r>
    </w:p>
    <w:p>
      <w:r>
        <w:rPr>
          <w:b/>
        </w:rPr>
        <w:t xml:space="preserve">Ergebnis: </w:t>
      </w:r>
      <w:r>
        <w:t>Höhere Fett-Muskel-Quoten waren dosisabhängig assoziiert mit Pre-Frailty und Frailty; Arm-Verhältnis war stärkster regionaler Prädiktor (Frauen: OR 2,95 für Frailty; 95%-CI 2,75–3,18). Arm-Quote verbesserte die BMI-basierte Diskrimination um AUC 0,0068–0,0137. Konkordanz mit multi-organ proteingestütztem Alterungsmuster.</w:t>
      </w:r>
    </w:p>
    <w:p>
      <w:r>
        <w:rPr>
          <w:b/>
          <w:sz w:val="19"/>
        </w:rPr>
        <w:t xml:space="preserve">Übertragbarkeit: </w:t>
      </w:r>
      <w:r>
        <w:rPr>
          <w:sz w:val="19"/>
        </w:rPr>
        <w:t>UK Biobank; körperanalytische Methoden sind in Deutschland verfügbar; Befund erfordert Validierung an deutschen Kohorten.</w:t>
      </w:r>
    </w:p>
    <w:p>
      <w:r>
        <w:rPr>
          <w:color w:val="5A7D3A"/>
          <w:sz w:val="18"/>
        </w:rPr>
        <w:t>https://pubmed.ncbi.nlm.nih.gov/42777331/</w:t>
      </w:r>
    </w:p>
    <w:p>
      <w:pPr>
        <w:pStyle w:val="Heading1"/>
      </w:pPr>
      <w:r>
        <w:t>Aufgenommen am 26.10.2026</w:t>
      </w:r>
    </w:p>
    <w:p>
      <w:pPr>
        <w:pStyle w:val="Heading2"/>
      </w:pPr>
      <w:r>
        <w:t>Frailty-Assessments in präoperativer Geriatrie: systematische Übersicht von 35 Werkzeugen</w:t>
      </w:r>
    </w:p>
    <w:p>
      <w:r>
        <w:rPr>
          <w:i/>
          <w:color w:val="666666"/>
          <w:sz w:val="18"/>
        </w:rPr>
        <w:t>Chesney TR et al.  ·  BJS Open  ·  04.09.2026  ·  PMID 42925091</w:t>
      </w:r>
    </w:p>
    <w:p>
      <w:r>
        <w:t>Systematische Scoping Review von 160 Studien zu 35 Frailty-Messinstrumenten bei Personen ≥65 Jahren vor großen Operationen, untersucht anhand von 6 Performanzmetriken (Messeigenschaften, klinische Implikationen, praktische Faktoren).</w:t>
      </w:r>
    </w:p>
    <w:p>
      <w:r>
        <w:rPr>
          <w:b/>
        </w:rPr>
        <w:t xml:space="preserve">Ergebnis: </w:t>
      </w:r>
      <w:r>
        <w:t>Clinical Frailty Scale extensiv erforscht (4 von 6 Metriken), aber 40 % der Tools nur in einer Studie untersucht. Edmonton Frail Scale einziges Tool über alle 6 Metriken validiert. FRAIL scale, Geriatric 8 und Vulnerable Elders Survey-13 zeigen gute Balance zwischen Simplizität und Evidenzlage. Prädiktive Validität am meisten untersucht, während klinische Auswirkungen und Implementierungsfaktoren untererforscht.</w:t>
      </w:r>
    </w:p>
    <w:p>
      <w:r>
        <w:rPr>
          <w:b/>
          <w:sz w:val="19"/>
        </w:rPr>
        <w:t xml:space="preserve">Übertragbarkeit: </w:t>
      </w:r>
      <w:r>
        <w:rPr>
          <w:sz w:val="19"/>
        </w:rPr>
        <w:t>Kanada, Cochrane Review – internationale Standards; Auswahl übertragbar auf deutschsprachige Kliniken.</w:t>
      </w:r>
    </w:p>
    <w:p>
      <w:r>
        <w:rPr>
          <w:color w:val="5A7D3A"/>
          <w:sz w:val="18"/>
        </w:rPr>
        <w:t>https://pubmed.ncbi.nlm.nih.gov/42925091/</w:t>
      </w:r>
    </w:p>
    <w:p>
      <w:pPr>
        <w:pStyle w:val="Heading2"/>
      </w:pPr>
      <w:r>
        <w:t>Arbeitsplatzmaßnahmen für gesundes Altern: Verfügbarkeit und Effekt auf Arbeitsfähigkeit in Italien</w:t>
      </w:r>
    </w:p>
    <w:p>
      <w:r>
        <w:rPr>
          <w:i/>
          <w:color w:val="666666"/>
          <w:sz w:val="18"/>
        </w:rPr>
        <w:t>Dragano N et al.  ·  Med Lav  ·  23.10.2026  ·  PMID 42925044</w:t>
      </w:r>
    </w:p>
    <w:p>
      <w:r>
        <w:t>Querschnittstudie an 3.741 berufstätigen Personen im Alter 50–65 Jahren in Italien, die Verfügbarkeit von 20 Maßnahmen zur Förderung gesunden Alterns sowie deren Assoziationen mit dem Work Ability Index (WAI) untersuchte.</w:t>
      </w:r>
    </w:p>
    <w:p>
      <w:r>
        <w:rPr>
          <w:b/>
        </w:rPr>
        <w:t xml:space="preserve">Ergebnis: </w:t>
      </w:r>
      <w:r>
        <w:t>Durchschnittliche Verfügbarkeit von 5 von 20 Maßnahmen (viele unter 20 % der Arbeitnehmer); weniger verfügbar für Frauen, mit niedrigem Einkommen, in bestimmten Wirtschaftssektoren und bei befristeten Verträgen. Höhere Verfügbarkeit von Maßnahmen assoziiert mit besserem WAI (β = 0,107; 95%-KI 0,058–0,157). Implementierung bleibt noch deutlich ausbaubar, besonders für benachteiligte Arbeitnehmergruppen.</w:t>
      </w:r>
    </w:p>
    <w:p>
      <w:r>
        <w:rPr>
          <w:b/>
          <w:sz w:val="19"/>
        </w:rPr>
        <w:t xml:space="preserve">Übertragbarkeit: </w:t>
      </w:r>
      <w:r>
        <w:rPr>
          <w:sz w:val="19"/>
        </w:rPr>
        <w:t>Italien/DACH-Nachbar, vergleichbarer Arbeitsmarkt und Sozialversicherung.</w:t>
      </w:r>
    </w:p>
    <w:p>
      <w:r>
        <w:rPr>
          <w:color w:val="5A7D3A"/>
          <w:sz w:val="18"/>
        </w:rPr>
        <w:t>https://pubmed.ncbi.nlm.nih.gov/42925044/</w:t>
      </w:r>
    </w:p>
    <w:p>
      <w:pPr>
        <w:pStyle w:val="Heading2"/>
      </w:pPr>
      <w:r>
        <w:t>Digitale Teilhabe älterer Menschen mit Gebrechlichkeit: qualitative Analyse von fünf Nutzer-Profilen</w:t>
      </w:r>
    </w:p>
    <w:p>
      <w:r>
        <w:rPr>
          <w:i/>
          <w:color w:val="666666"/>
          <w:sz w:val="18"/>
        </w:rPr>
        <w:t>Ren K et al.  ·  Front Public Health  ·  08.10.2026  ·  PMID 42923139</w:t>
      </w:r>
    </w:p>
    <w:p>
      <w:r>
        <w:t>Qualitative Studie mit 24 älteren Erwachsenen mit Interneterfahrung, die Muster der Internetnutzung nach Gebrechlichkeit mittels semi-strukturierter Interviews und inductiver Inhaltsanalyse mit Entwicklung von fünf User-Personas analysierte.</w:t>
      </w:r>
    </w:p>
    <w:p>
      <w:r>
        <w:rPr>
          <w:b/>
        </w:rPr>
        <w:t xml:space="preserve">Ergebnis: </w:t>
      </w:r>
      <w:r>
        <w:t>Fünf Personas identifiziert: Health-Empowered Integrators, Basic-Function Adapters, Entertainment-Oriented Users, Resource-Limited Users, Health-Affected Users. Kernfindung: Gebrechlichkeit korreliert nicht direkt mit Internetnutzung; stattdessen bestimmen Gesundheitsfunktionsfähigkeit, digitale Kompetenzen, Bildungsressourcen und soziale Unterstützung gemeinsam die Muster. Gezielte Unterstützung nach Persona-Merkmalen könnte digitale Gerechtigkeit und Zugang zu Gesundheitsressourcen verbessern.</w:t>
      </w:r>
    </w:p>
    <w:p>
      <w:r>
        <w:rPr>
          <w:b/>
          <w:sz w:val="19"/>
        </w:rPr>
        <w:t xml:space="preserve">Übertragbarkeit: </w:t>
      </w:r>
      <w:r>
        <w:rPr>
          <w:sz w:val="19"/>
        </w:rPr>
        <w:t>China, qualitative Methode universell; Persona-Ansatz zur Gesundheitsdigitalisierung übertragbar.</w:t>
      </w:r>
    </w:p>
    <w:p>
      <w:r>
        <w:rPr>
          <w:color w:val="5A7D3A"/>
          <w:sz w:val="18"/>
        </w:rPr>
        <w:t>https://pubmed.ncbi.nlm.nih.gov/42923139/</w:t>
      </w:r>
    </w:p>
    <w:p>
      <w:pPr>
        <w:pStyle w:val="Heading2"/>
      </w:pPr>
      <w:r>
        <w:t>Integrierte Altenpolitik und Lebensqualität: Difference-in-Differences-Analyse über 24 Länder</w:t>
      </w:r>
    </w:p>
    <w:p>
      <w:r>
        <w:rPr>
          <w:i/>
          <w:color w:val="666666"/>
          <w:sz w:val="18"/>
        </w:rPr>
        <w:t>Tu Y et al.  ·  Front Public Health  ·  09.10.2026  ·  PMID 42920700</w:t>
      </w:r>
    </w:p>
    <w:p>
      <w:r>
        <w:t>Differenzen-in-Differenzen-Analyse mit Daten von 24 Ländern (2018–2025), vergleichend 11 Länder mit nationalen integrierten Altenpflegepolitiken (2021–2022 eingeführt) mit 13 Kontrollländern, Endpunkte Lebensqualitätsindex und Lebenserwartung mit 60 Jahren.</w:t>
      </w:r>
    </w:p>
    <w:p>
      <w:r>
        <w:rPr>
          <w:b/>
        </w:rPr>
        <w:t xml:space="preserve">Ergebnis: </w:t>
      </w:r>
      <w:r>
        <w:t>Politikadoption assoziiert mit +3,84 Punkten im Lebensqualitätsindex (95%-KI 2,39–5,30; p&lt;0,01; 0,33 SD) und +1,13 Jahren Lebenserwartung mit 60 Jahren (95%-KI 0,50–1,75; p&lt;0,01; 0,36 SD). Effekte stiegen von Jahr 1 (1,26 Punkte) auf Jahr 3 nach Einführung (3,84 Punkte). Mechanismen: Erhöhte universelle Krankenversicherung (+4,13), Ausweitung Sozialschutz (+5,28), reduzierte Selbstbeteiligung (−3,42). Effekte robuster in Ländern mit niedrigerem Einkommen.</w:t>
      </w:r>
    </w:p>
    <w:p>
      <w:r>
        <w:rPr>
          <w:b/>
          <w:sz w:val="19"/>
        </w:rPr>
        <w:t xml:space="preserve">Übertragbarkeit: </w:t>
      </w:r>
      <w:r>
        <w:rPr>
          <w:sz w:val="19"/>
        </w:rPr>
        <w:t>Globale Evidenz, DACH-orientiert; Ergebnis hängt an Finanzierungssystem – teilweise übertragbar auf deutsche Ländermodelle.</w:t>
      </w:r>
    </w:p>
    <w:p>
      <w:r>
        <w:rPr>
          <w:color w:val="5A7D3A"/>
          <w:sz w:val="18"/>
        </w:rPr>
        <w:t>https://pubmed.ncbi.nlm.nih.gov/42920700/</w:t>
      </w:r>
    </w:p>
    <w:p>
      <w:pPr>
        <w:pStyle w:val="Heading2"/>
      </w:pPr>
      <w:r>
        <w:t>Clinical Frailty Scale: Assoziationen mit Lebensqualität bei akut hospitalisierten Älteren</w:t>
      </w:r>
    </w:p>
    <w:p>
      <w:r>
        <w:rPr>
          <w:i/>
          <w:color w:val="666666"/>
          <w:sz w:val="18"/>
        </w:rPr>
        <w:t>Roa Santervas L et al.  ·  J Frailty Aging  ·  17.10.2026  ·  PMID 42891948</w:t>
      </w:r>
    </w:p>
    <w:p>
      <w:r>
        <w:t>Cross-sektonale Studie an 382 Patienten ≥70 Jahren in einer norwegischen Notfallaufnahme, die Zusammenhänge zwischen Clinical Frailty Scale und allgemeiner sowie oraler gesundheitsbezogener Lebensqualität untersuchte.</w:t>
      </w:r>
    </w:p>
    <w:p>
      <w:r>
        <w:rPr>
          <w:b/>
        </w:rPr>
        <w:t xml:space="preserve">Ergebnis: </w:t>
      </w:r>
      <w:r>
        <w:t>Zunehmende Gebrechlichkeit war signifikant mit niedrigeren 15D-Scores assoziiert (adjustiertes B −0,053; 95%-KI −0,061 bis −0,045), höheren Odds für niedrigere Lebenszufriedenheit (adjustierte OR 1,19; 95%-KI 1,02–1,39) und höheren Odds für negative Auswirkungen der Mundgesundheit (adjustierte OR 1,25; 95%-KI 1,05–1,48). Einfache Frailty-Bewertung bei akuter Aufnahme kann Patienten mit schlechterer Lebensqualität identifizieren.</w:t>
      </w:r>
    </w:p>
    <w:p>
      <w:r>
        <w:rPr>
          <w:b/>
          <w:sz w:val="19"/>
        </w:rPr>
        <w:t xml:space="preserve">Übertragbarkeit: </w:t>
      </w:r>
      <w:r>
        <w:rPr>
          <w:sz w:val="19"/>
        </w:rPr>
        <w:t>Norwegen, vergleichbares Versicherungssystem, ähnliche Notfallversorgungsstruktur.</w:t>
      </w:r>
    </w:p>
    <w:p>
      <w:r>
        <w:rPr>
          <w:color w:val="5A7D3A"/>
          <w:sz w:val="18"/>
        </w:rPr>
        <w:t>https://pubmed.ncbi.nlm.nih.gov/42891948/</w:t>
      </w:r>
    </w:p>
    <w:p>
      <w:pPr>
        <w:pStyle w:val="Heading2"/>
      </w:pPr>
      <w:r>
        <w:t>Gemeindeübungen und Funktionsbesserung bei älteren Menschen mit Gebrechlichkeit</w:t>
      </w:r>
    </w:p>
    <w:p>
      <w:r>
        <w:rPr>
          <w:i/>
          <w:color w:val="666666"/>
          <w:sz w:val="18"/>
        </w:rPr>
        <w:t>O'Shea M et al.  ·  J Frailty Aging  ·  05.10.2026  ·  PMID 42832337</w:t>
      </w:r>
    </w:p>
    <w:p>
      <w:r>
        <w:t>Prospektive Kohortenstudie mit 1.290 Teilnehmern (Durchschnittsalter 69 Jahre) in einem irischen, medizinisch betreuten Gruppentrainingsprogramm, stratifiziert nach Baseline-Gebrechlichkeit über 24 Wochen.</w:t>
      </w:r>
    </w:p>
    <w:p>
      <w:r>
        <w:rPr>
          <w:b/>
        </w:rPr>
        <w:t xml:space="preserve">Ergebnis: </w:t>
      </w:r>
      <w:r>
        <w:t>Bei Baseline 15 % fraile, 23 % präfraile, 62 % robuste Teilnehmer. Fraile Patienten zeigten Verbesserungen in Gehgeschwindigkeit, Timed Up and Go, sechsminütigem Gehtest und EQVAS zwischen Baseline und Woche 24; Präfraile in Sit-to-Stand, sechsminütigem Test und EQVAS; robuste in allen Maßnahmen. Programm war mit Funktionsverbesserungen über alle Frailty-Gruppen hinweg assoziiert.</w:t>
      </w:r>
    </w:p>
    <w:p>
      <w:r>
        <w:rPr>
          <w:b/>
          <w:sz w:val="19"/>
        </w:rPr>
        <w:t xml:space="preserve">Übertragbarkeit: </w:t>
      </w:r>
      <w:r>
        <w:rPr>
          <w:sz w:val="19"/>
        </w:rPr>
        <w:t>Irland, vergleichbares Primärversorgungssystem, Community-Setting übertragbar.</w:t>
      </w:r>
    </w:p>
    <w:p>
      <w:r>
        <w:rPr>
          <w:color w:val="5A7D3A"/>
          <w:sz w:val="18"/>
        </w:rPr>
        <w:t>https://pubmed.ncbi.nlm.nih.gov/42832337/</w:t>
      </w:r>
    </w:p>
    <w:p>
      <w:pPr>
        <w:pStyle w:val="Heading2"/>
      </w:pPr>
      <w:r>
        <w:t>Gebrechlichkeit und Palliativbedarf: Unterscheidung durch Fachleute – qualitative Fallstudiensynthese</w:t>
      </w:r>
    </w:p>
    <w:p>
      <w:r>
        <w:rPr>
          <w:i/>
          <w:color w:val="666666"/>
          <w:sz w:val="18"/>
        </w:rPr>
        <w:t>van der Ploeg T et al.  ·  J Frailty Aging  ·  05.09.2026  ·  PMID 42700391</w:t>
      </w:r>
    </w:p>
    <w:p>
      <w:r>
        <w:t>Qualitative Studie mit 15 Fallstudien, präsentiert an Fachleute in Niederlanden und Belgien (n=Respondenten mit Expertise), die Fähigkeit zur Unterscheidung zwischen Frailty-Komponenten und Palliativbedarf sowie Sicherheit dieser Urteile untersuchte.</w:t>
      </w:r>
    </w:p>
    <w:p>
      <w:r>
        <w:rPr>
          <w:b/>
        </w:rPr>
        <w:t xml:space="preserve">Ergebnis: </w:t>
      </w:r>
      <w:r>
        <w:t>Fachleute nutzen unterschiedliche Komponenten zur Klassifikation: In den meisten Fällen unterscheiden sich Frailty- und Palliativbewertungen signifikant (p&lt;0,05). Fachleute sind sicherer in der Erkennung von Frailty-Komponenten als Palliativbedarf. Erkenntnis: Patienten können Frailty-Komponenten haben ohne Palliativbedarf, aber nicht umgekehrt erkannt. Besseres Verständnis für Progression von Frailty zu Palliativbedarf könnte patientenzentrierte Versorgung und Lebensqualität verbessern.</w:t>
      </w:r>
    </w:p>
    <w:p>
      <w:r>
        <w:rPr>
          <w:b/>
          <w:sz w:val="19"/>
        </w:rPr>
        <w:t xml:space="preserve">Übertragbarkeit: </w:t>
      </w:r>
      <w:r>
        <w:rPr>
          <w:sz w:val="19"/>
        </w:rPr>
        <w:t>Niederlande/Belgien, deutschsprachige Gesundheitssysteme ähnlich; Befunde zur Versorgungsüberleitung anwendbar.</w:t>
      </w:r>
    </w:p>
    <w:p>
      <w:r>
        <w:rPr>
          <w:color w:val="5A7D3A"/>
          <w:sz w:val="18"/>
        </w:rPr>
        <w:t>https://pubmed.ncbi.nlm.nih.gov/42700391/</w:t>
      </w:r>
    </w:p>
    <w:p>
      <w:pPr>
        <w:pStyle w:val="Heading1"/>
      </w:pPr>
      <w:r>
        <w:t>Aufgenommen am 25.10.2026</w:t>
      </w:r>
    </w:p>
    <w:p>
      <w:pPr>
        <w:pStyle w:val="Heading2"/>
      </w:pPr>
      <w:r>
        <w:t>Frailty-Screening mit Prävention senkt Pflegequoten bei Älteren</w:t>
      </w:r>
    </w:p>
    <w:p>
      <w:r>
        <w:rPr>
          <w:i/>
          <w:color w:val="666666"/>
          <w:sz w:val="18"/>
        </w:rPr>
        <w:t>Soma S et al.  ·  Age Ageing  ·  03.08.2026  ·  PMID 42920343</w:t>
      </w:r>
    </w:p>
    <w:p>
      <w:r>
        <w:t>Untersucht wurde, ob ein kommunales Programm aus Frailty-Screening und Gesundheitsberatung die Quote der Pflegebedürftigkeit bei Menschen über 75 Jahren reduziert.</w:t>
      </w:r>
    </w:p>
    <w:p>
      <w:r>
        <w:rPr>
          <w:b/>
        </w:rPr>
        <w:t xml:space="preserve">Ergebnis: </w:t>
      </w:r>
      <w:r>
        <w:t>Nach Einführung des Programms nahm die altersstandardisierte Pflegequote bei den über 75-Jährigen deutlich ab: Der Trend sank um 0,974 pro Jahr (95 %-KI 0,963–0,983), sodass die Quote am Ende um 6,8 % unter der zu erwartenden Fortsetzung lag (95 %-KI 4,4–10,0 %). Dies zeigt den Nutzen von Frailty-Screening in der bevölkerungsgestützten Prävention.</w:t>
      </w:r>
    </w:p>
    <w:p>
      <w:r>
        <w:rPr>
          <w:b/>
          <w:sz w:val="19"/>
        </w:rPr>
        <w:t xml:space="preserve">Übertragbarkeit: </w:t>
      </w:r>
      <w:r>
        <w:rPr>
          <w:sz w:val="19"/>
        </w:rPr>
        <w:t>Japan, vergleichbare Langzeitpflegeversicherung; Ergebnis auf Alterungsgesellschaften übertragbar</w:t>
      </w:r>
    </w:p>
    <w:p>
      <w:r>
        <w:rPr>
          <w:color w:val="5A7D3A"/>
          <w:sz w:val="18"/>
        </w:rPr>
        <w:t>https://pubmed.ncbi.nlm.nih.gov/42920343/</w:t>
      </w:r>
    </w:p>
    <w:p>
      <w:pPr>
        <w:pStyle w:val="Heading2"/>
      </w:pPr>
      <w:r>
        <w:t>Messbare Indikatoren für Aging-in-Place bei älteren Menschen mit Frailty</w:t>
      </w:r>
    </w:p>
    <w:p>
      <w:r>
        <w:rPr>
          <w:i/>
          <w:color w:val="666666"/>
          <w:sz w:val="18"/>
        </w:rPr>
        <w:t>Dlima SD et al.  ·  BMC Geriatr  ·  28.07.2026  ·  PMID 42919131</w:t>
      </w:r>
    </w:p>
    <w:p>
      <w:r>
        <w:t>Experten-Delphi-Befragung zur Identifizierung von routinemäßig messbaren Indikatoren für gelungenes Altern zu Hause bei älteren Menschen mit oder Risiko für Frailty.</w:t>
      </w:r>
    </w:p>
    <w:p>
      <w:r>
        <w:rPr>
          <w:b/>
        </w:rPr>
        <w:t xml:space="preserve">Ergebnis: </w:t>
      </w:r>
      <w:r>
        <w:t>Nur vier Indikatoren erreichten Konsens für Wichtigkeit und praktische Machbarkeit: körperliche Leistung/Mobilität, Multimorbidität, Sinnesfunktionen und Druckgeschwüre. 27 weitere Indikatoren waren sehr wichtig, aber schwer routinemäßig zu erfassen. Technologie-Indikatoren waren weder wichtig noch machbar; Laien-Experten betonten jedoch digitale Kompetenz.</w:t>
      </w:r>
    </w:p>
    <w:p>
      <w:r>
        <w:rPr>
          <w:b/>
          <w:sz w:val="19"/>
        </w:rPr>
        <w:t xml:space="preserve">Übertragbarkeit: </w:t>
      </w:r>
      <w:r>
        <w:rPr>
          <w:sz w:val="19"/>
        </w:rPr>
        <w:t>UK (Manchester); Geriatrisches Assessment und Indikatorauswahl sind auf deutsches Versorgungssystem übertragbar</w:t>
      </w:r>
    </w:p>
    <w:p>
      <w:r>
        <w:rPr>
          <w:color w:val="5A7D3A"/>
          <w:sz w:val="18"/>
        </w:rPr>
        <w:t>https://pubmed.ncbi.nlm.nih.gov/42919131/</w:t>
      </w:r>
    </w:p>
    <w:p>
      <w:pPr>
        <w:pStyle w:val="Heading2"/>
      </w:pPr>
      <w:r>
        <w:t>Gesundheitsausgaben älterer Menschen treiben Haushalte in Armut: Versicherungslücken in Indien</w:t>
      </w:r>
    </w:p>
    <w:p>
      <w:r>
        <w:rPr>
          <w:i/>
          <w:color w:val="666666"/>
          <w:sz w:val="18"/>
        </w:rPr>
        <w:t>Soni N et al.  ·  Front Public Health  ·  07.10.2026  ·  PMID 42908591</w:t>
      </w:r>
    </w:p>
    <w:p>
      <w:r>
        <w:t>Untersucht wurde, wie Eigenleistungen für Gesundheit Haushalte mit älteren Menschen in Indien in Armut treiben und welche Faktoren dieses Risiko verschärfen oder puffern.</w:t>
      </w:r>
    </w:p>
    <w:p>
      <w:r>
        <w:rPr>
          <w:b/>
        </w:rPr>
        <w:t xml:space="preserve">Ergebnis: </w:t>
      </w:r>
      <w:r>
        <w:t>Längere Krankenhausaufenthalte, größere Haushalte, Kaste und private Gesundheitsversorgung erhöhen die Armutsquote erheblich. Krankenversicherung und Bildung reduzieren das Risiko. Trotz öffentlicher Programme ist die Abdeckung unzureichend und ungleich, weshalb ältere Menschen finanziell ungeschützt bleiben.</w:t>
      </w:r>
    </w:p>
    <w:p>
      <w:r>
        <w:rPr>
          <w:b/>
          <w:sz w:val="19"/>
        </w:rPr>
        <w:t xml:space="preserve">Übertragbarkeit: </w:t>
      </w:r>
      <w:r>
        <w:rPr>
          <w:sz w:val="19"/>
        </w:rPr>
        <w:t>Indien; zeigt Versorgungslücken in Ländern ohne Vollversicherung; für Deutschland relevant als Warnung vor Privatisierung von Altenversorgung</w:t>
      </w:r>
    </w:p>
    <w:p>
      <w:r>
        <w:rPr>
          <w:color w:val="5A7D3A"/>
          <w:sz w:val="18"/>
        </w:rPr>
        <w:t>https://pubmed.ncbi.nlm.nih.gov/42908591/</w:t>
      </w:r>
    </w:p>
    <w:p>
      <w:pPr>
        <w:pStyle w:val="Heading2"/>
      </w:pPr>
      <w:r>
        <w:t>Geriatrische Versorgung: Risikogeschichtetes Drei-Ebenen-Modell statt Checkliste</w:t>
      </w:r>
    </w:p>
    <w:p>
      <w:r>
        <w:rPr>
          <w:i/>
          <w:color w:val="666666"/>
          <w:sz w:val="18"/>
        </w:rPr>
        <w:t>Amir O et al.  ·  NEJM Catal Innov Care Deliv  ·  21.10.2026  ·  PMID 42904679</w:t>
      </w:r>
    </w:p>
    <w:p>
      <w:r>
        <w:t>Beschreibt ein risikostratifiziertes Versorgungsmodell für ältere Klinikpatienten, das die 4Ms (Mobility, Mentation, Medication, What Matters) allen Über-65-Jährigen anbietet und dann Hochrisiko-Patienten zu spezialisierten geriatrischen Teams leitet.</w:t>
      </w:r>
    </w:p>
    <w:p>
      <w:r>
        <w:rPr>
          <w:b/>
        </w:rPr>
        <w:t xml:space="preserve">Ergebnis: </w:t>
      </w:r>
      <w:r>
        <w:t>Das Modell unterscheidet: (1) universelle 4Ms-Prozesse für alle älteren Patienten, (2) spezialisierte Protokolle (z. B. Hüftfraktur) durch Generalisten mit Geriater-Aufsicht, (3) intensive Comanagement-Modelle durch spezialisierte geriatrische Teams. Dies vermeidet Ressourcen-Ineffizienz und verbessert die Ergebnisse durch angepasste Intensität.</w:t>
      </w:r>
    </w:p>
    <w:p>
      <w:r>
        <w:rPr>
          <w:b/>
          <w:sz w:val="19"/>
        </w:rPr>
        <w:t xml:space="preserve">Übertragbarkeit: </w:t>
      </w:r>
      <w:r>
        <w:rPr>
          <w:sz w:val="19"/>
        </w:rPr>
        <w:t>USA, CMS-System; Risikostratifizierung und Strukturmodell sind auf deutsches Klinikmanagement übertragbar</w:t>
      </w:r>
    </w:p>
    <w:p>
      <w:r>
        <w:rPr>
          <w:color w:val="5A7D3A"/>
          <w:sz w:val="18"/>
        </w:rPr>
        <w:t>https://pubmed.ncbi.nlm.nih.gov/42904679/</w:t>
      </w:r>
    </w:p>
    <w:p>
      <w:pPr>
        <w:pStyle w:val="Heading2"/>
      </w:pPr>
      <w:r>
        <w:t>Mobile interprofessionelle 4Ms-Versorgung für ländliche ältere Menschen</w:t>
      </w:r>
    </w:p>
    <w:p>
      <w:r>
        <w:rPr>
          <w:i/>
          <w:color w:val="666666"/>
          <w:sz w:val="18"/>
        </w:rPr>
        <w:t>Wick K et al.  ·  NEJM Catal Innov Care Deliv  ·  21.10.2026  ·  PMID 42904676</w:t>
      </w:r>
    </w:p>
    <w:p>
      <w:r>
        <w:t>Beschreibt ein mobiles interprofessionelles Klinik-Modell (MobileMOC), das die 4Ms in ländlichen Regionen über Klinikbesuche, Senior-Zentren und Lehre erbringt.</w:t>
      </w:r>
    </w:p>
    <w:p>
      <w:r>
        <w:rPr>
          <w:b/>
        </w:rPr>
        <w:t xml:space="preserve">Ergebnis: </w:t>
      </w:r>
      <w:r>
        <w:t>In den ersten 6 Monaten 2026 wurden 182 Patientenkontakte erbracht, 129 Patienten (45 % älter als 65 Jahre) erreicht, 1.579 Screenings durchgeführt, 119 Fachüberweisungen generiert und 710 Stunden klinische Lehre geleistet. Das Modell zeigt Machbarkeit, offenbart aber Messlücken und Finanzierungsgaps.</w:t>
      </w:r>
    </w:p>
    <w:p>
      <w:r>
        <w:rPr>
          <w:b/>
          <w:sz w:val="19"/>
        </w:rPr>
        <w:t xml:space="preserve">Übertragbarkeit: </w:t>
      </w:r>
      <w:r>
        <w:rPr>
          <w:sz w:val="19"/>
        </w:rPr>
        <w:t>USA; Struktur und Interprofessionalität sind auf deutsche ländliche Regionen mit Fachkräftemangel übertragbar</w:t>
      </w:r>
    </w:p>
    <w:p>
      <w:r>
        <w:rPr>
          <w:color w:val="5A7D3A"/>
          <w:sz w:val="18"/>
        </w:rPr>
        <w:t>https://pubmed.ncbi.nlm.nih.gov/42904676/</w:t>
      </w:r>
    </w:p>
    <w:p>
      <w:pPr>
        <w:pStyle w:val="Heading2"/>
      </w:pPr>
      <w:r>
        <w:t>Hundertjährige in Genua: Kohortenstudie zu kognitiver Gesundheit im höchsten Alter</w:t>
      </w:r>
    </w:p>
    <w:p>
      <w:r>
        <w:rPr>
          <w:i/>
          <w:color w:val="666666"/>
          <w:sz w:val="18"/>
        </w:rPr>
        <w:t>Di Maria E et al.  ·  Exp Gerontol  ·  01.10.2026  ·  PMID 42822552</w:t>
      </w:r>
    </w:p>
    <w:p>
      <w:r>
        <w:t>Italienische multidisziplinäre Kohorte von 88 Hundertjährigen (Alter 99–108 Jahre) zur Untersuchung von Schutzfaktoren für kognitive Funktion durch Neuropsychologie und Genomik.</w:t>
      </w:r>
    </w:p>
    <w:p>
      <w:r>
        <w:rPr>
          <w:b/>
        </w:rPr>
        <w:t xml:space="preserve">Ergebnis: </w:t>
      </w:r>
      <w:r>
        <w:t>Von 84 Hundertjährigen mit erfasstem kognitiven Status zeigte sich großes Spektrum: CDR 0–5 (Median 1), MMSE 3–30 (Median 24). 32 Patienten wurden nachbeobachtet, DNA von 67 gelagert. Protokoll ist praktikabel und wird akzeptiert. Erkenntnisse werden längerfristig genomische Varianten für kognitive Variabilität im hohen Alter aufklären.</w:t>
      </w:r>
    </w:p>
    <w:p>
      <w:r>
        <w:rPr>
          <w:b/>
          <w:sz w:val="19"/>
        </w:rPr>
        <w:t xml:space="preserve">Übertragbarkeit: </w:t>
      </w:r>
      <w:r>
        <w:rPr>
          <w:sz w:val="19"/>
        </w:rPr>
        <w:t>Italien, europäische Langzeitpflege; italienisches Alterssystem und High-Prevalence-Hundertjähriger machen Übertrag auf Deutschland begrenzt, aber kognitives Screening relevant</w:t>
      </w:r>
    </w:p>
    <w:p>
      <w:r>
        <w:rPr>
          <w:color w:val="5A7D3A"/>
          <w:sz w:val="18"/>
        </w:rPr>
        <w:t>https://pubmed.ncbi.nlm.nih.gov/42822552/</w:t>
      </w:r>
    </w:p>
    <w:p>
      <w:pPr>
        <w:pStyle w:val="Heading1"/>
      </w:pPr>
      <w:r>
        <w:t>Aufgenommen am 24.10.2026</w:t>
      </w:r>
    </w:p>
    <w:p>
      <w:pPr>
        <w:pStyle w:val="Heading2"/>
      </w:pPr>
      <w:r>
        <w:t>Frailty-Schweregrad bestimmt Überleben und Arztkostenbelastung bei älteren Menschen</w:t>
      </w:r>
    </w:p>
    <w:p>
      <w:r>
        <w:rPr>
          <w:i/>
          <w:color w:val="666666"/>
          <w:sz w:val="18"/>
        </w:rPr>
        <w:t>Pulok MH et al.  ·  Age Ageing  ·  03.08.2026  ·  PMID 42910912</w:t>
      </w:r>
    </w:p>
    <w:p>
      <w:r>
        <w:t>Retrospektive Kohortenstudie an 944 älteren Notaufnahmepatienten (Median 80,8 Jahre) zur Vorhersage von Kosten und Überleben anhand des Clinical Frailty Scale.</w:t>
      </w:r>
    </w:p>
    <w:p>
      <w:r>
        <w:rPr>
          <w:b/>
        </w:rPr>
        <w:t xml:space="preserve">Ergebnis: </w:t>
      </w:r>
      <w:r>
        <w:t>Schwer gebrechliche Patienten hatten über ein Jahr 704 CAD weniger Arztkosen als unkomplizierte – hauptsächlich durch kürzeres Überleben bedingt (41,6% starben innerhalb eines Jahres). Während der Lebenszeit fielen für alle Gebrechlichkeitsgruppen höhere Kosten an als für Nicht-Gebrechliche, was auf intensivere Nutzung bei kürzerer Dauer hindeutet. Der Frailty-Status war ein besserer Kostenprädiktor als Alter allein.</w:t>
      </w:r>
    </w:p>
    <w:p>
      <w:r>
        <w:rPr>
          <w:b/>
          <w:sz w:val="19"/>
        </w:rPr>
        <w:t xml:space="preserve">Übertragbarkeit: </w:t>
      </w:r>
      <w:r>
        <w:rPr>
          <w:sz w:val="19"/>
        </w:rPr>
        <w:t>Kanada, ähnliche Sozialversicherung und Gesundheitsfinanzierung wie Deutschland.</w:t>
      </w:r>
    </w:p>
    <w:p>
      <w:r>
        <w:rPr>
          <w:color w:val="5A7D3A"/>
          <w:sz w:val="18"/>
        </w:rPr>
        <w:t>https://pubmed.ncbi.nlm.nih.gov/42910912/</w:t>
      </w:r>
    </w:p>
    <w:p>
      <w:pPr>
        <w:pStyle w:val="Heading2"/>
      </w:pPr>
      <w:r>
        <w:t>Aktives Altern durch Betreuung und Freiwilligenarbeit: Wer profitiert, wer leidet?</w:t>
      </w:r>
    </w:p>
    <w:p>
      <w:r>
        <w:rPr>
          <w:i/>
          <w:color w:val="666666"/>
          <w:sz w:val="18"/>
        </w:rPr>
        <w:t>Cretazzo F et al.  ·  Front Public Health  ·  07.10.2026  ·  PMID 42909995</w:t>
      </w:r>
    </w:p>
    <w:p>
      <w:r>
        <w:t>Längsschnittstudie (SHARE Wellen 7–9) an älteren Europäern, die Übergänge zwischen Betreuungs- und Freiwilligentätigkeit in Bezug auf Gesundheit und psychisches Wohlbefinden verfolgten.</w:t>
      </w:r>
    </w:p>
    <w:p>
      <w:r>
        <w:rPr>
          <w:b/>
        </w:rPr>
        <w:t xml:space="preserve">Ergebnis: </w:t>
      </w:r>
      <w:r>
        <w:t>Übergänge von reiner Betreuung zu Doppelrolle („Super-Helper</w:t>
      </w:r>
    </w:p>
    <w:p>
      <w:r>
        <w:rPr>
          <w:b/>
          <w:sz w:val="19"/>
        </w:rPr>
        <w:t xml:space="preserve">Übertragbarkeit: </w:t>
      </w:r>
      <w:r>
        <w:rPr>
          <w:sz w:val="19"/>
        </w:rPr>
        <w:t>Europa, SHARE-Daten aus sozialversicherungsgestützten Systemen.</w:t>
      </w:r>
    </w:p>
    <w:p>
      <w:r>
        <w:rPr>
          <w:color w:val="5A7D3A"/>
          <w:sz w:val="18"/>
        </w:rPr>
        <w:t>https://pubmed.ncbi.nlm.nih.gov/42909995/</w:t>
      </w:r>
    </w:p>
    <w:p>
      <w:pPr>
        <w:pStyle w:val="Heading2"/>
      </w:pPr>
      <w:r>
        <w:t>Biologische Gebrechlichkeit und Chemotherapiedosis bestimmen Überleben bei älteren Darmkrebspatienten</w:t>
      </w:r>
    </w:p>
    <w:p>
      <w:r>
        <w:rPr>
          <w:i/>
          <w:color w:val="666666"/>
          <w:sz w:val="18"/>
        </w:rPr>
        <w:t>Ağaoğlu AB et al.  ·  Cancer Chemother Pharmacol  ·  23.10.2026  ·  PMID 42909624</w:t>
      </w:r>
    </w:p>
    <w:p>
      <w:r>
        <w:t>Retrospektive Studie an 94 Patienten ≥65 Jahren mit adjuvanter Chemotherapie nach Darmkrebsoperation zu Frailty-Index und Dosisintensität als Überlebensprädiktoren.</w:t>
      </w:r>
    </w:p>
    <w:p>
      <w:r>
        <w:rPr>
          <w:b/>
        </w:rPr>
        <w:t xml:space="preserve">Ergebnis: </w:t>
      </w:r>
      <w:r>
        <w:t>Laborgestützter Frailty-Index (FI-Lab) ≥0,25 sagte unabhängig schlechteres Gesamtüberleben vorher (Hazard Ratio 3,73, p=0,023) und krankheitsfreies Überleben (HR 2,81, p=0,029). Patienten ohne optimale Anfangsdosis hatten deutlich schlechtere Ergebnisse (OS HR 14,41; p=0,011). G8, mFI-5 und Charlson-Index waren nicht unabhängig prädiktiv.</w:t>
      </w:r>
    </w:p>
    <w:p>
      <w:r>
        <w:rPr>
          <w:b/>
          <w:sz w:val="19"/>
        </w:rPr>
        <w:t xml:space="preserve">Übertragbarkeit: </w:t>
      </w:r>
      <w:r>
        <w:rPr>
          <w:sz w:val="19"/>
        </w:rPr>
        <w:t>Türkei; biologische Reserve als Prädiktor ist universell, Dosisintensität und Messmethoden sind aber systemabhängig.</w:t>
      </w:r>
    </w:p>
    <w:p>
      <w:r>
        <w:rPr>
          <w:color w:val="5A7D3A"/>
          <w:sz w:val="18"/>
        </w:rPr>
        <w:t>https://pubmed.ncbi.nlm.nih.gov/42909624/</w:t>
      </w:r>
    </w:p>
    <w:p>
      <w:pPr>
        <w:pStyle w:val="Heading2"/>
      </w:pPr>
      <w:r>
        <w:t>Geriatrische Atemwegsmedizin: Künstliche Intelligenz und maßgeschneiderte Versorgung polymorber älterer Patienten</w:t>
      </w:r>
    </w:p>
    <w:p>
      <w:r>
        <w:rPr>
          <w:i/>
          <w:color w:val="666666"/>
          <w:sz w:val="18"/>
        </w:rPr>
        <w:t>Sorino C et al.  ·  Eur Respir Rev  ·  21.10.2026  ·  PMID 42906940</w:t>
      </w:r>
    </w:p>
    <w:p>
      <w:r>
        <w:t>Fachnachricht italienischer und europäischer Pneumologen zu klinischen Schnittstellen von Altern, Immunoseneszenz, Gebrechlichkeit und Lungenerkrankung im Alter mit Fokus auf praktische Versorgungsmodelle.</w:t>
      </w:r>
    </w:p>
    <w:p>
      <w:r>
        <w:rPr>
          <w:b/>
        </w:rPr>
        <w:t xml:space="preserve">Ergebnis: </w:t>
      </w:r>
      <w:r>
        <w:t>Kernbefunde: pneumonie-assoziierte Sarkopenie als Motor für Rezidivinfektion und funktionellen Niedergang; nicht-invasive Beatmungswahl muss Delirium-Risiko gegen Wirksamkeit abwägen; 20-valenter Pneumokokken- und RSV-Impfstoff als neue Präventionsstrategie; gerätegestützte Inhalationstherapie angepasst an inspiratorische Kraft statt nur Pharmakologie; Biologika (Dupilumab, Mepolizumab) ermöglichen Steroid-Einsparung; 4Ms-Modell (Mentation, Medication, Mobility, Morbidities) integriert mit KI als strukturierte Versorgung.</w:t>
      </w:r>
    </w:p>
    <w:p>
      <w:r>
        <w:rPr>
          <w:b/>
          <w:sz w:val="19"/>
        </w:rPr>
        <w:t xml:space="preserve">Übertragbarkeit: </w:t>
      </w:r>
      <w:r>
        <w:rPr>
          <w:sz w:val="19"/>
        </w:rPr>
        <w:t>Italien und Europa, Sozialversicherungssysteme; praxisorientiert für deutschsprachige Lungenkliniken.</w:t>
      </w:r>
    </w:p>
    <w:p>
      <w:r>
        <w:rPr>
          <w:color w:val="5A7D3A"/>
          <w:sz w:val="18"/>
        </w:rPr>
        <w:t>https://pubmed.ncbi.nlm.nih.gov/42906940/</w:t>
      </w:r>
    </w:p>
    <w:p>
      <w:pPr>
        <w:pStyle w:val="Heading2"/>
      </w:pPr>
      <w:r>
        <w:t>Flächendeckende Umsetzung der Age-Friendly 4Ms in 26 Krankenhäusern</w:t>
      </w:r>
    </w:p>
    <w:p>
      <w:r>
        <w:rPr>
          <w:i/>
          <w:color w:val="666666"/>
          <w:sz w:val="18"/>
        </w:rPr>
        <w:t>Ryer S et al.  ·  NEJM Catal Innov Care Deliv  ·  21.10.2026  ·  PMID 42904678</w:t>
      </w:r>
    </w:p>
    <w:p>
      <w:r>
        <w:t>Implementierungsstudie an 26 Krankenhäusern im Mittleren Westen (Wisconsin, Illinois) zur standardisierten Umsetzung der 4Ms (What Matters, Medication, Mentation, Mobility) mit Governance-Struktur, EHR-Integration und Qualitätsmessungen.</w:t>
      </w:r>
    </w:p>
    <w:p>
      <w:r>
        <w:rPr>
          <w:b/>
        </w:rPr>
        <w:t xml:space="preserve">Ergebnis: </w:t>
      </w:r>
      <w:r>
        <w:t>Implementierungsreife bei frühen Kohorten in geriatrischen stationären Einrichtungen Median 0,66, nicht-geriatrischen stationär 0,63, geriatrischen ambulant 0,47, nicht-geriatrischen ambulant 0,36 (Skala 0–1). Dokumentation What Matters und Kognitives Screening erheblich verbessert, Deliriumrate und Liegedauer reduziert. Hohe Variabilität zwischen Organisationen. Herausforderungen: Dokumentationslast, variable Adoption, konkurrierende Prioritäten.</w:t>
      </w:r>
    </w:p>
    <w:p>
      <w:r>
        <w:rPr>
          <w:b/>
          <w:sz w:val="19"/>
        </w:rPr>
        <w:t xml:space="preserve">Übertragbarkeit: </w:t>
      </w:r>
      <w:r>
        <w:rPr>
          <w:sz w:val="19"/>
        </w:rPr>
        <w:t>USA, aber Implementierungsmethode und Messrahmen sind auf deutsche Krankenhäuser übertragbar.</w:t>
      </w:r>
    </w:p>
    <w:p>
      <w:r>
        <w:rPr>
          <w:color w:val="5A7D3A"/>
          <w:sz w:val="18"/>
        </w:rPr>
        <w:t>https://pubmed.ncbi.nlm.nih.gov/42904678/</w:t>
      </w:r>
    </w:p>
    <w:p>
      <w:pPr>
        <w:pStyle w:val="Heading2"/>
      </w:pPr>
      <w:r>
        <w:t>Age-Friendly 4Ms in Sicherheitsnetzklnik: Implementierung bei älteren vulnerable Patienten</w:t>
      </w:r>
    </w:p>
    <w:p>
      <w:r>
        <w:rPr>
          <w:i/>
          <w:color w:val="666666"/>
          <w:sz w:val="18"/>
        </w:rPr>
        <w:t>Ohuabunwa UK et al.  ·  NEJM Catal Innov Care Deliv  ·  21.10.2026  ·  PMID 42904677</w:t>
      </w:r>
    </w:p>
    <w:p>
      <w:r>
        <w:t>Implementierungsstudie der 4Ms-Rahmenwerk (What Matters, Medication, Mentation, Mobility) plus Malnutrition und Übergangspflege in Safety-Net-Klinik mit 3427 älteren Patienten (79,3 Jahre, 64% Afroamerikaner).</w:t>
      </w:r>
    </w:p>
    <w:p>
      <w:r>
        <w:rPr>
          <w:b/>
        </w:rPr>
        <w:t xml:space="preserve">Ergebnis: </w:t>
      </w:r>
      <w:r>
        <w:t>Über zwei Jahre (März 2024–März 2026) erreichte die AFHS-Implementierung 100% Einhaltung bei 5 von 14 Protokollen, &gt;90% bei 5 weiteren. Was Matters-Dokumentation 74%, Delirium-Screening 98%, Funktionskapazitätsbewertung 96%. Assoziation mit Deliriumrate-Reduktion und verkürzter Krankenhausliegedauer.</w:t>
      </w:r>
    </w:p>
    <w:p>
      <w:r>
        <w:rPr>
          <w:b/>
          <w:sz w:val="19"/>
        </w:rPr>
        <w:t xml:space="preserve">Übertragbarkeit: </w:t>
      </w:r>
      <w:r>
        <w:rPr>
          <w:sz w:val="19"/>
        </w:rPr>
        <w:t>USA-Sicherheitsnetzkontext, aber 4Ms-Framework und Messmethoden sind übertragbar.</w:t>
      </w:r>
    </w:p>
    <w:p>
      <w:r>
        <w:rPr>
          <w:color w:val="5A7D3A"/>
          <w:sz w:val="18"/>
        </w:rPr>
        <w:t>https://pubmed.ncbi.nlm.nih.gov/42904677/</w:t>
      </w:r>
    </w:p>
    <w:p>
      <w:pPr>
        <w:pStyle w:val="Heading1"/>
      </w:pPr>
      <w:r>
        <w:t>Aufgenommen am 23.10.2026</w:t>
      </w:r>
    </w:p>
    <w:p>
      <w:pPr>
        <w:pStyle w:val="Heading2"/>
      </w:pPr>
      <w:r>
        <w:t>Interprofessionelle Schulung und Workflow verbessern geriatrisches Screening in Hausarztpraxen</w:t>
      </w:r>
    </w:p>
    <w:p>
      <w:r>
        <w:rPr>
          <w:i/>
          <w:color w:val="666666"/>
          <w:sz w:val="18"/>
        </w:rPr>
        <w:t>Litzelman DK et al.  ·  BMC Geriatr  ·  23.07.2026  ·  PMID 42907743</w:t>
      </w:r>
    </w:p>
    <w:p>
      <w:r>
        <w:t>US-amerikanische Studie mit 56 Hausärzten, 180 Assistenzärzten und 8818 älteren Patienten an acht Primärversorgungsstellen evaluierte ein Schulungs- und Systeminterventionsprogramm basierend auf dem Age-Friendly 4Ms-Rahmenwerk.</w:t>
      </w:r>
    </w:p>
    <w:p>
      <w:r>
        <w:rPr>
          <w:b/>
        </w:rPr>
        <w:t xml:space="preserve">Ergebnis: </w:t>
      </w:r>
      <w:r>
        <w:t>Nach Intervention verbesserten sich Screening-Raten für Demenz (OR 1,27, 95%-KI 0,98–1,63) und Sturzrisiko (OR 1,40, 95%-KI 1,00–1,95), mit Sturzrisiko-Screening zeigend die stärksten Verbesserungen (+0,64% pro Monat, p&lt;0,001). Kliniken mit stärkerer Systemintegration zeigten die robustesten Verbesserungen; Opioid-Screening und Advance-Care-Planning-Dokumentation nahmen ab.</w:t>
      </w:r>
    </w:p>
    <w:p>
      <w:r>
        <w:rPr>
          <w:b/>
          <w:sz w:val="19"/>
        </w:rPr>
        <w:t xml:space="preserve">Übertragbarkeit: </w:t>
      </w:r>
      <w:r>
        <w:rPr>
          <w:sz w:val="19"/>
        </w:rPr>
        <w:t>USA, Primärversorgung; Methoden auf deutsches Praxissystem übertragbar, aber Organisationsstruktur unterscheidet sich</w:t>
      </w:r>
    </w:p>
    <w:p>
      <w:r>
        <w:rPr>
          <w:color w:val="5A7D3A"/>
          <w:sz w:val="18"/>
        </w:rPr>
        <w:t>https://pubmed.ncbi.nlm.nih.gov/42907743/</w:t>
      </w:r>
    </w:p>
    <w:p>
      <w:pPr>
        <w:pStyle w:val="Heading2"/>
      </w:pPr>
      <w:r>
        <w:t>COVID-19 und Opioide kürzten Lebenserwartung in Kanada um 0,68 Jahre</w:t>
      </w:r>
    </w:p>
    <w:p>
      <w:r>
        <w:rPr>
          <w:i/>
          <w:color w:val="666666"/>
          <w:sz w:val="18"/>
        </w:rPr>
        <w:t>Sirag A et al.  ·  Health Rep  ·  21.10.2026  ·  PMID 42905875</w:t>
      </w:r>
    </w:p>
    <w:p>
      <w:r>
        <w:t>Kanadische Vital-Statistik-Studie verglich Sterblichkeits-Todesursachen-Stiftung zwischen 2017–2019 und 2020–2022 mittels Arriaga-Dekomposition, um die Beiträge einzelner Todesursachen zum Rückgang der Lebenserwartung bei der Geburt zu quantifizieren.</w:t>
      </w:r>
    </w:p>
    <w:p>
      <w:r>
        <w:rPr>
          <w:b/>
        </w:rPr>
        <w:t xml:space="preserve">Ergebnis: </w:t>
      </w:r>
      <w:r>
        <w:t>COVID-19 war der größte einzelne Beitrag zum Rückgang der Lebenserwartung bei der Geburt in Kanada (–0,46 Jahre für beide Geschlechter). Opioid-bedingte Todesfälle trugen –0,22 Jahre bei, während Krebserkrankungen einen geringen Anstieg (+0,17 Jahre) verursachten. Gesamtrückgang etwa 0,68 Jahre, hauptsächlich durch pandemic-direkte und indirekte Effekte.</w:t>
      </w:r>
    </w:p>
    <w:p>
      <w:r>
        <w:rPr>
          <w:b/>
          <w:sz w:val="19"/>
        </w:rPr>
        <w:t xml:space="preserve">Übertragbarkeit: </w:t>
      </w:r>
      <w:r>
        <w:rPr>
          <w:sz w:val="19"/>
        </w:rPr>
        <w:t>Kanada, vergleichbare Sozialversicherung und Lebenserwartung wie Deutschland; Methode und Prioritäten übertragbar</w:t>
      </w:r>
    </w:p>
    <w:p>
      <w:r>
        <w:rPr>
          <w:color w:val="5A7D3A"/>
          <w:sz w:val="18"/>
        </w:rPr>
        <w:t>https://pubmed.ncbi.nlm.nih.gov/42905875/</w:t>
      </w:r>
    </w:p>
    <w:p>
      <w:pPr>
        <w:pStyle w:val="Heading2"/>
      </w:pPr>
      <w:r>
        <w:t>Pflanzenbasierte Ernährung senkt Frailty-Risiko bei älteren Erwachsenen</w:t>
      </w:r>
    </w:p>
    <w:p>
      <w:r>
        <w:rPr>
          <w:i/>
          <w:color w:val="666666"/>
          <w:sz w:val="18"/>
        </w:rPr>
        <w:t>Lin J et al.  ·  Age Ageing  ·  03.08.2026  ·  PMID 42905723</w:t>
      </w:r>
    </w:p>
    <w:p>
      <w:r>
        <w:t>Studie mit 8628 älteren Erwachsenen aus drei Kohorten (CLHLS, HRS, ELSA) untersuchte die Assoziation verschiedener pflanzlicher Ernährungsmuster mit Frailty mittels Mundlak-Dekomposition.</w:t>
      </w:r>
    </w:p>
    <w:p>
      <w:r>
        <w:rPr>
          <w:b/>
        </w:rPr>
        <w:t xml:space="preserve">Ergebnis: </w:t>
      </w:r>
      <w:r>
        <w:t>Höhere Gesamtscores für pflanzenbasierte Diät waren mit niedrigerem Frailty-Risiko assoziiert (ORs 0,71–0,80 über alle drei Kohorten), während ungesunde pflanzliche Muster mit erhöhtem Risiko verbunden waren (ORs 1,24–1,41). Nüsse, Gemüse und Pflanzenöle zeigten überwiegend inverse Assoziationen mit mehreren Frailty-Domänen.</w:t>
      </w:r>
    </w:p>
    <w:p>
      <w:r>
        <w:rPr>
          <w:b/>
          <w:sz w:val="19"/>
        </w:rPr>
        <w:t xml:space="preserve">Übertragbarkeit: </w:t>
      </w:r>
      <w:r>
        <w:rPr>
          <w:sz w:val="19"/>
        </w:rPr>
        <w:t>UK, China, internationale Kohorten; Ernährungsmessungen und Frailty-Definition übertragbar auf deutsches Gesundheitssystem</w:t>
      </w:r>
    </w:p>
    <w:p>
      <w:r>
        <w:rPr>
          <w:color w:val="5A7D3A"/>
          <w:sz w:val="18"/>
        </w:rPr>
        <w:t>https://pubmed.ncbi.nlm.nih.gov/42905723/</w:t>
      </w:r>
    </w:p>
    <w:p>
      <w:pPr>
        <w:pStyle w:val="Heading2"/>
      </w:pPr>
      <w:r>
        <w:t>Multimorbidität kostet weltweit älteren Menschen 363 Milliarden Dollar pro Jahr</w:t>
      </w:r>
    </w:p>
    <w:p>
      <w:r>
        <w:rPr>
          <w:i/>
          <w:color w:val="666666"/>
          <w:sz w:val="18"/>
        </w:rPr>
        <w:t>Ji W et al.  ·  JAMA Netw Open  ·  01.10.2026  ·  PMID 42905709</w:t>
      </w:r>
    </w:p>
    <w:p>
      <w:r>
        <w:t>Globale ökonomische Evaluationsstudie mit Daten aus 204 Ländern (2000–2023) quantifizierte die gesundheitliche und finanzielle Last von Multimorbidität (78 Kombinationen) bei Erwachsenen ≥60 Jahren mittels Global Burden of Disease 2023 und makroökonomischen Daten.</w:t>
      </w:r>
    </w:p>
    <w:p>
      <w:r>
        <w:rPr>
          <w:b/>
        </w:rPr>
        <w:t xml:space="preserve">Ergebnis: </w:t>
      </w:r>
      <w:r>
        <w:t>Von 2000 bis 2023 stiegen die Jahre mit Behinderung (YLDs) von 2368 auf 2942 pro 100.000 Erwachsene ≥60 Jahren; wirtschaftliche Verluste nahmen von 80,1 Milliarden auf 363,25 Milliarden USD (kaufkraftparitätsbereinigt) zu. Schnellstes Wachstum: Diabetes, Angststörungen und Parkinson (AAPC 9,92% für Kosten). Höchste YLD-Rate: Osteoarthritis mit Alzheimer/Demenz (369,87 pro 100.000).</w:t>
      </w:r>
    </w:p>
    <w:p>
      <w:r>
        <w:rPr>
          <w:b/>
          <w:sz w:val="19"/>
        </w:rPr>
        <w:t xml:space="preserve">Übertragbarkeit: </w:t>
      </w:r>
      <w:r>
        <w:rPr>
          <w:sz w:val="19"/>
        </w:rPr>
        <w:t>Global, 204 Länder; Dimensionen und Trends übertragbar, aber absolute Kosten hängen von Finanzierungssystem und Lebenserwartung ab</w:t>
      </w:r>
    </w:p>
    <w:p>
      <w:r>
        <w:rPr>
          <w:color w:val="5A7D3A"/>
          <w:sz w:val="18"/>
        </w:rPr>
        <w:t>https://pubmed.ncbi.nlm.nih.gov/42905709/</w:t>
      </w:r>
    </w:p>
    <w:p>
      <w:pPr>
        <w:pStyle w:val="Heading2"/>
      </w:pPr>
      <w:r>
        <w:t>Feinstaub beschleunigt kardiovaskuläres Altern über Seneszenz und Entzündung</w:t>
      </w:r>
    </w:p>
    <w:p>
      <w:r>
        <w:rPr>
          <w:i/>
          <w:color w:val="666666"/>
          <w:sz w:val="18"/>
        </w:rPr>
        <w:t>Yadav P et al.  ·  Cardiovasc Toxicol  ·  21.10.2026  ·  PMID 42905338</w:t>
      </w:r>
    </w:p>
    <w:p>
      <w:r>
        <w:t>Scoping Review mit konzeptuellem PACA-Framework (Pollution-Accelerated Cardiovascular Aging) integrierte Evidenz zu Feinstaub-Exposition (PM2,5, ultrafeine Partikel) und kardiovaskulärem Altern durch Mitochondrien-Dysfunktion, Seneszenz, epigenetische Änderungen und autonome Dysregulation.</w:t>
      </w:r>
    </w:p>
    <w:p>
      <w:r>
        <w:rPr>
          <w:b/>
        </w:rPr>
        <w:t xml:space="preserve">Ergebnis: </w:t>
      </w:r>
      <w:r>
        <w:t>Framework schlägt Temporal-Evidence-Matrix vor, die Expositions-Kinetik, Lebensverlauf-Timing, Persistenz nach Expositions-Ende, Dosis-Wirkungs-Beziehungen und longitudinale Veränderungen relativ zu altersreferenzierten Vergleichern nutzt. Persistierende oder unvollständig reversible Defizite deuten auf chronische Verletzung hin; stärkere Evidenz für kardiovaskuläres Aging erfordert wiederholte Demonstration größerer Veränderungsraten als chronologisch erwartet.</w:t>
      </w:r>
    </w:p>
    <w:p>
      <w:r>
        <w:rPr>
          <w:b/>
          <w:sz w:val="19"/>
        </w:rPr>
        <w:t xml:space="preserve">Übertragbarkeit: </w:t>
      </w:r>
      <w:r>
        <w:rPr>
          <w:sz w:val="19"/>
        </w:rPr>
        <w:t>Überwiegend Tiermodelle und mechanistische Daten; PACA-Framework theoretisch, keine klinischen Endpunkte gemessen</w:t>
      </w:r>
    </w:p>
    <w:p>
      <w:r>
        <w:rPr>
          <w:color w:val="5A7D3A"/>
          <w:sz w:val="18"/>
        </w:rPr>
        <w:t>https://pubmed.ncbi.nlm.nih.gov/42905338/</w:t>
      </w:r>
    </w:p>
    <w:p>
      <w:pPr>
        <w:pStyle w:val="Heading2"/>
      </w:pPr>
      <w:r>
        <w:t>Frailty-Index prognostiziert post-ERCP-Pankreatitis bei älteren Patienten</w:t>
      </w:r>
    </w:p>
    <w:p>
      <w:r>
        <w:rPr>
          <w:i/>
          <w:color w:val="666666"/>
          <w:sz w:val="18"/>
        </w:rPr>
        <w:t>Zhang F et al.  ·  Clin Interv Aging  ·  16.10.2026  ·  PMID 42904120</w:t>
      </w:r>
    </w:p>
    <w:p>
      <w:r>
        <w:t>Retrospektive Studie von 696 älteren Patienten (≥65 Jahre), die sich einer endoskopischen retrograden Cholangiopankreatographie unterzogen, untersuchte den Zusammenhang zwischen präoperativer Frailty und post-ERCP-Pankreatitis mittels elektronischem Frailty-Index.</w:t>
      </w:r>
    </w:p>
    <w:p>
      <w:r>
        <w:rPr>
          <w:b/>
        </w:rPr>
        <w:t xml:space="preserve">Ergebnis: </w:t>
      </w:r>
      <w:r>
        <w:t>Von 696 Patienten entwickelten 79 (11,4%) eine post-ERCP-Pankreatitis. Nach multivariater Anpassung war Frailty mit höheren Chancen verbunden (OR 2,09, 95%-KI 1,08–4,05, p=0,028). Hinzunahme von Frailty zum Referenzmodell verbesserte die Diskrimination (AUC 0,714 zu 0,755, p=0,031); Netto-Reklassifizierungsverbesserung betrug 0,516.</w:t>
      </w:r>
    </w:p>
    <w:p>
      <w:r>
        <w:rPr>
          <w:b/>
          <w:sz w:val="19"/>
        </w:rPr>
        <w:t xml:space="preserve">Übertragbarkeit: </w:t>
      </w:r>
      <w:r>
        <w:rPr>
          <w:sz w:val="19"/>
        </w:rPr>
        <w:t>China; Frailty-Messung und Endoskopie-Risiken gelten international, aber Patientenpopulation und Gesundheitssystem unterscheiden sich</w:t>
      </w:r>
    </w:p>
    <w:p>
      <w:r>
        <w:rPr>
          <w:color w:val="5A7D3A"/>
          <w:sz w:val="18"/>
        </w:rPr>
        <w:t>https://pubmed.ncbi.nlm.nih.gov/42904120/</w:t>
      </w:r>
    </w:p>
    <w:p>
      <w:pPr>
        <w:pStyle w:val="Heading1"/>
      </w:pPr>
      <w:r>
        <w:t>Aufgenommen am 22.10.2026</w:t>
      </w:r>
    </w:p>
    <w:p>
      <w:pPr>
        <w:pStyle w:val="Heading2"/>
      </w:pPr>
      <w:r>
        <w:t>Notfallchirurgie bei über 90-Jährigen: regionale Unterschiede in der Langzeitsterblichkeit</w:t>
      </w:r>
    </w:p>
    <w:p>
      <w:r>
        <w:rPr>
          <w:i/>
          <w:color w:val="666666"/>
          <w:sz w:val="18"/>
        </w:rPr>
        <w:t>Suh JM et al.  ·  Crit Care  ·  25.07.2026  ·  PMID 42902313</w:t>
      </w:r>
    </w:p>
    <w:p>
      <w:r>
        <w:t>Nationale bevölkerungsbasierte Kohortenstudie an 4.887 über 90-Jährigen nach Notfalloperation mit Vergleich regionaler vs. metropolitaner Versorgung in Australien.</w:t>
      </w:r>
    </w:p>
    <w:p>
      <w:r>
        <w:rPr>
          <w:b/>
        </w:rPr>
        <w:t xml:space="preserve">Ergebnis: </w:t>
      </w:r>
      <w:r>
        <w:t>ICU- und Krankenhaussterblichkeit regional nicht unterschiedlich. Nach Entlassung regional/remote wohnhafte Patienten mit höherer 5-Jahres-Mortalität (adjustierte HR 1,133, 95%-KI 1,027–1,250, p=0,013). Überlebensvorteil der Metropolen erst nach Entlassung sichtbar.</w:t>
      </w:r>
    </w:p>
    <w:p>
      <w:r>
        <w:rPr>
          <w:b/>
          <w:sz w:val="19"/>
        </w:rPr>
        <w:t xml:space="preserve">Übertragbarkeit: </w:t>
      </w:r>
      <w:r>
        <w:rPr>
          <w:sz w:val="19"/>
        </w:rPr>
        <w:t>Australien, vergleichbare Gesundheitssysteme; zeigt Bedeutung regionaler Nachsorge für universelle Alterspopulation.</w:t>
      </w:r>
    </w:p>
    <w:p>
      <w:r>
        <w:rPr>
          <w:color w:val="5A7D3A"/>
          <w:sz w:val="18"/>
        </w:rPr>
        <w:t>https://pubmed.ncbi.nlm.nih.gov/42902313/</w:t>
      </w:r>
    </w:p>
    <w:p>
      <w:pPr>
        <w:pStyle w:val="Heading2"/>
      </w:pPr>
      <w:r>
        <w:t>Frühe Widrigkeiten und Lebensqualität im Alter: Langzeitfolgen für erfolgreiche Alternstrajectoria</w:t>
      </w:r>
    </w:p>
    <w:p>
      <w:r>
        <w:rPr>
          <w:i/>
          <w:color w:val="666666"/>
          <w:sz w:val="18"/>
        </w:rPr>
        <w:t>Yang K et al.  ·  BMC Geriatr  ·  24.07.2026  ·  PMID 42902202</w:t>
      </w:r>
    </w:p>
    <w:p>
      <w:r>
        <w:t>Prospektive Kohortenstudie an 3.092 älteren Chinesen, die vier Muster ungünstiger Kindheitserfahrungen mit Trajectoria gelungenen Alterns über acht Jahre verband.</w:t>
      </w:r>
    </w:p>
    <w:p>
      <w:r>
        <w:rPr>
          <w:b/>
        </w:rPr>
        <w:t xml:space="preserve">Ergebnis: </w:t>
      </w:r>
      <w:r>
        <w:t>Pervasive Adversität (OR 1,97, 95%-KI 1,10–3,83) und Haushalts-Dysfunktion (OR 1,36, 95%-KI 1,07–1,74) verbunden mit ungünstiger Trajectoria. Niedrige Schulbildung stärkster Prädiktor (OR 5,23, 95%-KI 3,84–7,13). Netzwerk-Analyse zeigte stärkere Koppelung von Kognition und chronischem Leiden in der Gruppe mit schlechterer Trajectoria.</w:t>
      </w:r>
    </w:p>
    <w:p>
      <w:r>
        <w:rPr>
          <w:b/>
          <w:sz w:val="19"/>
        </w:rPr>
        <w:t xml:space="preserve">Übertragbarkeit: </w:t>
      </w:r>
      <w:r>
        <w:rPr>
          <w:sz w:val="19"/>
        </w:rPr>
        <w:t>China, CHARLS-Daten; begrenzte Direktübertragbarkeit auf deutsche Versorgung, psychosoziale Mechanismen aber universal.</w:t>
      </w:r>
    </w:p>
    <w:p>
      <w:r>
        <w:rPr>
          <w:color w:val="5A7D3A"/>
          <w:sz w:val="18"/>
        </w:rPr>
        <w:t>https://pubmed.ncbi.nlm.nih.gov/42902202/</w:t>
      </w:r>
    </w:p>
    <w:p>
      <w:pPr>
        <w:pStyle w:val="Heading2"/>
      </w:pPr>
      <w:r>
        <w:t>Frailty und intraoperative Hypotonie bei älteren Patienten mit Hüftfrakturchirurgie</w:t>
      </w:r>
    </w:p>
    <w:p>
      <w:r>
        <w:rPr>
          <w:i/>
          <w:color w:val="666666"/>
          <w:sz w:val="18"/>
        </w:rPr>
        <w:t>Sutthibenjakul K et al.  ·  BMC Geriatr  ·  22.07.2026  ·  PMID 42902188</w:t>
      </w:r>
    </w:p>
    <w:p>
      <w:r>
        <w:t>Retrospektive Kohortenstudie an 522 Patienten ≥65 Jahren mit modifiziertem Frailty-Index zur Assoziation mit perioperativen Blutdruckabfällen.</w:t>
      </w:r>
    </w:p>
    <w:p>
      <w:r>
        <w:rPr>
          <w:b/>
        </w:rPr>
        <w:t xml:space="preserve">Ergebnis: </w:t>
      </w:r>
      <w:r>
        <w:t>Von 522 Patienten 23,8% gebrechlich, 57,1% mit intraoperativer Hypotonie (MAP &lt;65 mmHg). Frailty war nicht unabhängig mit Auftreten der Hypotonie assoziiert (OR 0,77, 95%-KI 0,38–1,53), aber gebrechliche Patienten zeigten längere kumulative Dauer der Hypotonie (p=0,045).</w:t>
      </w:r>
    </w:p>
    <w:p>
      <w:r>
        <w:rPr>
          <w:b/>
          <w:sz w:val="19"/>
        </w:rPr>
        <w:t xml:space="preserve">Übertragbarkeit: </w:t>
      </w:r>
      <w:r>
        <w:rPr>
          <w:sz w:val="19"/>
        </w:rPr>
        <w:t>Thailand, retrospektive Klinikdaten; Frailty-Assessment und perioperatives Monitoring als universelle Prinzipien übertragbar.</w:t>
      </w:r>
    </w:p>
    <w:p>
      <w:r>
        <w:rPr>
          <w:color w:val="5A7D3A"/>
          <w:sz w:val="18"/>
        </w:rPr>
        <w:t>https://pubmed.ncbi.nlm.nih.gov/42902188/</w:t>
      </w:r>
    </w:p>
    <w:p>
      <w:pPr>
        <w:pStyle w:val="Heading2"/>
      </w:pPr>
      <w:r>
        <w:t>Pflegen im Alter: Belastung, psychische Gesundheit und der Schutzeffekt sozialer Ressourcen</w:t>
      </w:r>
    </w:p>
    <w:p>
      <w:r>
        <w:rPr>
          <w:i/>
          <w:color w:val="666666"/>
          <w:sz w:val="18"/>
        </w:rPr>
        <w:t>Chaaya M et al.  ·  BMC Geriatr  ·  22.07.2026  ·  PMID 42902165</w:t>
      </w:r>
    </w:p>
    <w:p>
      <w:r>
        <w:t>Querschnittsstudie an 434 älteren Pflegepersonen im Libanon zur Assoziation zwischen Pflegebelastung und Depression/Angst sowie moderierenden Effekten.</w:t>
      </w:r>
    </w:p>
    <w:p>
      <w:r>
        <w:rPr>
          <w:b/>
        </w:rPr>
        <w:t xml:space="preserve">Ergebnis: </w:t>
      </w:r>
      <w:r>
        <w:t>36,4% mit hoher Pflegebelastung. Hohe Belastung verbunden mit um 7,65 Punkte höheren Depressionsscores (95%-KI 3,48–11,8) und 2,84 Punkte höheren Angstscores (95%-KI 0,73–4,95). Emotionale Unterstützung minderte signifikant den Belastungs-Depressionseffekt; finanzielle Ressourcen nicht.</w:t>
      </w:r>
    </w:p>
    <w:p>
      <w:r>
        <w:rPr>
          <w:b/>
          <w:sz w:val="19"/>
        </w:rPr>
        <w:t xml:space="preserve">Übertragbarkeit: </w:t>
      </w:r>
      <w:r>
        <w:rPr>
          <w:sz w:val="19"/>
        </w:rPr>
        <w:t>Libanon, ungleiche Gesundheitssysteme und Rentensicherung zu Deutschland, aber Mechanismus psychischer Belastung durch informale Pflege universal relevant.</w:t>
      </w:r>
    </w:p>
    <w:p>
      <w:r>
        <w:rPr>
          <w:color w:val="5A7D3A"/>
          <w:sz w:val="18"/>
        </w:rPr>
        <w:t>https://pubmed.ncbi.nlm.nih.gov/42902165/</w:t>
      </w:r>
    </w:p>
    <w:p>
      <w:pPr>
        <w:pStyle w:val="Heading2"/>
      </w:pPr>
      <w:r>
        <w:t>Lipid-Entzündung und Frailty als gemeinsame Treiber der cardiometabolischen Multimorbidität</w:t>
      </w:r>
    </w:p>
    <w:p>
      <w:r>
        <w:rPr>
          <w:i/>
          <w:color w:val="666666"/>
          <w:sz w:val="18"/>
        </w:rPr>
        <w:t>Zhao S et al.  ·  BMC Cardiovasc Disord  ·  25.07.2026  ·  PMID 42902143</w:t>
      </w:r>
    </w:p>
    <w:p>
      <w:r>
        <w:t>Nationale Kohortenstudie an 5.779 chinesischen Erwachsenen zur gemeinsamen Assoziation von Restcholesterin-Entzündungsindex und Frailty mit neuaufgetretener Multimorbidität.</w:t>
      </w:r>
    </w:p>
    <w:p>
      <w:r>
        <w:rPr>
          <w:b/>
        </w:rPr>
        <w:t xml:space="preserve">Ergebnis: </w:t>
      </w:r>
      <w:r>
        <w:t>510 Fälle Multimorbidität über Beobachtungszeit. Hoher RCII kombiniert mit Frailty zeigte HR 2,622 (95%-KI 1,972–3,488). Kumulativer RCII mit Frailty HR 2,849 (95%-KI 2,178–3,726). Modell mit kumulativem RCII und Frailty zeigte höheres AUC als reiner RCII (0,757 vs. 0,740). Additive/multiplikative Interaktion nach voller Anpassung nicht signifikant.</w:t>
      </w:r>
    </w:p>
    <w:p>
      <w:r>
        <w:rPr>
          <w:b/>
          <w:sz w:val="19"/>
        </w:rPr>
        <w:t xml:space="preserve">Übertragbarkeit: </w:t>
      </w:r>
      <w:r>
        <w:rPr>
          <w:sz w:val="19"/>
        </w:rPr>
        <w:t>China, CHARLS; lipidmetabolische Pathways aber transkulturelles Phänomen, Frailty-Screening in Primärversorgung universell.</w:t>
      </w:r>
    </w:p>
    <w:p>
      <w:r>
        <w:rPr>
          <w:color w:val="5A7D3A"/>
          <w:sz w:val="18"/>
        </w:rPr>
        <w:t>https://pubmed.ncbi.nlm.nih.gov/42902143/</w:t>
      </w:r>
    </w:p>
    <w:p>
      <w:pPr>
        <w:pStyle w:val="Heading2"/>
      </w:pPr>
      <w:r>
        <w:t>Wundinfektion nach Herzbypass bei gebrechlichen älteren Patienten: Risikofaktoren und Intervention</w:t>
      </w:r>
    </w:p>
    <w:p>
      <w:r>
        <w:rPr>
          <w:i/>
          <w:color w:val="666666"/>
          <w:sz w:val="18"/>
        </w:rPr>
        <w:t>Guerrieri M et al.  ·  JMIR Cardio  ·  16.10.2026  ·  PMID 42886572</w:t>
      </w:r>
    </w:p>
    <w:p>
      <w:r>
        <w:t>Retrospektive Multicenter-Studie an 467 gebrechlichen/pregebrechlichen Patienten ≥60 Jahren nach Koronarchirurgie zur Assoziation mit Wundinfektionen.</w:t>
      </w:r>
    </w:p>
    <w:p>
      <w:r>
        <w:rPr>
          <w:b/>
        </w:rPr>
        <w:t xml:space="preserve">Ergebnis: </w:t>
      </w:r>
      <w:r>
        <w:t>Wundinfektionsrate 5,6% (26/467). Im multivariaten Modell unabhängig assoziiert: Charlson-Komorbiditätsindex (OR 1,58, 95%-KI 1,25–1,99, p&lt;0,001) und Einsatz kardiopulmonaler Bypass (OR 4,89, 95%-KI 1,71–13,94, p=0,003). Komplikationsraten sonst zwischen Gruppen ähnlich.</w:t>
      </w:r>
    </w:p>
    <w:p>
      <w:r>
        <w:rPr>
          <w:b/>
          <w:sz w:val="19"/>
        </w:rPr>
        <w:t xml:space="preserve">Übertragbarkeit: </w:t>
      </w:r>
      <w:r>
        <w:rPr>
          <w:sz w:val="19"/>
        </w:rPr>
        <w:t>Brasilien, andere Gesundheitsfinanzierung; Frailty-stratifizierte perioperative Risikoadjustierung aber prinzipiell übertragbar.</w:t>
      </w:r>
    </w:p>
    <w:p>
      <w:r>
        <w:rPr>
          <w:color w:val="5A7D3A"/>
          <w:sz w:val="18"/>
        </w:rPr>
        <w:t>https://pubmed.ncbi.nlm.nih.gov/42886572/</w:t>
      </w:r>
    </w:p>
    <w:p>
      <w:pPr>
        <w:pStyle w:val="Heading1"/>
      </w:pPr>
      <w:r>
        <w:t>Aufgenommen am 21.10.2026</w:t>
      </w:r>
    </w:p>
    <w:p>
      <w:pPr>
        <w:pStyle w:val="Heading2"/>
      </w:pPr>
      <w:r>
        <w:t>Soziale Vulnerabilität als Frailty-Dimension in neurodegenerativen Erkrankungen</w:t>
      </w:r>
    </w:p>
    <w:p>
      <w:r>
        <w:rPr>
          <w:i/>
          <w:color w:val="666666"/>
          <w:sz w:val="18"/>
        </w:rPr>
        <w:t>Panzavolta A et al.  ·  Neurol Sci  ·  20.10.2026  ·  PMID 42900408</w:t>
      </w:r>
    </w:p>
    <w:p>
      <w:r>
        <w:t>Querschnittsstudie mit 47 Alzheimer-, 24 Frontotemporale-Demenz- und 66 Kontrollpersonen zur Messung physischer und sozialer Frailty mittels 60-Item-Fragebogen.</w:t>
      </w:r>
    </w:p>
    <w:p>
      <w:r>
        <w:rPr>
          <w:b/>
        </w:rPr>
        <w:t xml:space="preserve">Ergebnis: </w:t>
      </w:r>
      <w:r>
        <w:t>Demenzpatienten zeigten signifikant höhere globale (gFI) und soziale Frailty-Scores (sFI) als Kontrollen; sFI korrelierte mit Schweregrad und kognitiven Mustern bei beiden Demenzformen. Physische Frailty unterschied sich nicht zwischen Gruppen.</w:t>
      </w:r>
    </w:p>
    <w:p>
      <w:r>
        <w:rPr>
          <w:b/>
          <w:sz w:val="19"/>
        </w:rPr>
        <w:t xml:space="preserve">Übertragbarkeit: </w:t>
      </w:r>
      <w:r>
        <w:rPr>
          <w:sz w:val="19"/>
        </w:rPr>
        <w:t>Italien, europäische Versorgungsstruktur; soziale Frailty-Dimension relevant für deutschsprachige geriatrische Praxis.</w:t>
      </w:r>
    </w:p>
    <w:p>
      <w:r>
        <w:rPr>
          <w:color w:val="5A7D3A"/>
          <w:sz w:val="18"/>
        </w:rPr>
        <w:t>https://pubmed.ncbi.nlm.nih.gov/42900408/</w:t>
      </w:r>
    </w:p>
    <w:p>
      <w:pPr>
        <w:pStyle w:val="Heading2"/>
      </w:pPr>
      <w:r>
        <w:t>Unterschiedliche Verlaufsmuster oraler Frailty nach Zahnimplantaten im Alter</w:t>
      </w:r>
    </w:p>
    <w:p>
      <w:r>
        <w:rPr>
          <w:i/>
          <w:color w:val="666666"/>
          <w:sz w:val="18"/>
        </w:rPr>
        <w:t>Zhang Y et al.  ·  Front Public Health  ·  05.10.2026  ·  PMID 42898353</w:t>
      </w:r>
    </w:p>
    <w:p>
      <w:r>
        <w:t>Prospektive Kohortenstudie mit 211 älteren Patienten ≥60 Jahre, die Zahnimplantate erhielten, zur Identifizierung von Frailty-Trajektorien über 12 Monate mittels latent class growth modelling.</w:t>
      </w:r>
    </w:p>
    <w:p>
      <w:r>
        <w:rPr>
          <w:b/>
        </w:rPr>
        <w:t xml:space="preserve">Ergebnis: </w:t>
      </w:r>
      <w:r>
        <w:t>Drei Trajektorien wurden identifiziert: Rascher Rückgang-Stabil (42,7 %), Gradueller Rückgang-Plateau (35,1 %), Persistiert-Hohes-Risiko (22,2 %). Unabhängige Prädiktoren für die Hochrisiko-Gruppe: Alter (aOR 1,12), Polypharmazie (aOR 1,25), fehlende Zähne (aOR 1,09).</w:t>
      </w:r>
    </w:p>
    <w:p>
      <w:r>
        <w:rPr>
          <w:b/>
          <w:sz w:val="19"/>
        </w:rPr>
        <w:t xml:space="preserve">Übertragbarkeit: </w:t>
      </w:r>
      <w:r>
        <w:rPr>
          <w:sz w:val="19"/>
        </w:rPr>
        <w:t>China, aber klinisch-geriatrische Fragestellung; Polypharmazie-Effekt global relevant.</w:t>
      </w:r>
    </w:p>
    <w:p>
      <w:r>
        <w:rPr>
          <w:color w:val="5A7D3A"/>
          <w:sz w:val="18"/>
        </w:rPr>
        <w:t>https://pubmed.ncbi.nlm.nih.gov/42898353/</w:t>
      </w:r>
    </w:p>
    <w:p>
      <w:pPr>
        <w:pStyle w:val="Heading2"/>
      </w:pPr>
      <w:r>
        <w:t>Ernährungsvielfalt und gewonnene gesunde Lebensjahre bei älteren Erwachsenen</w:t>
      </w:r>
    </w:p>
    <w:p>
      <w:r>
        <w:rPr>
          <w:i/>
          <w:color w:val="666666"/>
          <w:sz w:val="18"/>
        </w:rPr>
        <w:t>Shi J et al.  ·  Front Public Health  ·  05.10.2026  ·  PMID 42898119</w:t>
      </w:r>
    </w:p>
    <w:p>
      <w:r>
        <w:t>Prospektive Kohortenstudie mit 9.953 Teilnehmern ≥65 Jahre zur Assoziation zwischen Ernährungsvielfalt und gewonnenen gesunden Lebensjahren (HLE) mittels Multistate-Analyse.</w:t>
      </w:r>
    </w:p>
    <w:p>
      <w:r>
        <w:rPr>
          <w:b/>
        </w:rPr>
        <w:t xml:space="preserve">Ergebnis: </w:t>
      </w:r>
      <w:r>
        <w:t>Bei hoher vs. niedriger Ernährungsvielfalt verlängerte sich die Lebenserwartung mit 65 Jahren um 1,26 Jahre (14,54 vs. 15,80 Jahre) und die HLE um 0,90 Jahre (13,32 vs. 14,22 Jahre). Höhere Ernährungsvielfalt war mit niedrigeren Sterblichkeitsübergängen aus Gesundheit und Behinderung verbunden; diese Unterschiede waren bei Männern und Stadtbewohnern ausgeprägter.</w:t>
      </w:r>
    </w:p>
    <w:p>
      <w:r>
        <w:rPr>
          <w:b/>
          <w:sz w:val="19"/>
        </w:rPr>
        <w:t xml:space="preserve">Übertragbarkeit: </w:t>
      </w:r>
      <w:r>
        <w:rPr>
          <w:sz w:val="19"/>
        </w:rPr>
        <w:t>China, nur bedingt übertragbar - andere Ernährungsmuster und Kohorte ohne europäische Sozialversicherung.</w:t>
      </w:r>
    </w:p>
    <w:p>
      <w:r>
        <w:rPr>
          <w:color w:val="5A7D3A"/>
          <w:sz w:val="18"/>
        </w:rPr>
        <w:t>https://pubmed.ncbi.nlm.nih.gov/42898119/</w:t>
      </w:r>
    </w:p>
    <w:p>
      <w:pPr>
        <w:pStyle w:val="Heading2"/>
      </w:pPr>
      <w:r>
        <w:t>Frailty und atherogenic Index kombiniert vorhersagen Herz-Metab.-Multimorbidität bei Älteren</w:t>
      </w:r>
    </w:p>
    <w:p>
      <w:r>
        <w:rPr>
          <w:i/>
          <w:color w:val="666666"/>
          <w:sz w:val="18"/>
        </w:rPr>
        <w:t>Wu H et al.  ·  J Glob Health  ·  19.10.2026  ·  PMID 42895260</w:t>
      </w:r>
    </w:p>
    <w:p>
      <w:r>
        <w:t>Prospektive Kohortenstudie mit 4.157 Teilnehmern ≥45 Jahre (CHARLS) zur Assoziation zwischen kumulativem AIP-FI-Index (atherogenic index × 37-Deficit-Frailty-Index) und incident cardiometabolic multimorbidity über 8,5 Jahre mittels Cox-Modelle und Machine Learning.</w:t>
      </w:r>
    </w:p>
    <w:p>
      <w:r>
        <w:rPr>
          <w:b/>
        </w:rPr>
        <w:t xml:space="preserve">Ergebnis: </w:t>
      </w:r>
      <w:r>
        <w:t>612 CMM-Fälle: Kumulative AIP-FI zeigte stärkere Assoziation mit CMM-Risiko als Baseline-Wert (HR 1,46 pro SD). Höchstes vs. niedrigstes Quartil: HR 3,95 (95% CI 2,95–5,29). Prädiktive AUC 0,7117 mit NRI 0,157 über traditionelle Marker. Bidirektionale Synergieeffekte zwischen AIP und FI.</w:t>
      </w:r>
    </w:p>
    <w:p>
      <w:r>
        <w:rPr>
          <w:b/>
          <w:sz w:val="19"/>
        </w:rPr>
        <w:t xml:space="preserve">Übertragbarkeit: </w:t>
      </w:r>
      <w:r>
        <w:rPr>
          <w:sz w:val="19"/>
        </w:rPr>
        <w:t>China (CHARLS), aber Konzept der kombinierten Vulnerabilität-Marker übertragbar auf deutsches Assessment.</w:t>
      </w:r>
    </w:p>
    <w:p>
      <w:r>
        <w:rPr>
          <w:color w:val="5A7D3A"/>
          <w:sz w:val="18"/>
        </w:rPr>
        <w:t>https://pubmed.ncbi.nlm.nih.gov/42895260/</w:t>
      </w:r>
    </w:p>
    <w:p>
      <w:pPr>
        <w:pStyle w:val="Heading2"/>
      </w:pPr>
      <w:r>
        <w:t>Triglycerid-Glukose-Frailty-Index bei Rheumatoider Arthritis vorhersagt Herz-Mortalität</w:t>
      </w:r>
    </w:p>
    <w:p>
      <w:r>
        <w:rPr>
          <w:i/>
          <w:color w:val="666666"/>
          <w:sz w:val="18"/>
        </w:rPr>
        <w:t>Xu Y et al.  ·  Medicine (Baltimore)  ·  16.10.2026  ·  PMID 42888590</w:t>
      </w:r>
    </w:p>
    <w:p>
      <w:r>
        <w:t>Querschnitt-Kohortenstudie mit 1.090 US-amerikanischen RA-Patienten aus NHANES 1999–2018 zur Assoziation zwischen TyG-FI (Triglycerid-Glukose-Index × 49-Item-Frailty-Index) und prevalent CVD sowie kardiovaskulärer Mortalität.</w:t>
      </w:r>
    </w:p>
    <w:p>
      <w:r>
        <w:rPr>
          <w:b/>
        </w:rPr>
        <w:t xml:space="preserve">Ergebnis: </w:t>
      </w:r>
      <w:r>
        <w:t>TyG-FI pro Einheit: OR 4,50 (95% CI 3,20–6,33) für prävalente CVD; HR 1,77 (95% CI 1,16–2,70) für Herz-Mortalität. AUC-Modelle mit TyG-FI (0,80 CVD, 0,81 Mortalität) überlegen vs. TyG allein (0,73, 0,80). Stärkere Assoziation bei Alter ≤65 Jahren.</w:t>
      </w:r>
    </w:p>
    <w:p>
      <w:r>
        <w:rPr>
          <w:b/>
          <w:sz w:val="19"/>
        </w:rPr>
        <w:t xml:space="preserve">Übertragbarkeit: </w:t>
      </w:r>
      <w:r>
        <w:rPr>
          <w:sz w:val="19"/>
        </w:rPr>
        <w:t>USA-Kohort, aber RA-assoziierte Multimorbidität und kombinierte Indizes relevant für deutsches Risiko-Assessment.</w:t>
      </w:r>
    </w:p>
    <w:p>
      <w:r>
        <w:rPr>
          <w:color w:val="5A7D3A"/>
          <w:sz w:val="18"/>
        </w:rPr>
        <w:t>https://pubmed.ncbi.nlm.nih.gov/42888590/</w:t>
      </w:r>
    </w:p>
    <w:p>
      <w:pPr>
        <w:pStyle w:val="Heading2"/>
      </w:pPr>
      <w:r>
        <w:t>Gesundheit im Alter als multidimensionales System: Validierung an 46.317 Europäern</w:t>
      </w:r>
    </w:p>
    <w:p>
      <w:r>
        <w:rPr>
          <w:i/>
          <w:color w:val="666666"/>
          <w:sz w:val="18"/>
        </w:rPr>
        <w:t>Tun T et al.  ·  Soc Sci Med  ·  16.09.2026  ·  PMID 42766933</w:t>
      </w:r>
    </w:p>
    <w:p>
      <w:r>
        <w:t>Sekundäranalyse von SHARE Wave 8 mit 46.317 Teilnehmern 50–104 Jahre zur psychometrischen Validierung eines sechsdimensionalen Gesundheitskonstrukts mittels Strukturgleichungsmodellierung.</w:t>
      </w:r>
    </w:p>
    <w:p>
      <w:r>
        <w:rPr>
          <w:b/>
        </w:rPr>
        <w:t xml:space="preserve">Ergebnis: </w:t>
      </w:r>
      <w:r>
        <w:t>Bestätigung einer zweiten Ordnung SEM mit sechs Dimensionen (Physische Gesundheit, Funktionsfähigkeit, Kognition, psychisches Wohlbefinden, finanzielle Autonomie, soziales Engagement) mit Faktorladungen 0,579–0,832 und guten Modellfit-Indizes (RMSEA 0,054, CFI 0,904). Modell war in europäischen Ländern konsistent.</w:t>
      </w:r>
    </w:p>
    <w:p>
      <w:r>
        <w:rPr>
          <w:b/>
          <w:sz w:val="19"/>
        </w:rPr>
        <w:t xml:space="preserve">Übertragbarkeit: </w:t>
      </w:r>
      <w:r>
        <w:rPr>
          <w:sz w:val="19"/>
        </w:rPr>
        <w:t>SHARE-Daten aus 28 europäischen Ländern, direkt auf Deutschland anwendbar.</w:t>
      </w:r>
    </w:p>
    <w:p>
      <w:r>
        <w:rPr>
          <w:color w:val="5A7D3A"/>
          <w:sz w:val="18"/>
        </w:rPr>
        <w:t>https://pubmed.ncbi.nlm.nih.gov/42766933/</w:t>
      </w:r>
    </w:p>
    <w:p>
      <w:pPr>
        <w:pStyle w:val="Heading1"/>
      </w:pPr>
      <w:r>
        <w:t>Aufgenommen am 20.10.2026</w:t>
      </w:r>
    </w:p>
    <w:p>
      <w:pPr>
        <w:pStyle w:val="Heading2"/>
      </w:pPr>
      <w:r>
        <w:t>Ösophagusspasmus bei Hochbetagter: Dysphagie-Diagnose bricht Teufelskreis aus Gewichtsverlust, Sarkopenie und Sturzrisiko</w:t>
      </w:r>
    </w:p>
    <w:p>
      <w:r>
        <w:rPr>
          <w:i/>
          <w:color w:val="666666"/>
          <w:sz w:val="18"/>
        </w:rPr>
        <w:t>Klein J et al.  ·  Dtsch Med Wochenschr  ·  19.10.2026  ·  PMID 42896540</w:t>
      </w:r>
    </w:p>
    <w:p>
      <w:r>
        <w:t>Fallbericht einer 93-jährigen sarkopenen Patientin mit Appetitlosigkeit, Übelkeit und Erbrechen in einer deutschen geriatrischen Klinik, bei der eine Breischluck-Untersuchung einen Ösophagussphinkterspasmus nachwies.</w:t>
      </w:r>
    </w:p>
    <w:p>
      <w:r>
        <w:rPr>
          <w:b/>
        </w:rPr>
        <w:t xml:space="preserve">Ergebnis: </w:t>
      </w:r>
      <w:r>
        <w:t>Nach Diagnose des distalen Motilitätsverluste durch Breischluck-Untersuchung konservative Therapie mit Botulinumtoxin-Injektionen durchgeführt, was kurzfristig zur Symptomverbesserung führte. Patientin kam aus dem Zyklus von Dysphagie → Gewichtsverlust → Sarkopenie → Frailty → Sturz heraus. Fallbericht unterstreicht Notwendigkeit gezielter Diagnostik und Therapie zur Prävention von Komplikationen.</w:t>
      </w:r>
    </w:p>
    <w:p>
      <w:r>
        <w:rPr>
          <w:b/>
          <w:sz w:val="19"/>
        </w:rPr>
        <w:t xml:space="preserve">Übertragbarkeit: </w:t>
      </w:r>
      <w:r>
        <w:rPr>
          <w:sz w:val="19"/>
        </w:rPr>
        <w:t>Deutschland (Bonn); geriatrisches Versorgungssystem und Versorgungskontext direkt anwendbar</w:t>
      </w:r>
    </w:p>
    <w:p>
      <w:r>
        <w:rPr>
          <w:color w:val="5A7D3A"/>
          <w:sz w:val="18"/>
        </w:rPr>
        <w:t>https://pubmed.ncbi.nlm.nih.gov/42896540/</w:t>
      </w:r>
    </w:p>
    <w:p>
      <w:pPr>
        <w:pStyle w:val="Heading2"/>
      </w:pPr>
      <w:r>
        <w:t>Zweistufiges Frailty-Screening in Hepatologie: Stuhl-Test und Griffstärke ersparen zwei Drittel der vollständigen Assessments</w:t>
      </w:r>
    </w:p>
    <w:p>
      <w:r>
        <w:rPr>
          <w:i/>
          <w:color w:val="666666"/>
          <w:sz w:val="18"/>
        </w:rPr>
        <w:t>Wang J et al.  ·  Nurs Open  ·  Okt. 2026  ·  PMID 42896173</w:t>
      </w:r>
    </w:p>
    <w:p>
      <w:r>
        <w:t>Querschnittstudie bei 606 hospitalisierten Patienten mit chronischer Lebererkrankung (August 2021–August 2025), die eine Pflegekraft-getragene Screening-Strategie mit Timed-Chair-Stand und Griffstärke gegen den Liver Frailty Index validierte.</w:t>
      </w:r>
    </w:p>
    <w:p>
      <w:r>
        <w:rPr>
          <w:b/>
        </w:rPr>
        <w:t xml:space="preserve">Ergebnis: </w:t>
      </w:r>
      <w:r>
        <w:t>Frailty-Prävalenz 18,6%. Einstufiges Screening (Chair-Stands ≥16,55 s oder Griffstärke ≤23,42 kg) erreichte 100% Sensitivität (Negative Predictive Value 1,000), identifizierte alle frailen Fälle und vermied 62,3% der vollständigen Assessments. Null verpasste Fälle in fünf Split-Sample-Analysen reproduziert.</w:t>
      </w:r>
    </w:p>
    <w:p>
      <w:r>
        <w:rPr>
          <w:b/>
          <w:sz w:val="19"/>
        </w:rPr>
        <w:t xml:space="preserve">Übertragbarkeit: </w:t>
      </w:r>
      <w:r>
        <w:rPr>
          <w:sz w:val="19"/>
        </w:rPr>
        <w:t>China; aber Screening-Kriterien und hepatologische Versorgung international ähnlich, externe Validierung ausstehend</w:t>
      </w:r>
    </w:p>
    <w:p>
      <w:r>
        <w:rPr>
          <w:color w:val="5A7D3A"/>
          <w:sz w:val="18"/>
        </w:rPr>
        <w:t>https://pubmed.ncbi.nlm.nih.gov/42896173/</w:t>
      </w:r>
    </w:p>
    <w:p>
      <w:pPr>
        <w:pStyle w:val="Heading2"/>
      </w:pPr>
      <w:r>
        <w:t>Frailty reduziert Arbeitsfähigkeit im Alter um vier bis acht Jahre</w:t>
      </w:r>
    </w:p>
    <w:p>
      <w:r>
        <w:rPr>
          <w:i/>
          <w:color w:val="666666"/>
          <w:sz w:val="18"/>
        </w:rPr>
        <w:t>Shui Y et al.  ·  J Glob Health  ·  19.10.2026  ·  PMID 42895270</w:t>
      </w:r>
    </w:p>
    <w:p>
      <w:r>
        <w:t>Multistate-Markov-Modelle bei 180.314 Personen ≥50 Jahren aus fünf harmonisierten Kohorten (33 Länder) zur Assoziation von Frailty-Status (robust, pre-frail, frail) mit gesunder Arbeitslebenserwartung (HWLE) im Alter von 50 Jahren.</w:t>
      </w:r>
    </w:p>
    <w:p>
      <w:r>
        <w:rPr>
          <w:b/>
        </w:rPr>
        <w:t xml:space="preserve">Ergebnis: </w:t>
      </w:r>
      <w:r>
        <w:t>HWLE bei 50 Jahren: 11,87 Jahre (95%-KI 11,74–12,00) robust, 7,34 Jahre (7,19–7,50) pre-frail, 3,77 Jahre (3,57–3,97) frail. Gegenüber robusten Personen: 4,53 Jahre kürzer (95%-KI −4,76, −4,29) pre-frail, 8,11 Jahre kürzer (−8,38, −7,84) frail. Männer hatten längere HWLE als Frauen in robusten und pre-frailen Gruppen. Höhere Bildung, Nichtrauchen und günstige nationale Faktoren verlängerten HWLE.</w:t>
      </w:r>
    </w:p>
    <w:p>
      <w:r>
        <w:rPr>
          <w:b/>
          <w:sz w:val="19"/>
        </w:rPr>
        <w:t xml:space="preserve">Übertragbarkeit: </w:t>
      </w:r>
      <w:r>
        <w:rPr>
          <w:sz w:val="19"/>
        </w:rPr>
        <w:t>33 Länder inklusive europäische; Frailty-Index robust, Bezug zu Arbeitsmarkt und Rente unterscheidet sich, aber Grundmechanismus universell</w:t>
      </w:r>
    </w:p>
    <w:p>
      <w:r>
        <w:rPr>
          <w:color w:val="5A7D3A"/>
          <w:sz w:val="18"/>
        </w:rPr>
        <w:t>https://pubmed.ncbi.nlm.nih.gov/42895270/</w:t>
      </w:r>
    </w:p>
    <w:p>
      <w:pPr>
        <w:pStyle w:val="Heading2"/>
      </w:pPr>
      <w:r>
        <w:t>Frailty-Trajektoren vorhersagen Osteoporose-Risiko stärker als einzelne Messungen</w:t>
      </w:r>
    </w:p>
    <w:p>
      <w:r>
        <w:rPr>
          <w:i/>
          <w:color w:val="666666"/>
          <w:sz w:val="18"/>
        </w:rPr>
        <w:t>Zhou J et al.  ·  J Glob Health  ·  19.10.2026  ·  PMID 42895262</w:t>
      </w:r>
    </w:p>
    <w:p>
      <w:r>
        <w:t>Longitudinale Kohortenstudie mit drei großen harmonisierten Datensätzen (HRS, ELSA, SHARE; ≥50 Jahre) zum Zusammenhang zwischen Frailty-Index-Verlauf und neuaufgetretener Osteoporose über 4–8 Jahre Nachbeobachtung.</w:t>
      </w:r>
    </w:p>
    <w:p>
      <w:r>
        <w:rPr>
          <w:b/>
        </w:rPr>
        <w:t xml:space="preserve">Ergebnis: </w:t>
      </w:r>
      <w:r>
        <w:t>Insgesamt 244 (ELSA), 2.693 (SHARE) und 1.986 (HRS) Neuerkrankungen mit Osteoporose. Höherer baseline Frailty Index unabhängig assoziiert mit erhöhtem Osteoporose-Risiko (HRS HR 1,43; 95%-KI 1,36–1,50; ELSA HR 1,36; 1,19–1,57; SHARE HR 1,39; 1,33–1,45, alle p&lt;0,001). Vier identifizierte Frailty-Trajektoren zeigten generell erhöhte Osteoporose-Risiken. Nichtlineare Analysen wiesen Schwellenwerteffekte auf (steilere Anstiege bei niedrigeren FI-Werten). Griffstärke vermittelte Assoziation partiell.</w:t>
      </w:r>
    </w:p>
    <w:p>
      <w:r>
        <w:rPr>
          <w:b/>
          <w:sz w:val="19"/>
        </w:rPr>
        <w:t xml:space="preserve">Übertragbarkeit: </w:t>
      </w:r>
      <w:r>
        <w:rPr>
          <w:sz w:val="19"/>
        </w:rPr>
        <w:t>Europäische und US-Kohorten; Frailty Index und Osteoporose-Definitions vergleichbar international</w:t>
      </w:r>
    </w:p>
    <w:p>
      <w:r>
        <w:rPr>
          <w:color w:val="5A7D3A"/>
          <w:sz w:val="18"/>
        </w:rPr>
        <w:t>https://pubmed.ncbi.nlm.nih.gov/42895262/</w:t>
      </w:r>
    </w:p>
    <w:p>
      <w:pPr>
        <w:pStyle w:val="Heading2"/>
      </w:pPr>
      <w:r>
        <w:t>Schädlicher Alkoholkonsum bei älteren Sturzpatienten häufig, mit Hyponatriämie assoziiert</w:t>
      </w:r>
    </w:p>
    <w:p>
      <w:r>
        <w:rPr>
          <w:i/>
          <w:color w:val="666666"/>
          <w:sz w:val="18"/>
        </w:rPr>
        <w:t>Rogmark C et al.  ·  Acta Orthop  ·  19.10.2026  ·  PMID 42894497</w:t>
      </w:r>
    </w:p>
    <w:p>
      <w:r>
        <w:t>Prospektive Kohortenstudie bei 505 Personen ≥65 Jahren mit akuter Sturz-bedingter Fraktur (Februar 2023–August 2024), die Phosphatidylethanol (PEth) als objektiven Marker für chronischen Alkoholkonsum zur Risikostratifizierung nutzte.</w:t>
      </w:r>
    </w:p>
    <w:p>
      <w:r>
        <w:rPr>
          <w:b/>
        </w:rPr>
        <w:t xml:space="preserve">Ergebnis: </w:t>
      </w:r>
      <w:r>
        <w:t>13% zeigten schädlichen Alkoholkonsum (PEth &gt;0,30 µmol/L), 8,9% intermediären Konsum (0,05–0,30), 78% keinen/niedrigen Konsum (&lt;0,05). Von nicht-frailen Patienten hatten 18% schädlichen und 11% intermediären Konsum. In der propensity-score-gematchten Kohorte: Alkoholkonsum assoziiert mit höherer Hyponatriämie-Wahrscheinlichkeit (OR 2,3; 95%-KI 1,1–4,5; p=0,02). Trend zu niedrigerer 90-Tages-Mortalität (OR 0,2; 95%-KI 0,1–1,0; p=0,05).</w:t>
      </w:r>
    </w:p>
    <w:p>
      <w:r>
        <w:rPr>
          <w:b/>
          <w:sz w:val="19"/>
        </w:rPr>
        <w:t xml:space="preserve">Übertragbarkeit: </w:t>
      </w:r>
      <w:r>
        <w:rPr>
          <w:sz w:val="19"/>
        </w:rPr>
        <w:t>Schweden (Lund/Malmö); Trauma-Management und Frailty-Screening vergleichbar mit Deutschland</w:t>
      </w:r>
    </w:p>
    <w:p>
      <w:r>
        <w:rPr>
          <w:color w:val="5A7D3A"/>
          <w:sz w:val="18"/>
        </w:rPr>
        <w:t>https://pubmed.ncbi.nlm.nih.gov/42894497/</w:t>
      </w:r>
    </w:p>
    <w:p>
      <w:pPr>
        <w:pStyle w:val="Heading2"/>
      </w:pPr>
      <w:r>
        <w:t>Soziale Kontakte fördern Grundfähigkeiten im Alter weltweit</w:t>
      </w:r>
    </w:p>
    <w:p>
      <w:r>
        <w:rPr>
          <w:i/>
          <w:color w:val="666666"/>
          <w:sz w:val="18"/>
        </w:rPr>
        <w:t>Lai ETC et al.  ·  Lancet Healthy Longev  ·  12.10.2026  ·  PMID 42863480</w:t>
      </w:r>
    </w:p>
    <w:p>
      <w:r>
        <w:t>Harmonisierte Längsschnittstudie zu 39.021 Personen ab 50 Jahren aus fünf Kohorten (USA, England, Europa, China, Japan), die den Zusammenhang zwischen sozialer Vernetzung und intrinsischer Kapazität (fünf Domänen: Kognition, Psyche, Sinne, Bewegung, Vitalität) untersuchte.</w:t>
      </w:r>
    </w:p>
    <w:p>
      <w:r>
        <w:rPr>
          <w:b/>
        </w:rPr>
        <w:t xml:space="preserve">Ergebnis: </w:t>
      </w:r>
      <w:r>
        <w:t>Höhere baseline soziale Vernetzung korrelierte mit besserer gesamter intrinsischer Kapazität (β=0,04 SD pro Punkt; 95%-KI 0,03–0,06). Stärkste Assoziationen zeigten sich in psychologischer (β=0,05 SD) und kognitiver Domäne (β=0,03 SD), beide p&lt;0,001. Soziale Partizipation und Partnerschaft waren am konsistentesten mit höherer Kapazität assoziiert. Baseline-Vernetzung sagte jedoch keine unterschiedlichen Raten des Funktionsverfalls über Follow-up voraus (β=0,0024 SD/Jahr; 95%-KI −0,0004 bis 0,0053).</w:t>
      </w:r>
    </w:p>
    <w:p>
      <w:r>
        <w:rPr>
          <w:b/>
          <w:sz w:val="19"/>
        </w:rPr>
        <w:t xml:space="preserve">Übertragbarkeit: </w:t>
      </w:r>
      <w:r>
        <w:rPr>
          <w:sz w:val="19"/>
        </w:rPr>
        <w:t>England und europäische Kohorten, vergleichbare Altersstrukturen und Sozialversicherungssysteme (SHARE-Daten)</w:t>
      </w:r>
    </w:p>
    <w:p>
      <w:r>
        <w:rPr>
          <w:color w:val="5A7D3A"/>
          <w:sz w:val="18"/>
        </w:rPr>
        <w:t>https://pubmed.ncbi.nlm.nih.gov/42863480/</w:t>
      </w:r>
    </w:p>
    <w:p>
      <w:pPr>
        <w:pStyle w:val="Heading2"/>
      </w:pPr>
      <w:r>
        <w:t>Bessere Grundfähigkeiten in neueren Generationen Europas – aber mit wachsenden Ungleichheiten</w:t>
      </w:r>
    </w:p>
    <w:p>
      <w:r>
        <w:rPr>
          <w:i/>
          <w:color w:val="666666"/>
          <w:sz w:val="18"/>
        </w:rPr>
        <w:t>Beard JR et al.  ·  Lancet Healthy Longev  ·  09.10.2026  ·  PMID 42854708</w:t>
      </w:r>
    </w:p>
    <w:p>
      <w:r>
        <w:t>Analyse von sieben Wellen der SHARE-Studie (2004–2022) bei 80.105 Personen ab 50 Jahren aus zehn europäischen Ländern zur Entwicklung der intrinsischen Kapazität über Geburtskohorten.</w:t>
      </w:r>
    </w:p>
    <w:p>
      <w:r>
        <w:rPr>
          <w:b/>
        </w:rPr>
        <w:t xml:space="preserve">Ergebnis: </w:t>
      </w:r>
      <w:r>
        <w:t>Neuere Geburtskohorten zeigten bei Studieneintritt höhere intrinsische Kapazität (Geburtsjahrkoeffizient 0,797; 95%-KI 0,780–0,815, p&lt;0,0001) und langsamere 10-Jahres-Rückgänge (0,426; 95%-KI 0,372–0,480, p&lt;0,0001). Frauen verzeichneten größere Gewinne als Männer. Länder mit niedrigerer Ausgangskapazität (z. B. Italien) zeigten größere Verbesserungen, aber kleinere Verlangsamungen im Rückgang. Höherer sozioökonomischer Status war mit größeren Gewinnen assoziiert, was Ungleichheiten verschärfte.</w:t>
      </w:r>
    </w:p>
    <w:p>
      <w:r>
        <w:rPr>
          <w:b/>
          <w:sz w:val="19"/>
        </w:rPr>
        <w:t xml:space="preserve">Übertragbarkeit: </w:t>
      </w:r>
      <w:r>
        <w:rPr>
          <w:sz w:val="19"/>
        </w:rPr>
        <w:t>10 europäische SHARE-Länder inklusive Deutschland; direkt auf deutsches Gesundheitssystem übertragbar</w:t>
      </w:r>
    </w:p>
    <w:p>
      <w:r>
        <w:rPr>
          <w:color w:val="5A7D3A"/>
          <w:sz w:val="18"/>
        </w:rPr>
        <w:t>https://pubmed.ncbi.nlm.nih.gov/42854708/</w:t>
      </w:r>
    </w:p>
    <w:p>
      <w:pPr>
        <w:pStyle w:val="Heading1"/>
      </w:pPr>
      <w:r>
        <w:t>Aufgenommen am 19.10.2026</w:t>
      </w:r>
    </w:p>
    <w:p>
      <w:pPr>
        <w:pStyle w:val="Heading2"/>
      </w:pPr>
      <w:r>
        <w:t>Geriatrische Schulungslücken in ambulanter Versorgung: Bedarfsanalyse aus 41 europäischen Ländern</w:t>
      </w:r>
    </w:p>
    <w:p>
      <w:r>
        <w:rPr>
          <w:i/>
          <w:color w:val="666666"/>
          <w:sz w:val="18"/>
        </w:rPr>
        <w:t>Kravvariti E et al.  ·  Age Ageing  ·  03.08.2026  ·  PMID 42891966</w:t>
      </w:r>
    </w:p>
    <w:p>
      <w:r>
        <w:t>Querschnittsbefragung von 2380 Fachkräften (Ärzte, Pflege, Diätassistenten, Therapeuten) aus Ambulanzen und häuslichen Diensten zur Selbsteinschätzung ihres Wissensstands bei 33 geriatrischen Themen.</w:t>
      </w:r>
    </w:p>
    <w:p>
      <w:r>
        <w:rPr>
          <w:b/>
        </w:rPr>
        <w:t xml:space="preserve">Ergebnis: </w:t>
      </w:r>
      <w:r>
        <w:t>Erhebliche Wissenslücken in allen Berufsgruppen: Umfassendes geriatrisches Assessment, Frailty-Screening, Polymedikation und Deprescribing, Sarkopenie, Dysphagie sowie Verhaltens- und Depressionssymptome bei Demenz zählten zu den Top-Defiziten. Profession-spezifische Prioritäten: Kommunikation und Vorsorgeverfügungen für Pflege, Deprescribing für Ärzte und Apotheker, Ernährungsassessment für Diätassistenten.</w:t>
      </w:r>
    </w:p>
    <w:p>
      <w:r>
        <w:rPr>
          <w:b/>
          <w:sz w:val="19"/>
        </w:rPr>
        <w:t xml:space="preserve">Übertragbarkeit: </w:t>
      </w:r>
      <w:r>
        <w:rPr>
          <w:sz w:val="19"/>
        </w:rPr>
        <w:t>41 europäische Länder, direkt relevant für deutschsprachigen Raum und Versorgungsstrukturen</w:t>
      </w:r>
    </w:p>
    <w:p>
      <w:r>
        <w:rPr>
          <w:color w:val="5A7D3A"/>
          <w:sz w:val="18"/>
        </w:rPr>
        <w:t>https://pubmed.ncbi.nlm.nih.gov/42891966/</w:t>
      </w:r>
    </w:p>
    <w:p>
      <w:pPr>
        <w:pStyle w:val="Heading2"/>
      </w:pPr>
      <w:r>
        <w:t>Elektronischer Frailty-Index sagt Sterblichkeit bei älteren Menschen voraus</w:t>
      </w:r>
    </w:p>
    <w:p>
      <w:r>
        <w:rPr>
          <w:i/>
          <w:color w:val="666666"/>
          <w:sz w:val="18"/>
        </w:rPr>
        <w:t>Du X et al.  ·  Front Public Health  ·  02.10.2026  ·  PMID 42890831</w:t>
      </w:r>
    </w:p>
    <w:p>
      <w:r>
        <w:t>Systematische Übersichtsarbeit und Meta-Analyse von 12 Studien (13 Kohorten mit 11 Hazard-Ratio- und 2 Odds-Ratio-Analysen) zur Assoziation zwischen elektronischem Frailty-Index (eFI) und Mortalität.</w:t>
      </w:r>
    </w:p>
    <w:p>
      <w:r>
        <w:rPr>
          <w:b/>
        </w:rPr>
        <w:t xml:space="preserve">Ergebnis: </w:t>
      </w:r>
      <w:r>
        <w:t>Dosisabhängige Assoziation: Milde Frailty (HR 1,81), moderate Frailty (HR 2,95) und schwere Frailty (HR 4,41) gegenüber nicht-frailer Gruppe. Erhebliche Heterogenität zwischen Studien je nach Nachbeobachtungsdauer, eFI-Schwellenwert und Studienumfeld. eFI scheint nützlich für Frailty-Screening und Risikostratifizierung, aber Ergebnisse erfordern vorsichtige Interpretation.</w:t>
      </w:r>
    </w:p>
    <w:p>
      <w:r>
        <w:rPr>
          <w:b/>
          <w:sz w:val="19"/>
        </w:rPr>
        <w:t xml:space="preserve">Übertragbarkeit: </w:t>
      </w:r>
      <w:r>
        <w:rPr>
          <w:sz w:val="19"/>
        </w:rPr>
        <w:t>UK Biobank und andere, elektronische Gesundheitsregisterdaten wie in Deutschland verfügbar</w:t>
      </w:r>
    </w:p>
    <w:p>
      <w:r>
        <w:rPr>
          <w:color w:val="5A7D3A"/>
          <w:sz w:val="18"/>
        </w:rPr>
        <w:t>https://pubmed.ncbi.nlm.nih.gov/42890831/</w:t>
      </w:r>
    </w:p>
    <w:p>
      <w:pPr>
        <w:pStyle w:val="Heading2"/>
      </w:pPr>
      <w:r>
        <w:t>Orale Frailty bei älteren Menschen mit Multimorbidität: Prävalenz 71,2%, verknüpft mit körperlicher Frailty</w:t>
      </w:r>
    </w:p>
    <w:p>
      <w:r>
        <w:rPr>
          <w:i/>
          <w:color w:val="666666"/>
          <w:sz w:val="18"/>
        </w:rPr>
        <w:t>Zhou Y et al.  ·  Front Public Health  ·  02.10.2026  ·  PMID 42890626</w:t>
      </w:r>
    </w:p>
    <w:p>
      <w:r>
        <w:t>Querschnittsstudie von 393 Personen ≥60 Jahre mit ≥1 chronischer Erkrankung in Nordostchina zur Prävalenz oraler Frailty mittels Oral Frailty Index-8 (OFI-8) und assoziierten Faktoren.</w:t>
      </w:r>
    </w:p>
    <w:p>
      <w:r>
        <w:rPr>
          <w:b/>
        </w:rPr>
        <w:t xml:space="preserve">Ergebnis: </w:t>
      </w:r>
      <w:r>
        <w:t>71,2% (n=280) orale Frailty (OFI-8: 5,61±2,58). Häufigste Items: Schwierigkeiten mit harter Nahrung 62,3%, Verschlucken 48,6%, Mundtrockenheit 45,8%. Unabhängig assoziiert: höheres Alter, weibliches Geschlecht, niedriges Einkommen, niedriger/hoher BMI, Alkoholkonsum, körperliche Frailty, Schlafstörung, negative Altersattitude, ≥3 Erkrankungen, Diabetes (alle p&lt;0,05).</w:t>
      </w:r>
    </w:p>
    <w:p>
      <w:r>
        <w:rPr>
          <w:b/>
          <w:sz w:val="19"/>
        </w:rPr>
        <w:t xml:space="preserve">Übertragbarkeit: </w:t>
      </w:r>
      <w:r>
        <w:rPr>
          <w:sz w:val="19"/>
        </w:rPr>
        <w:t>China, ethnische Minderheit – überwiegend strukturelle Befunde, Screening-Befund direkt relevant</w:t>
      </w:r>
    </w:p>
    <w:p>
      <w:r>
        <w:rPr>
          <w:color w:val="5A7D3A"/>
          <w:sz w:val="18"/>
        </w:rPr>
        <w:t>https://pubmed.ncbi.nlm.nih.gov/42890626/</w:t>
      </w:r>
    </w:p>
    <w:p>
      <w:pPr>
        <w:pStyle w:val="Heading2"/>
      </w:pPr>
      <w:r>
        <w:t>Frailty mit multilokulalen Schmerzen vergesellschaftet, teilweise durch Depression vermittelt</w:t>
      </w:r>
    </w:p>
    <w:p>
      <w:r>
        <w:rPr>
          <w:i/>
          <w:color w:val="666666"/>
          <w:sz w:val="18"/>
        </w:rPr>
        <w:t>Cheng Y et al.  ·  Medicine (Baltimore)  ·  16.10.2026  ·  PMID 42888628</w:t>
      </w:r>
    </w:p>
    <w:p>
      <w:r>
        <w:t>Querschnittsanalyse von 5281 Personen ≥45 Jahre aus China Health and Retirement Longitudinal Study zu Assoziation zwischen korrigiertem modifiziertem Frailty-Index (CMFI) und chronischen Schmerzen mit Mediationsanalyse.</w:t>
      </w:r>
    </w:p>
    <w:p>
      <w:r>
        <w:rPr>
          <w:b/>
        </w:rPr>
        <w:t xml:space="preserve">Ergebnis: </w:t>
      </w:r>
      <w:r>
        <w:t>Höherer CMFI stark mit erhöhtem Schmerz-Risiko assoziiert: Höchstes vs. niedrigstes CMFI-Quartil zeigte 11,6-fach erhöhtes Risiko für Kreuzschmerzen, 17,0-fach für Multisite-Schmerzen und 11,5-fach höhere Schmerzlokalisationen. Depression vermittelte ca. 30% dieser Assoziationen. Unterschiede nach Alter, Bildung und Wohnort.</w:t>
      </w:r>
    </w:p>
    <w:p>
      <w:r>
        <w:rPr>
          <w:b/>
          <w:sz w:val="19"/>
        </w:rPr>
        <w:t xml:space="preserve">Übertragbarkeit: </w:t>
      </w:r>
      <w:r>
        <w:rPr>
          <w:sz w:val="19"/>
        </w:rPr>
        <w:t>China, vergleichbare Altersstruktur – Befunde aber nicht direkt auf deutsche Sozialversicherung übertragbar</w:t>
      </w:r>
    </w:p>
    <w:p>
      <w:r>
        <w:rPr>
          <w:color w:val="5A7D3A"/>
          <w:sz w:val="18"/>
        </w:rPr>
        <w:t>https://pubmed.ncbi.nlm.nih.gov/42888628/</w:t>
      </w:r>
    </w:p>
    <w:p>
      <w:pPr>
        <w:pStyle w:val="Heading2"/>
      </w:pPr>
      <w:r>
        <w:t>Höhere Frailty mit schlechterer Herzgesundheit: Dosis-Wirkungs-Beziehung in US-Stichprobe</w:t>
      </w:r>
    </w:p>
    <w:p>
      <w:r>
        <w:rPr>
          <w:i/>
          <w:color w:val="666666"/>
          <w:sz w:val="18"/>
        </w:rPr>
        <w:t>Yan W et al.  ·  Medicine (Baltimore)  ·  16.10.2026  ·  PMID 42888560</w:t>
      </w:r>
    </w:p>
    <w:p>
      <w:r>
        <w:t>Querschnittsanalyse von 8015 Erwachsenen ≥20 Jahre aus NHANES 2007–2018 zur Assoziation zwischen Frailty-Index und kardiovaskulärer Gesundheit nach American Heart Association Definition.</w:t>
      </w:r>
    </w:p>
    <w:p>
      <w:r>
        <w:rPr>
          <w:b/>
        </w:rPr>
        <w:t xml:space="preserve">Ergebnis: </w:t>
      </w:r>
      <w:r>
        <w:t>Höhere Frailty-Niveaus linear mit erhöhtem Risiko schlechter kardiovaskulärer Gesundheit assoziiert (dosisabhängig). Serum-25(OH)D-Level unabhängig invers mit schlechter kardiovaskulärer Gesundheit assoziiert. Keine statistisch signifikante multiplikative Interaktion zwischen Frailty und 25(OH)D. Assoziationen variierten nach Geschlecht und 25(OH)D-Status.</w:t>
      </w:r>
    </w:p>
    <w:p>
      <w:r>
        <w:rPr>
          <w:b/>
          <w:sz w:val="19"/>
        </w:rPr>
        <w:t xml:space="preserve">Übertragbarkeit: </w:t>
      </w:r>
      <w:r>
        <w:rPr>
          <w:sz w:val="19"/>
        </w:rPr>
        <w:t>USA, aber Frailty-Kardiovaskularität-Assoziation prinzipiell übertragbar</w:t>
      </w:r>
    </w:p>
    <w:p>
      <w:r>
        <w:rPr>
          <w:color w:val="5A7D3A"/>
          <w:sz w:val="18"/>
        </w:rPr>
        <w:t>https://pubmed.ncbi.nlm.nih.gov/42888560/</w:t>
      </w:r>
    </w:p>
    <w:p>
      <w:pPr>
        <w:pStyle w:val="Heading2"/>
      </w:pPr>
      <w:r>
        <w:t>Handgriffkraft und Stuhlaufstehen als Functional-Indikatoren: Methodische Vorbehalte bei multizentrischen Studien</w:t>
      </w:r>
    </w:p>
    <w:p>
      <w:r>
        <w:rPr>
          <w:i/>
          <w:color w:val="666666"/>
          <w:sz w:val="18"/>
        </w:rPr>
        <w:t>Kudratova Z et al.  ·  Aging Clin Exp Res  ·  15.10.2026  ·  PMID 42875631</w:t>
      </w:r>
    </w:p>
    <w:p>
      <w:r>
        <w:t>Methodologischer Kommentar zu Prospektivanalyse über kumulative Handgriffkraft und erfolgreiches Altern in drei internationalen Kohorten, kritische Bewertung von Studiendesign und Vergleichbarkeit.</w:t>
      </w:r>
    </w:p>
    <w:p>
      <w:r>
        <w:rPr>
          <w:b/>
        </w:rPr>
        <w:t xml:space="preserve">Ergebnis: </w:t>
      </w:r>
      <w:r>
        <w:t>Handgriffkraft erfasst nicht alle funktionellen Determinanten erfolgreiches Alterns. Selbstberichtete chronische Erkrankungen verursachen Klassifizierungsfehler (unterschiedlich nach Sozioökonomie). Zwei-Phasen-Temporaldesign adressiert Selektionsbias und Kohortengrenzen unzureichend. Kohorten-relatives kognitives Schwellenwert gefährdet Bevölkerungsvergleichbarkeit. Empfehlung: stärkere methodologische Reflexion und Standardisierung.</w:t>
      </w:r>
    </w:p>
    <w:p>
      <w:r>
        <w:rPr>
          <w:b/>
          <w:sz w:val="19"/>
        </w:rPr>
        <w:t xml:space="preserve">Übertragbarkeit: </w:t>
      </w:r>
      <w:r>
        <w:rPr>
          <w:sz w:val="19"/>
        </w:rPr>
        <w:t>Internationale Kohorten (USA, Asien, Europa), Methoden-Review – Design-Kritik grundsätzlich relevant</w:t>
      </w:r>
    </w:p>
    <w:p>
      <w:r>
        <w:rPr>
          <w:color w:val="5A7D3A"/>
          <w:sz w:val="18"/>
        </w:rPr>
        <w:t>https://pubmed.ncbi.nlm.nih.gov/42875631/</w:t>
      </w:r>
    </w:p>
    <w:p>
      <w:pPr>
        <w:pStyle w:val="Heading1"/>
      </w:pPr>
      <w:r>
        <w:t>Aufgenommen am 18.10.2026</w:t>
      </w:r>
    </w:p>
    <w:p>
      <w:pPr>
        <w:pStyle w:val="Heading2"/>
      </w:pPr>
      <w:r>
        <w:t>Krafttraining senkt Gebrechlichkeit im Alter stärker als Gehen oder Tai Chi</w:t>
      </w:r>
    </w:p>
    <w:p>
      <w:r>
        <w:rPr>
          <w:i/>
          <w:color w:val="666666"/>
          <w:sz w:val="18"/>
        </w:rPr>
        <w:t>Li J et al.  ·  Front Public Health  ·  02.10.2026  ·  PMID 42891303</w:t>
      </w:r>
    </w:p>
    <w:p>
      <w:r>
        <w:t>Systematische Übersicht mit Metaanalyse von randomisierten Studien zu Krafttraining, Gehen und Tai Chi bei älteren Menschen mit Gebrechlichkeit (Frailty).</w:t>
      </w:r>
    </w:p>
    <w:p>
      <w:r>
        <w:rPr>
          <w:b/>
        </w:rPr>
        <w:t xml:space="preserve">Ergebnis: </w:t>
      </w:r>
      <w:r>
        <w:t>Bei 1.361 Teilnehmern zeigte Krafttraining eine signifikante Reduktion von Gebrechlichkeit (SMD = -0,78, 95%-KI -1,22 bis -0,35), während Gehen und Tai Chi keine statistisch signifikanten Effekte aufwiesen. Heterogenität war erheblich (I² = 88%), und optimale Dosierungsempfehlungen konnten nicht abgeleitet werden.</w:t>
      </w:r>
    </w:p>
    <w:p>
      <w:r>
        <w:rPr>
          <w:b/>
          <w:sz w:val="19"/>
        </w:rPr>
        <w:t xml:space="preserve">Übertragbarkeit: </w:t>
      </w:r>
      <w:r>
        <w:rPr>
          <w:sz w:val="19"/>
        </w:rPr>
        <w:t>Internationale Evidenz, direkt auf deutsches Versorgungssystem übertragbar</w:t>
      </w:r>
    </w:p>
    <w:p>
      <w:r>
        <w:rPr>
          <w:color w:val="5A7D3A"/>
          <w:sz w:val="18"/>
        </w:rPr>
        <w:t>https://pubmed.ncbi.nlm.nih.gov/42891303/</w:t>
      </w:r>
    </w:p>
    <w:p>
      <w:pPr>
        <w:pStyle w:val="Heading1"/>
      </w:pPr>
      <w:r>
        <w:t>Aufgenommen am 17.10.2026</w:t>
      </w:r>
    </w:p>
    <w:p>
      <w:pPr>
        <w:pStyle w:val="Heading2"/>
      </w:pPr>
      <w:r>
        <w:t>Vitamin-D-Mangel und Frailty-Risiko im Alter: Assoziationen in USA-Daten</w:t>
      </w:r>
    </w:p>
    <w:p>
      <w:r>
        <w:rPr>
          <w:i/>
          <w:color w:val="666666"/>
          <w:sz w:val="18"/>
        </w:rPr>
        <w:t>Zheng J et al.  ·  Aging Male  ·  31.12.2026  ·  PMID 42886648</w:t>
      </w:r>
    </w:p>
    <w:p>
      <w:r>
        <w:t>Querschnittanalyse von 8.064 US-Amerikanern über 40 Jahren, untersucht die Beziehung zwischen Serum-Vitamin-D und Gebrechlichkeit mit einem 49-Item-Frailty-Index.</w:t>
      </w:r>
    </w:p>
    <w:p>
      <w:r>
        <w:rPr>
          <w:b/>
        </w:rPr>
        <w:t xml:space="preserve">Ergebnis: </w:t>
      </w:r>
      <w:r>
        <w:t>Vitamin-D-Mangel (&lt;25 nmol/L) war mit erhöhtem Frailty-Risiko assoziiert (OR 2,15, 95% CI 1,42–3,25), während Insuffizienz nicht signifikant war (OR 1,15, 95% CI 0,95–1,38). Gebrechlichkeitsprävalenz: Mangel 55,9%, Insuffizienz 42,9%, ausreichend 37,2%. U-förmiger Zusammenhang zwischen Vitamin-D und Frailty-Index.</w:t>
      </w:r>
    </w:p>
    <w:p>
      <w:r>
        <w:rPr>
          <w:b/>
          <w:sz w:val="19"/>
        </w:rPr>
        <w:t xml:space="preserve">Übertragbarkeit: </w:t>
      </w:r>
      <w:r>
        <w:rPr>
          <w:sz w:val="19"/>
        </w:rPr>
        <w:t>USA-Daten, aber Assoziationsfrage unabhängig von Gesundheitssystem, große bevölkerungsrepräsentative Stichprobe.</w:t>
      </w:r>
    </w:p>
    <w:p>
      <w:r>
        <w:rPr>
          <w:color w:val="5A7D3A"/>
          <w:sz w:val="18"/>
        </w:rPr>
        <w:t>https://pubmed.ncbi.nlm.nih.gov/42886648/</w:t>
      </w:r>
    </w:p>
    <w:p>
      <w:pPr>
        <w:pStyle w:val="Heading2"/>
      </w:pPr>
      <w:r>
        <w:t>Mundgesundheit und Gebrechlichkeit im Alter: Geschlechtsunterschiede</w:t>
      </w:r>
    </w:p>
    <w:p>
      <w:r>
        <w:rPr>
          <w:i/>
          <w:color w:val="666666"/>
          <w:sz w:val="18"/>
        </w:rPr>
        <w:t>Yang JE et al.  ·  PLoS One  ·  16.10.2026  ·  PMID 42886645</w:t>
      </w:r>
    </w:p>
    <w:p>
      <w:r>
        <w:t>Südkoreanische Querschnittstudie mit 3.729 älteren Menschen (≥65 Jahre) untersucht Assoziationen zwischen Mundgesundheit und Frailty-Status (robust, Prä-Frailty, Frailty).</w:t>
      </w:r>
    </w:p>
    <w:p>
      <w:r>
        <w:rPr>
          <w:b/>
        </w:rPr>
        <w:t xml:space="preserve">Ergebnis: </w:t>
      </w:r>
      <w:r>
        <w:t>16% waren gebrechlich, 84% nicht gebrechlich. Zahnlosigkeit ohne Zahnersatz war stärkster Faktor (Frauen: OR 3,76; Männer: OR 2,95). Zahnlosigkeit, Kau-/Schluckstörungen und Zahnschmerzen waren signifikant mit Frailty assoziiert. Geschlechtsspezifische Unterschiede: Zahnempfindlichkeit erhöhte Frailty-Risiko bei Frauen (OR 1,82), senkte es bei Männern (OR 0,85).</w:t>
      </w:r>
    </w:p>
    <w:p>
      <w:r>
        <w:rPr>
          <w:b/>
          <w:sz w:val="19"/>
        </w:rPr>
        <w:t xml:space="preserve">Übertragbarkeit: </w:t>
      </w:r>
      <w:r>
        <w:rPr>
          <w:sz w:val="19"/>
        </w:rPr>
        <w:t>Korea, Datenqualität hoch, aber Übertragbarkeit auf Deutschland eingeschränkt durch unterschiedliche Zahnversorgung und Mundgesundheit.</w:t>
      </w:r>
    </w:p>
    <w:p>
      <w:r>
        <w:rPr>
          <w:color w:val="5A7D3A"/>
          <w:sz w:val="18"/>
        </w:rPr>
        <w:t>https://pubmed.ncbi.nlm.nih.gov/42886645/</w:t>
      </w:r>
    </w:p>
    <w:p>
      <w:pPr>
        <w:pStyle w:val="Heading2"/>
      </w:pPr>
      <w:r>
        <w:t>Ernährungsinterventionen bei Mangelernährung, Sarkopenie und Frailty im Alter</w:t>
      </w:r>
    </w:p>
    <w:p>
      <w:r>
        <w:rPr>
          <w:i/>
          <w:color w:val="666666"/>
          <w:sz w:val="18"/>
        </w:rPr>
        <w:t>Khalaf H et al.  ·  Nutrients  ·  27.09.2026  ·  PMID 42884640</w:t>
      </w:r>
    </w:p>
    <w:p>
      <w:r>
        <w:t>Narrative Übersichtsarbeit zur Evidenz für Ernährungsmassnahmen (Food First, Lebensmittelfortifikation, orale Nahrungsergänzungen) bei älteren Menschen und Pflegeheimbewohnern.</w:t>
      </w:r>
    </w:p>
    <w:p>
      <w:r>
        <w:rPr>
          <w:b/>
        </w:rPr>
        <w:t xml:space="preserve">Ergebnis: </w:t>
      </w:r>
      <w:r>
        <w:t>Lebensmittelfortifikation erhöht effektiv Energie- und Proteinaufnahme; orale Nahrungsergänzungen (ONS) verbessern BMI und Alltagsfunktion und senken Hospitalisierungsraten. Multimodale Ansätze (Ernährung plus Bewegung) sind wirksamer; geringe Therapieadhärenz bleibt Barriere. Food-First-Ansatz in Kombination mit ONS zeigt beste Ergebnisse.</w:t>
      </w:r>
    </w:p>
    <w:p>
      <w:r>
        <w:rPr>
          <w:b/>
          <w:sz w:val="19"/>
        </w:rPr>
        <w:t xml:space="preserve">Übertragbarkeit: </w:t>
      </w:r>
      <w:r>
        <w:rPr>
          <w:sz w:val="19"/>
        </w:rPr>
        <w:t>UK/Europa-Daten, transferierbar auf deutschsprachige Pflegeheimversorgung.</w:t>
      </w:r>
    </w:p>
    <w:p>
      <w:r>
        <w:rPr>
          <w:color w:val="5A7D3A"/>
          <w:sz w:val="18"/>
        </w:rPr>
        <w:t>https://pubmed.ncbi.nlm.nih.gov/42884640/</w:t>
      </w:r>
    </w:p>
    <w:p>
      <w:pPr>
        <w:pStyle w:val="Heading2"/>
      </w:pPr>
      <w:r>
        <w:t>Hochverarbeitete Lebensmittel und Frailty im Alter: Assoziationen in Südkorea</w:t>
      </w:r>
    </w:p>
    <w:p>
      <w:r>
        <w:rPr>
          <w:i/>
          <w:color w:val="666666"/>
          <w:sz w:val="18"/>
        </w:rPr>
        <w:t>Lee H et al.  ·  Nutrients  ·  23.09.2026  ·  PMID 42884586</w:t>
      </w:r>
    </w:p>
    <w:p>
      <w:r>
        <w:t>Querschnittanalyse von 9.861 südkoreanischen Älteren (≥65 Jahre) untersucht die Beziehung zwischen Anteil hochverarbeiteter Lebensmittel (UPF) an der Gesamtenergieaufnahme und Gebrechlichkeit.</w:t>
      </w:r>
    </w:p>
    <w:p>
      <w:r>
        <w:rPr>
          <w:b/>
        </w:rPr>
        <w:t xml:space="preserve">Ergebnis: </w:t>
      </w:r>
      <w:r>
        <w:t>Höchstes Quartil UPF-Energieanteil zeigte 31% höheres Frailty-Risiko als niedrigstes (OR 1,31, 95% CI 1,08–1,59, p=0,002). Besondere Assoziation mit niedriger körperlicher Aktivität (OR 1,31, 95% CI 1,13–1,51). Linearer Dosis-Wirkungs-Zusammenhang (keine Nicht-Linearität, p=0,8).</w:t>
      </w:r>
    </w:p>
    <w:p>
      <w:r>
        <w:rPr>
          <w:b/>
          <w:sz w:val="19"/>
        </w:rPr>
        <w:t xml:space="preserve">Übertragbarkeit: </w:t>
      </w:r>
      <w:r>
        <w:rPr>
          <w:sz w:val="19"/>
        </w:rPr>
        <w:t>Korea, Ernährungsassoziationen sind kulturabhängig und weniger auf Deutschland übertragbar als mediterrane oder nordeuropäische Diätmuster.</w:t>
      </w:r>
    </w:p>
    <w:p>
      <w:r>
        <w:rPr>
          <w:color w:val="5A7D3A"/>
          <w:sz w:val="18"/>
        </w:rPr>
        <w:t>https://pubmed.ncbi.nlm.nih.gov/42884586/</w:t>
      </w:r>
    </w:p>
    <w:p>
      <w:pPr>
        <w:pStyle w:val="Heading2"/>
      </w:pPr>
      <w:r>
        <w:t>Alltagsmessung psychischer Symptome im älteren Alter: Machbarkeit und Prädiktoren</w:t>
      </w:r>
    </w:p>
    <w:p>
      <w:r>
        <w:rPr>
          <w:i/>
          <w:color w:val="666666"/>
          <w:sz w:val="18"/>
        </w:rPr>
        <w:t>Kang J et al.  ·  J Affect Disord  ·  01.01.2027  ·  PMID 42785391</w:t>
      </w:r>
    </w:p>
    <w:p>
      <w:r>
        <w:t>US-amerikanische Studie mit 64 älteren Erwachsenen (Durchschnittsalter 63,4 Jahre; 31 gesund, 33 mit Depression), die zweimal täglich über ~10 Wochen Symptome via Smartphone berichteten.</w:t>
      </w:r>
    </w:p>
    <w:p>
      <w:r>
        <w:rPr>
          <w:b/>
        </w:rPr>
        <w:t xml:space="preserve">Ergebnis: </w:t>
      </w:r>
      <w:r>
        <w:t>Gesamtausfallquote 76% (SD 22,1). Gesunde Teilnehmer zeigten höhere Compliance (81% vs. 71% bei Depression, p=0,04). Schnellere Antwortlatenz sagte höhere Adhärenz voraus. Rasche affektive Schwankungen am Anfang waren Prädiktoren niedriger Adhärenz. EMA ist mit Anpassungen im späteren Alter durchführbar.</w:t>
      </w:r>
    </w:p>
    <w:p>
      <w:r>
        <w:rPr>
          <w:b/>
          <w:sz w:val="19"/>
        </w:rPr>
        <w:t xml:space="preserve">Übertragbarkeit: </w:t>
      </w:r>
      <w:r>
        <w:rPr>
          <w:sz w:val="19"/>
        </w:rPr>
        <w:t>USA, Methode unabhängig von Gesundheitssystem, aber Adhärenz-Faktoren in älteren Erwachsenen noch wenig erforscht.</w:t>
      </w:r>
    </w:p>
    <w:p>
      <w:r>
        <w:rPr>
          <w:color w:val="5A7D3A"/>
          <w:sz w:val="18"/>
        </w:rPr>
        <w:t>https://pubmed.ncbi.nlm.nih.gov/42785391/</w:t>
      </w:r>
    </w:p>
    <w:p>
      <w:pPr>
        <w:pStyle w:val="Heading2"/>
      </w:pPr>
      <w:r>
        <w:t>Funktionsfähigkeit am Lebensende: Drei Verlaufsmuster in den letzten Lebensjahren</w:t>
      </w:r>
    </w:p>
    <w:p>
      <w:r>
        <w:rPr>
          <w:i/>
          <w:color w:val="666666"/>
          <w:sz w:val="18"/>
        </w:rPr>
        <w:t>Kyrönlahti S et al.  ·  J Gerontol A Biol Sci Med Sci  ·  06.10.2026  ·  PMID 42720597</w:t>
      </w:r>
    </w:p>
    <w:p>
      <w:r>
        <w:t>Schwedische Längsschnittstudie mit 2.294 älteren Menschen (62% Frauen, Durchschnittsalter 89,8 Jahre), die verfolgte, wie sich Alltagsfähigkeiten (ADL-Einschränkungen) zeitlich vor dem Tod entwickelten.</w:t>
      </w:r>
    </w:p>
    <w:p>
      <w:r>
        <w:rPr>
          <w:b/>
        </w:rPr>
        <w:t xml:space="preserve">Ergebnis: </w:t>
      </w:r>
      <w:r>
        <w:t>53% zeigten durchgehend niedrige ADL-Einschränkungen bis zum Tod, 36% einen flachen Anstieg und 11% einen steilen Anstieg. Frauen, niedriger gebildete Personen und älter Verstorbene hatten häufiger zunehmende Behinderung. Kognitives Defizit war mit steiler Verschlechterung assoziiert. Für die meisten blieb die funktionale Fähigkeit bis 2 Jahre vor dem Tod erhalten.</w:t>
      </w:r>
    </w:p>
    <w:p>
      <w:r>
        <w:rPr>
          <w:b/>
          <w:sz w:val="19"/>
        </w:rPr>
        <w:t xml:space="preserve">Übertragbarkeit: </w:t>
      </w:r>
      <w:r>
        <w:rPr>
          <w:sz w:val="19"/>
        </w:rPr>
        <w:t>Schwedische Daten, vergleichbare nordeuropäische Altersstruktur und Versorgungssystem.</w:t>
      </w:r>
    </w:p>
    <w:p>
      <w:r>
        <w:rPr>
          <w:color w:val="5A7D3A"/>
          <w:sz w:val="18"/>
        </w:rPr>
        <w:t>https://pubmed.ncbi.nlm.nih.gov/42720597/</w:t>
      </w:r>
    </w:p>
    <w:p>
      <w:pPr>
        <w:pStyle w:val="Heading1"/>
      </w:pPr>
      <w:r>
        <w:t>Aufgenommen am 16.10.2026</w:t>
      </w:r>
    </w:p>
    <w:p>
      <w:pPr>
        <w:pStyle w:val="Heading2"/>
      </w:pPr>
      <w:r>
        <w:t>Hörverfall in der Lebensmitte: Metabolische Gesundheit und Lärmexposition prägen Verlauf</w:t>
      </w:r>
    </w:p>
    <w:p>
      <w:r>
        <w:rPr>
          <w:i/>
          <w:color w:val="666666"/>
          <w:sz w:val="18"/>
        </w:rPr>
        <w:t>Smit AL et al.  ·  PLoS One  ·  15.10.2026  ·  PMID 42879410</w:t>
      </w:r>
    </w:p>
    <w:p>
      <w:r>
        <w:t>Sechsjährige Längsschnittstudie an 3.596 Mittelalten (Baseline 45–70 Jahre) in Australien untersucht, wie Stoffwechsel und Umweltfaktoren die Hörfähigkeit beeinflussen.</w:t>
      </w:r>
    </w:p>
    <w:p>
      <w:r>
        <w:rPr>
          <w:b/>
        </w:rPr>
        <w:t xml:space="preserve">Ergebnis: </w:t>
      </w:r>
      <w:r>
        <w:t>Hörschwellen verschlechterten sich über 6 Jahre; Prävalenz mild-oder-stärkerer Hörverlust stieg von 14 % auf 26 % (4FPTA) und 53 % auf 71 % (HFPTA). Größerer Verfall bei Männern und Hochfrequenzen. Signifikante Assoziationen: höheres Alter, männliches Geschlecht, höherer BMI, Rauchen, Tinnitus, chronische Ohrentzündung, Lärmexposition ohne Gehörschutz, Hypertonie und Prädiabetes. Befunde deuten auf komplexes Zusammenspiel metabolischer und Umweltfaktoren.</w:t>
      </w:r>
    </w:p>
    <w:p>
      <w:r>
        <w:rPr>
          <w:b/>
          <w:sz w:val="19"/>
        </w:rPr>
        <w:t xml:space="preserve">Übertragbarkeit: </w:t>
      </w:r>
      <w:r>
        <w:rPr>
          <w:sz w:val="19"/>
        </w:rPr>
        <w:t>Australien, vergleichbar Deutschland und Westeuropa; Gehörverlust in der Lebensmitte auch in Deutschland relevant.</w:t>
      </w:r>
    </w:p>
    <w:p>
      <w:r>
        <w:rPr>
          <w:color w:val="5A7D3A"/>
          <w:sz w:val="18"/>
        </w:rPr>
        <w:t>https://pubmed.ncbi.nlm.nih.gov/42879410/</w:t>
      </w:r>
    </w:p>
    <w:p>
      <w:pPr>
        <w:pStyle w:val="Heading2"/>
      </w:pPr>
      <w:r>
        <w:t>Frailty bei rheumatoider Arthritis: Häufig, prognostisch bedeutsam, teilweise modifizierbar</w:t>
      </w:r>
    </w:p>
    <w:p>
      <w:r>
        <w:rPr>
          <w:i/>
          <w:color w:val="666666"/>
          <w:sz w:val="18"/>
        </w:rPr>
        <w:t>Legge A et al.  ·  Curr Rheumatol Rep  ·  15.10.2026  ·  PMID 42878990</w:t>
      </w:r>
    </w:p>
    <w:p>
      <w:r>
        <w:t>Übersichtsarbeit zur Prävalenz, Messung und klinischen Bedeutung von Frailty bei rheumatoider Arthritis – ein häufiges Merkmal vorzeitigen Alterns.</w:t>
      </w:r>
    </w:p>
    <w:p>
      <w:r>
        <w:rPr>
          <w:b/>
        </w:rPr>
        <w:t xml:space="preserve">Ergebnis: </w:t>
      </w:r>
      <w:r>
        <w:t>Frailty betrifft etwa ein Drittel der RA-Patienten; Prävalenz variiert mit Messinstrument. Frailty konsistent assoziiert mit höherer Krankheitsaktivität, schlechterer körperlicher Funktion, Depression, Schmerz, reduzierter Lebensqualität und mehr Komorbiditäten. Längsschnittstudien zeigen: Frailty prädiktiv für Hospitalisierung, ernsthafte Infektionen, osteoporotische Frakturen, funktionellen Verfall, Wiederaufnahme und Mortalität – unabhängig von klassischen Risikofaktoren. Bidirektionale Beziehung zwischen Frailty und RA-Aktivität; RA-Kontrolle, Arzneimitteloptimierung und körperliche Aktivität können Frailty wahrscheinlich verbessern.</w:t>
      </w:r>
    </w:p>
    <w:p>
      <w:r>
        <w:rPr>
          <w:b/>
          <w:sz w:val="19"/>
        </w:rPr>
        <w:t xml:space="preserve">Übertragbarkeit: </w:t>
      </w:r>
      <w:r>
        <w:rPr>
          <w:sz w:val="19"/>
        </w:rPr>
        <w:t>Versorgungsfrage weltweit; Frailty-Assessment und -Interventionen universell anwendbar.</w:t>
      </w:r>
    </w:p>
    <w:p>
      <w:r>
        <w:rPr>
          <w:color w:val="5A7D3A"/>
          <w:sz w:val="18"/>
        </w:rPr>
        <w:t>https://pubmed.ncbi.nlm.nih.gov/42878990/</w:t>
      </w:r>
    </w:p>
    <w:p>
      <w:pPr>
        <w:pStyle w:val="Heading2"/>
      </w:pPr>
      <w:r>
        <w:t>Psychologische Folgen von Stürzen im Alter: internationale Konsensusdefinition</w:t>
      </w:r>
    </w:p>
    <w:p>
      <w:r>
        <w:rPr>
          <w:i/>
          <w:color w:val="666666"/>
          <w:sz w:val="18"/>
        </w:rPr>
        <w:t>Okrah AK et al.  ·  Age Ageing  ·  03.08.2026  ·  PMID 42878245</w:t>
      </w:r>
    </w:p>
    <w:p>
      <w:r>
        <w:t>Internationale Expertengruppe entwickelt erste formale Definition der psychologischen Schäden nach Stürzen älterer Menschen.</w:t>
      </w:r>
    </w:p>
    <w:p>
      <w:r>
        <w:rPr>
          <w:b/>
        </w:rPr>
        <w:t xml:space="preserve">Ergebnis: </w:t>
      </w:r>
      <w:r>
        <w:t>93 % (28/30) der Panel-Mitglieder bestätigten Bedarf für eine formale Definition. Konsensus erreicht in Runde 4 (n=48, 77,4%), stabilisiert in Runde 5 (n=49, 86,0%). Psychologische Sturzfolgen definiert als emotionale, verhaltensbezogene und psychische Konsequenzen nach Sturz oder Sturzangst, mit Beispielen Sturzsorge (89%) und Aktivitätsvermeidung (82%).</w:t>
      </w:r>
    </w:p>
    <w:p>
      <w:r>
        <w:rPr>
          <w:b/>
          <w:sz w:val="19"/>
        </w:rPr>
        <w:t xml:space="preserve">Übertragbarkeit: </w:t>
      </w:r>
      <w:r>
        <w:rPr>
          <w:sz w:val="19"/>
        </w:rPr>
        <w:t>UK, Australien, Deutschland – Sturzprävention ist universelle Versorgungsfrage.</w:t>
      </w:r>
    </w:p>
    <w:p>
      <w:r>
        <w:rPr>
          <w:color w:val="5A7D3A"/>
          <w:sz w:val="18"/>
        </w:rPr>
        <w:t>https://pubmed.ncbi.nlm.nih.gov/42878245/</w:t>
      </w:r>
    </w:p>
    <w:p>
      <w:pPr>
        <w:pStyle w:val="Heading2"/>
      </w:pPr>
      <w:r>
        <w:t>Soziale Teilhabe stärker mit gesundem Altern verbunden als einzelne Verhaltensweisen</w:t>
      </w:r>
    </w:p>
    <w:p>
      <w:r>
        <w:rPr>
          <w:i/>
          <w:color w:val="666666"/>
          <w:sz w:val="18"/>
        </w:rPr>
        <w:t>Sahab L et al.  ·  Front Public Health  ·  30.09.2026  ·  PMID 42876511</w:t>
      </w:r>
    </w:p>
    <w:p>
      <w:r>
        <w:t>Longitudinale Analyse von 9.748 älteren Amerikanern über 10 Jahre prüft, welche Faktoren mit Freiheit von Behinderung, kognitiver Intaktheit und hoher Funktionsfähigkeit im Alter assoziiert sind.</w:t>
      </w:r>
    </w:p>
    <w:p>
      <w:r>
        <w:rPr>
          <w:b/>
        </w:rPr>
        <w:t xml:space="preserve">Ergebnis: </w:t>
      </w:r>
      <w:r>
        <w:t>Soziale Teilhabe 2006 signifikant assoziiert mit gesundem Altern 2016 (Schätzer 0,09, 95%-KI 0,08–0,11). Körperliche Aktivität zeigte stärkste Assoziation (0,31, 95%-KI 0,29–0,33). Gesundes Altern 2010 prädiktiv für 2016 (0,46, 95%-KI 0,45–0,47). Soziale Teilhabe ist Schlüsselfaktor für Healthy Ageing neben etablierten Verhaltensweisen.</w:t>
      </w:r>
    </w:p>
    <w:p>
      <w:r>
        <w:rPr>
          <w:b/>
          <w:sz w:val="19"/>
        </w:rPr>
        <w:t xml:space="preserve">Übertragbarkeit: </w:t>
      </w:r>
      <w:r>
        <w:rPr>
          <w:sz w:val="19"/>
        </w:rPr>
        <w:t>USA, Datenbasis Health and Retirement Study – Sozialsystem unterscheidet sich; Kernbefund zu sozialer Teilhabe aber universell relevant.</w:t>
      </w:r>
    </w:p>
    <w:p>
      <w:r>
        <w:rPr>
          <w:color w:val="5A7D3A"/>
          <w:sz w:val="18"/>
        </w:rPr>
        <w:t>https://pubmed.ncbi.nlm.nih.gov/42876511/</w:t>
      </w:r>
    </w:p>
    <w:p>
      <w:pPr>
        <w:pStyle w:val="Heading2"/>
      </w:pPr>
      <w:r>
        <w:t>Frailty-Assessment in Alzheimer-Therapieentscheidungen: Expertenkonsens</w:t>
      </w:r>
    </w:p>
    <w:p>
      <w:r>
        <w:rPr>
          <w:i/>
          <w:color w:val="666666"/>
          <w:sz w:val="18"/>
        </w:rPr>
        <w:t>Bellelli G et al.  ·  J Prev Alzheimers Dis  ·  04.09.2026  ·  PMID 42697176</w:t>
      </w:r>
    </w:p>
    <w:p>
      <w:r>
        <w:t>Europäische und internationale Expertengruppe empfiehlt systematische Frailty-Bewertung bei Auswahl von Disease-modifying-Therapien im Alter.</w:t>
      </w:r>
    </w:p>
    <w:p>
      <w:r>
        <w:rPr>
          <w:b/>
        </w:rPr>
        <w:t xml:space="preserve">Ergebnis: </w:t>
      </w:r>
      <w:r>
        <w:t>Frailty betrifft etwa ein Drittel der Alzheimer-Patienten. Frailty ist assoziiert mit höherer Krankheitsaktivität, schlechterer Funktionsfähigkeit, mehr Depressionen, Schmerzen und Mortalität – unabhängig von klassischen Risikofaktoren. Empfehlung: regelmäßiges Frailty-Assessment in Klinik und Studien; Arzneimitteloptimierung und körperliche Aktivität können Frailty möglicherweise verbessern.</w:t>
      </w:r>
    </w:p>
    <w:p>
      <w:r>
        <w:rPr>
          <w:b/>
          <w:sz w:val="19"/>
        </w:rPr>
        <w:t xml:space="preserve">Übertragbarkeit: </w:t>
      </w:r>
      <w:r>
        <w:rPr>
          <w:sz w:val="19"/>
        </w:rPr>
        <w:t>Europäische Versorgungssysteme (Italien, UK, Frankreich, Schweiz, Skandinavien, Irland); direkt auf deutsches Setting übertragbar.</w:t>
      </w:r>
    </w:p>
    <w:p>
      <w:r>
        <w:rPr>
          <w:color w:val="5A7D3A"/>
          <w:sz w:val="18"/>
        </w:rPr>
        <w:t>https://pubmed.ncbi.nlm.nih.gov/42697176/</w:t>
      </w:r>
    </w:p>
    <w:p>
      <w:pPr>
        <w:pStyle w:val="Heading2"/>
      </w:pPr>
      <w:r>
        <w:t>Kognitiver Abbau beginnt bereits in den 30ern: Längsschnittpool aus drei Kontinenten</w:t>
      </w:r>
    </w:p>
    <w:p>
      <w:r>
        <w:rPr>
          <w:i/>
          <w:color w:val="666666"/>
          <w:sz w:val="18"/>
        </w:rPr>
        <w:t>Novotný JS et al.  ·  J Prev Alzheimers Dis  ·  07.08.2026  ·  PMID 42566820</w:t>
      </w:r>
    </w:p>
    <w:p>
      <w:r>
        <w:t>Gepoolte Längsschnittstudie mit 14.389 Erwachsenen aus China, USA und Tschechien identifiziert Alter des Beginns messbarer kognitiver Abnahme und ihre Trajektorien.</w:t>
      </w:r>
    </w:p>
    <w:p>
      <w:r>
        <w:rPr>
          <w:b/>
        </w:rPr>
        <w:t xml:space="preserve">Ergebnis: </w:t>
      </w:r>
      <w:r>
        <w:t>Messbarer kognitiver Abbau erste Mal in der Altersgruppe 31–40 Jahre erkannt (durchschnittliche Änderung −1,2 Punkte, 95%-KI −2,1 bis −0,3). Abnahmemagnitude stieg progressiv mit Alter, erreichte −11,4 Punkte in ältesten Gruppe (alle p&lt;0,001). Nicht-Gedächtnisdomänen zeigten frühere Anfälligkeit (ab 31 Jahre), signifikanter Gedächtnisabbau erst nach 50. Individuelle Trajektorien zeigen hohe Heterogenität; chronologisches Alter ist kein deterministischer Proxy für Abbau. Befunde unterstützen Lebenskurs-Ansätze zur Gehirngesundheit.</w:t>
      </w:r>
    </w:p>
    <w:p>
      <w:r>
        <w:rPr>
          <w:b/>
          <w:sz w:val="19"/>
        </w:rPr>
        <w:t xml:space="preserve">Übertragbarkeit: </w:t>
      </w:r>
      <w:r>
        <w:rPr>
          <w:sz w:val="19"/>
        </w:rPr>
        <w:t>Asien, Nordamerika, Europa – Datenkohärenz über drei Kontinente; universell für frühe Überwachung relevant.</w:t>
      </w:r>
    </w:p>
    <w:p>
      <w:r>
        <w:rPr>
          <w:color w:val="5A7D3A"/>
          <w:sz w:val="18"/>
        </w:rPr>
        <w:t>https://pubmed.ncbi.nlm.nih.gov/42566820/</w:t>
      </w:r>
    </w:p>
    <w:p>
      <w:pPr>
        <w:pStyle w:val="Heading1"/>
      </w:pPr>
      <w:r>
        <w:t>Aufgenommen am 15.10.2026</w:t>
      </w:r>
    </w:p>
    <w:p>
      <w:pPr>
        <w:pStyle w:val="Heading2"/>
      </w:pPr>
      <w:r>
        <w:t>Blutmetaboliten als Sterblichkeitsuhr: Beschleunigte Metabolomic-Alterung erhöht Mortalität um 60%</w:t>
      </w:r>
    </w:p>
    <w:p>
      <w:r>
        <w:rPr>
          <w:i/>
          <w:color w:val="666666"/>
          <w:sz w:val="18"/>
        </w:rPr>
        <w:t>Cao L et al.  ·  Sci Transl Med  ·  14.10.2026  ·  PMID 42873893</w:t>
      </w:r>
    </w:p>
    <w:p>
      <w:r>
        <w:t>Entwicklung von Metabolomic-Alterungsuhr (mAA) und Mortalitäts-Metrik (Age Deviation) an 18.476 Chinesen (Alter 1–96 Jahre) mittels Plasma-Metabolom-Profiling über 6 Jahre Nachbeobachtung (2019–2025).</w:t>
      </w:r>
    </w:p>
    <w:p>
      <w:r>
        <w:rPr>
          <w:b/>
        </w:rPr>
        <w:t xml:space="preserve">Ergebnis: </w:t>
      </w:r>
      <w:r>
        <w:t>56 altersassoziierte Metabolite wurden identifiziert. Höhere mAA war assoziiert mit Gesundheitsverschlechterung, ungünstigen Lebensstilen und erhöhtem Risiko für chronische Erkrankungen (Fettleber, Hypertonie, Diabetes) sowie All-Cause-Mortalität während Follow-up. Age Deviation (Abweichung vom alterserwarteten Mortalitätsrisiko) korrelierte mit etablierten Gesundheitsmessgrößen und Multimorbidität. Plasma-Metabolomic-Profile könnten als skalierbare, lebensumfassende Methode zur Risikoschichtung verwendet werden.</w:t>
      </w:r>
    </w:p>
    <w:p>
      <w:r>
        <w:rPr>
          <w:b/>
          <w:sz w:val="19"/>
        </w:rPr>
        <w:t xml:space="preserve">Übertragbarkeit: </w:t>
      </w:r>
      <w:r>
        <w:rPr>
          <w:sz w:val="19"/>
        </w:rPr>
        <w:t>China; Metabolomic-Biomarker erfordern Validierung in europäischen Kohorten</w:t>
      </w:r>
    </w:p>
    <w:p>
      <w:r>
        <w:rPr>
          <w:color w:val="5A7D3A"/>
          <w:sz w:val="18"/>
        </w:rPr>
        <w:t>https://pubmed.ncbi.nlm.nih.gov/42873893/</w:t>
      </w:r>
    </w:p>
    <w:p>
      <w:pPr>
        <w:pStyle w:val="Heading2"/>
      </w:pPr>
      <w:r>
        <w:t>Frailty und Hypoalbuminämie als Prädiktoren für Funktionsverlust nach Schlaganfall</w:t>
      </w:r>
    </w:p>
    <w:p>
      <w:r>
        <w:rPr>
          <w:i/>
          <w:color w:val="666666"/>
          <w:sz w:val="18"/>
        </w:rPr>
        <w:t>Yang J et al.  ·  Nurs Open  ·  Okt. 2026  ·  PMID 42872623</w:t>
      </w:r>
    </w:p>
    <w:p>
      <w:r>
        <w:t>Prospektive Kohortenstudie an 175 Schlaganfallpatienten, die untersuchte, ob Hypoalbuminämie die Beziehung zwischen Gebrechlichkeit und schlechtem funktionellem Outcome vermittelt.</w:t>
      </w:r>
    </w:p>
    <w:p>
      <w:r>
        <w:rPr>
          <w:b/>
        </w:rPr>
        <w:t xml:space="preserve">Ergebnis: </w:t>
      </w:r>
      <w:r>
        <w:t>Von 175 Patienten waren 29,7% gebrechlich und 36,6% entwickelten Hypoalbuminämie. Gebrechlichkeit war assoziiert mit schlechtem Outcome (mRS &gt;3) bei Entlassung (RR 1,56; 95% KI 1,12–2,16), nach 30 Tagen (RR 2,02; 95% KI 1,41–2,89) und nach 90 Tagen (RR 2,79; 95% KI 1,81–4,30). Hypoalbuminämie vermittelte diese Assoziation teilweise mit Anteilen von 22,2% (Entlassung), 16,9% (30 Tage) und 14,0% (90 Tage). Das Frailty-Screening und Albuminmonitoring können frühe Risikostratifizierung ermöglichen.</w:t>
      </w:r>
    </w:p>
    <w:p>
      <w:r>
        <w:rPr>
          <w:b/>
          <w:sz w:val="19"/>
        </w:rPr>
        <w:t xml:space="preserve">Übertragbarkeit: </w:t>
      </w:r>
      <w:r>
        <w:rPr>
          <w:sz w:val="19"/>
        </w:rPr>
        <w:t>China-Daten, aber Frailty-Assessment und Ernährungsmonitoring sind universal anwendbar</w:t>
      </w:r>
    </w:p>
    <w:p>
      <w:r>
        <w:rPr>
          <w:color w:val="5A7D3A"/>
          <w:sz w:val="18"/>
        </w:rPr>
        <w:t>https://pubmed.ncbi.nlm.nih.gov/42872623/</w:t>
      </w:r>
    </w:p>
    <w:p>
      <w:pPr>
        <w:pStyle w:val="Heading2"/>
      </w:pPr>
      <w:r>
        <w:t>Neurotoxische Berufsexpositionen beschleunigen Gehirnalterung: Scoping Review zu Kognitiver Reserve</w:t>
      </w:r>
    </w:p>
    <w:p>
      <w:r>
        <w:rPr>
          <w:i/>
          <w:color w:val="666666"/>
          <w:sz w:val="18"/>
        </w:rPr>
        <w:t>Leton N et al.  ·  Front Public Health  ·  29.09.2026  ·  PMID 42871458</w:t>
      </w:r>
    </w:p>
    <w:p>
      <w:r>
        <w:t>Systematische Scoping Review (16 Studien, 2011–2026) zur Assoziation beruflicher Neurotoxinexpositionen (Blei, Aluminium, Lösungsmittel) mit kognitiven Defiziten und Gehirnalterung.</w:t>
      </w:r>
    </w:p>
    <w:p>
      <w:r>
        <w:rPr>
          <w:b/>
        </w:rPr>
        <w:t xml:space="preserve">Ergebnis: </w:t>
      </w:r>
      <w:r>
        <w:t>Studien zeigten durchgehend Assoziationen zwischen Exposition (Blei, Lösungsmittel, Verbrennungsprodukte) und kognitiven oder neurologischen Defiziten relevant für Gehirnalterung. Häufigste Outcomes: Kognitive Abnahme/Beeinträchtigung; Neuroimaging-Befunde: funktionelle Konnektivität, Weiße-Substanz-Veränderungen, kortikale Dicke und Hirnvolumenreduktion. Kognitive Reserve wurde inkonsistent operationalisiert (Bildung, biologische Anfälligkeit, Neuroimaging-Marker). China war am häufigsten vertreten, Evidenz aus anderen ressourcenlimitierten Regionen begrenzt.</w:t>
      </w:r>
    </w:p>
    <w:p>
      <w:r>
        <w:rPr>
          <w:b/>
          <w:sz w:val="19"/>
        </w:rPr>
        <w:t xml:space="preserve">Übertragbarkeit: </w:t>
      </w:r>
      <w:r>
        <w:rPr>
          <w:sz w:val="19"/>
        </w:rPr>
        <w:t>Internationale Berufsgesundheit; Deutschland mit vergleichbarer Expositionserfassung</w:t>
      </w:r>
    </w:p>
    <w:p>
      <w:r>
        <w:rPr>
          <w:color w:val="5A7D3A"/>
          <w:sz w:val="18"/>
        </w:rPr>
        <w:t>https://pubmed.ncbi.nlm.nih.gov/42871458/</w:t>
      </w:r>
    </w:p>
    <w:p>
      <w:pPr>
        <w:pStyle w:val="Heading2"/>
      </w:pPr>
      <w:r>
        <w:t>Altersstigma fördert Depression im Alter: Soziale Unterstützung als Schutzfaktor</w:t>
      </w:r>
    </w:p>
    <w:p>
      <w:r>
        <w:rPr>
          <w:i/>
          <w:color w:val="666666"/>
          <w:sz w:val="18"/>
        </w:rPr>
        <w:t>Karasoy G et al.  ·  Psychogeriatrics  ·  Nov. 2026  ·  PMID 42870687</w:t>
      </w:r>
    </w:p>
    <w:p>
      <w:r>
        <w:t>Querschnittstudie an 162 Personen ab 65 Jahren zur Assoziation von internalisiertem Altersstigma und wahrgenommener sozialer Unterstützung mit depressiven Symptomen.</w:t>
      </w:r>
    </w:p>
    <w:p>
      <w:r>
        <w:rPr>
          <w:b/>
        </w:rPr>
        <w:t xml:space="preserve">Ergebnis: </w:t>
      </w:r>
      <w:r>
        <w:t>Höheres Altersstigma war assoziiert mit höheren depressiven Symptomen (β=0,205; 95% KI 0,099–0,311), höhere soziale Unterstützung mit niedrigeren Symptomen (β=−0,506; 95% KI −0,636 bis −0,375). Die Interaktion war signifikant (B=−0,002; 95% KI −0,003 bis −0,001; p&lt;0,001): Altersstigma war nur bei niedriger bis mittlerer sozialer Unterstützung mit Depression assoziiert, nicht bei hoher Unterstützung. Soziale Ressourcen puffern den negativen Effekt von Altersstereotypen.</w:t>
      </w:r>
    </w:p>
    <w:p>
      <w:r>
        <w:rPr>
          <w:b/>
          <w:sz w:val="19"/>
        </w:rPr>
        <w:t xml:space="preserve">Übertragbarkeit: </w:t>
      </w:r>
      <w:r>
        <w:rPr>
          <w:sz w:val="19"/>
        </w:rPr>
        <w:t>Türkei; Psychosoziale Mechanismen universal, aber Sozialversicherung unterschiedlich</w:t>
      </w:r>
    </w:p>
    <w:p>
      <w:r>
        <w:rPr>
          <w:color w:val="5A7D3A"/>
          <w:sz w:val="18"/>
        </w:rPr>
        <w:t>https://pubmed.ncbi.nlm.nih.gov/42870687/</w:t>
      </w:r>
    </w:p>
    <w:p>
      <w:pPr>
        <w:pStyle w:val="Heading2"/>
      </w:pPr>
      <w:r>
        <w:t>Sozioräumliche Ungleichheit und vorzeitige Alterung: Schwarze Amerikaner mit 5- bis 6-fach höherer Exposition</w:t>
      </w:r>
    </w:p>
    <w:p>
      <w:r>
        <w:rPr>
          <w:i/>
          <w:color w:val="666666"/>
          <w:sz w:val="18"/>
        </w:rPr>
        <w:t>Martin CL et al.  ·  J Gerontol B Psychol Sci Soc Sci  ·  01.10.2026  ·  PMID 42837511</w:t>
      </w:r>
    </w:p>
    <w:p>
      <w:r>
        <w:t>Analyse der National Longitudinal Study of Adolescent to Adult Health (Add Health), die umfangreiche, zeitvariable sozioräumliche Indikatoren (Wohnen, Justiz, Gewalt, Wirtschaft) mit geografischen Ebenen verknüpfte, um Altersungleichheiten vom Jugendalter (12–20 Jahre) bis ins frühe mittlere Alter (33–42 Jahre) zu dokumentieren.</w:t>
      </w:r>
    </w:p>
    <w:p>
      <w:r>
        <w:rPr>
          <w:b/>
        </w:rPr>
        <w:t xml:space="preserve">Ergebnis: </w:t>
      </w:r>
      <w:r>
        <w:t>Erhebliche und persistente Black-White-Disparitäten über alle Bereiche hinweg: Schwarze Befragte lebten signifikant häufiger in Counties mit höherer Zwangsräumungsquote, ökonomischer Segregation, höherer Haftquote und mehr Hate-Crime-Vorfällen. Schwarze Befragte lebten zudem in Bundesstaaten mit höherer historischer Lynchjustiz-Gewalt. Diese Messungen ermöglichen die Identifikation von Life-Course-Pfaden gesundheitlicher Ungleichheit.</w:t>
      </w:r>
    </w:p>
    <w:p>
      <w:r>
        <w:rPr>
          <w:b/>
          <w:sz w:val="19"/>
        </w:rPr>
        <w:t xml:space="preserve">Übertragbarkeit: </w:t>
      </w:r>
      <w:r>
        <w:rPr>
          <w:sz w:val="19"/>
        </w:rPr>
        <w:t>USA-Studie; Konzept der strukturellen Determinanten auf DACH übertragbar, aber Ausprägung völlig anders</w:t>
      </w:r>
    </w:p>
    <w:p>
      <w:r>
        <w:rPr>
          <w:color w:val="5A7D3A"/>
          <w:sz w:val="18"/>
        </w:rPr>
        <w:t>https://pubmed.ncbi.nlm.nih.gov/42837511/</w:t>
      </w:r>
    </w:p>
    <w:p>
      <w:pPr>
        <w:pStyle w:val="Heading2"/>
      </w:pPr>
      <w:r>
        <w:t>Geschlechtsspezifische Osteoporose-Progression: Knochendichteverlust ab 56 Jahren bei Männern, ab 64 Jahren bei Frauen</w:t>
      </w:r>
    </w:p>
    <w:p>
      <w:r>
        <w:rPr>
          <w:i/>
          <w:color w:val="666666"/>
          <w:sz w:val="18"/>
        </w:rPr>
        <w:t>Schröder G et al.  ·  PLoS One  ·  28.09.2026  ·  PMID 42804446</w:t>
      </w:r>
    </w:p>
    <w:p>
      <w:r>
        <w:t>Retrospektive Analyse von 71 CT-Aufnahmen der Wirbelsäule (C3–L5, Alter 4–102 Jahre) zur Quantifizierung altersbezogener Knochendichteverluste.</w:t>
      </w:r>
    </w:p>
    <w:p>
      <w:r>
        <w:rPr>
          <w:b/>
        </w:rPr>
        <w:t xml:space="preserve">Ergebnis: </w:t>
      </w:r>
      <w:r>
        <w:t>Hounsfield-Einheiten (HU) nahmen mit dem Alter ab (p&lt;0,001), mit ausgeprägtem Rückgang nach dem 60. Lebensjahr. Regressionsanalysen zeigten zwei Phasen des Dichteverlusts: bei Frauen später eintretend (nach 64 Jahren) als bei Männern (nach 56 Jahren, p&lt;0,001). HU-Werte korrelierten mit Knochenmineraldichte (r=0,86; 95% KI 0,72–0,94) und Knochenvolumenanteil (r=0,51; 95% KI 0,17–0,75). Ergebnisse unterstreichen Bedarf für geschlechtsspezifische Osteoporose-Prävention.</w:t>
      </w:r>
    </w:p>
    <w:p>
      <w:r>
        <w:rPr>
          <w:b/>
          <w:sz w:val="19"/>
        </w:rPr>
        <w:t xml:space="preserve">Übertragbarkeit: </w:t>
      </w:r>
      <w:r>
        <w:rPr>
          <w:sz w:val="19"/>
        </w:rPr>
        <w:t>Deutsche Kliniken mit CT-Daten vergleichbar; Altersgradienten international übertragbar</w:t>
      </w:r>
    </w:p>
    <w:p>
      <w:r>
        <w:rPr>
          <w:color w:val="5A7D3A"/>
          <w:sz w:val="18"/>
        </w:rPr>
        <w:t>https://pubmed.ncbi.nlm.nih.gov/42804446/</w:t>
      </w:r>
    </w:p>
    <w:p>
      <w:pPr>
        <w:pStyle w:val="Heading1"/>
      </w:pPr>
      <w:r>
        <w:t>Aufgenommen am 14.10.2026</w:t>
      </w:r>
    </w:p>
    <w:p>
      <w:pPr>
        <w:pStyle w:val="Heading2"/>
      </w:pPr>
      <w:r>
        <w:t>Schlafqualität als Vermittler zwischen Frailty und kognitiver Beeinträchtigung</w:t>
      </w:r>
    </w:p>
    <w:p>
      <w:r>
        <w:rPr>
          <w:i/>
          <w:color w:val="666666"/>
          <w:sz w:val="18"/>
        </w:rPr>
        <w:t>Chen L et al.  ·  Nurs Open  ·  Okt. 2026  ·  PMID 42868268</w:t>
      </w:r>
    </w:p>
    <w:p>
      <w:r>
        <w:t>Querschnittstudie an 2.830 Personen ab 60 Jahren in China untersuchte, ob Schlafqualität die Beziehung zwischen körperlicher Gebrechlichkeit (Frailty) und kognitiver Beeinträchtigung erklärt.</w:t>
      </w:r>
    </w:p>
    <w:p>
      <w:r>
        <w:rPr>
          <w:b/>
        </w:rPr>
        <w:t xml:space="preserve">Ergebnis: </w:t>
      </w:r>
      <w:r>
        <w:t>Kognitive Beeinträchtigung lag bei 21,77% vor. Schlafqualität vermittelte partiell die Beziehung zwischen Frailty und kognitiver Beeinträchtigung und erklärte 12,37 % des Gesamteffekts. Bessere Schlafqualität senkte signifikant das Risiko für kognitiven Verfall bei gebrechlichen älteren Menschen.</w:t>
      </w:r>
    </w:p>
    <w:p>
      <w:r>
        <w:rPr>
          <w:b/>
          <w:sz w:val="19"/>
        </w:rPr>
        <w:t xml:space="preserve">Übertragbarkeit: </w:t>
      </w:r>
      <w:r>
        <w:rPr>
          <w:sz w:val="19"/>
        </w:rPr>
        <w:t>China, aber Frailty-Screening und Schlafintervention sind geriatrischer Standard überall.</w:t>
      </w:r>
    </w:p>
    <w:p>
      <w:r>
        <w:rPr>
          <w:color w:val="5A7D3A"/>
          <w:sz w:val="18"/>
        </w:rPr>
        <w:t>https://pubmed.ncbi.nlm.nih.gov/42868268/</w:t>
      </w:r>
    </w:p>
    <w:p>
      <w:pPr>
        <w:pStyle w:val="Heading2"/>
      </w:pPr>
      <w:r>
        <w:t>Strukturelles Training und kognitive Aktivitäten verlängern demenzfreie Lebensjahre</w:t>
      </w:r>
    </w:p>
    <w:p>
      <w:r>
        <w:rPr>
          <w:i/>
          <w:color w:val="666666"/>
          <w:sz w:val="18"/>
        </w:rPr>
        <w:t>Li X et al.  ·  Alzheimers Dement  ·  Okt. 2026  ·  PMID 42867075</w:t>
      </w:r>
    </w:p>
    <w:p>
      <w:r>
        <w:t>Vierjährige prospektive Kohortenstudie (vier internationale Kohorten) untersuchte, wie körperliche Aktivität und kognitiv-soziale Aktivitäten zusammenhängen und die demenzfreie Lebenserwartung ab 50 Jahren beeinflussen.</w:t>
      </w:r>
    </w:p>
    <w:p>
      <w:r>
        <w:rPr>
          <w:b/>
        </w:rPr>
        <w:t xml:space="preserve">Ergebnis: </w:t>
      </w:r>
      <w:r>
        <w:t>Demenzfreie Lebenserwartung ab 50 Jahren betrug 17,5 Jahre (niedrig-niedrig), 23,2 Jahre (hoch-niedrig), 20,1 Jahre (niedrig-hoch) und 24,7 Jahre (hoch-hoch). Strukturelles Training und kognitiv-soziale Aktivitäten zeigten kombinierte, nicht austauschbare Vorteile – beide Faktoren sind erforderlich für optimale kognitive Alterung.</w:t>
      </w:r>
    </w:p>
    <w:p>
      <w:r>
        <w:rPr>
          <w:b/>
          <w:sz w:val="19"/>
        </w:rPr>
        <w:t xml:space="preserve">Übertragbarkeit: </w:t>
      </w:r>
      <w:r>
        <w:rPr>
          <w:sz w:val="19"/>
        </w:rPr>
        <w:t>Vier Kohorten aus Asien, Nordamerika, Europa; Befunde gelten kulturübergreifend.</w:t>
      </w:r>
    </w:p>
    <w:p>
      <w:r>
        <w:rPr>
          <w:color w:val="5A7D3A"/>
          <w:sz w:val="18"/>
        </w:rPr>
        <w:t>https://pubmed.ncbi.nlm.nih.gov/42867075/</w:t>
      </w:r>
    </w:p>
    <w:p>
      <w:pPr>
        <w:pStyle w:val="Heading2"/>
      </w:pPr>
      <w:r>
        <w:t>Soziale Unterstützung mildert Frailty-Effekte auf Kognition im Krankenhaus</w:t>
      </w:r>
    </w:p>
    <w:p>
      <w:r>
        <w:rPr>
          <w:i/>
          <w:color w:val="666666"/>
          <w:sz w:val="18"/>
        </w:rPr>
        <w:t>Dai J et al.  ·  Front Public Health  ·  28.09.2026  ·  PMID 42865808</w:t>
      </w:r>
    </w:p>
    <w:p>
      <w:r>
        <w:t>Querschnittstudie an 1.611 hospitalisierten Personen ≥60 Jahren untersuchte, wie Frailty auf Kognition wirkt und ob soziale Unterstützung diese Beziehung puffert.</w:t>
      </w:r>
    </w:p>
    <w:p>
      <w:r>
        <w:rPr>
          <w:b/>
        </w:rPr>
        <w:t xml:space="preserve">Ergebnis: </w:t>
      </w:r>
      <w:r>
        <w:t>Der Gesamteffekt von Frailty auf niedrigere kognitive Scores war statistisch nicht signifikant (p&gt;0,05), aber der indirekte Effekt über Depressionen und eingeschränkte Alltagsfunktionen erklärte 88,8 % der Assoziation. Soziale Unterstützung moderierte den Frailty-BADL-Link (B=0,120, p&lt;0,001) und den GDS-MMSE-Link (B=0,014, p=0,004) signifikant.</w:t>
      </w:r>
    </w:p>
    <w:p>
      <w:r>
        <w:rPr>
          <w:b/>
          <w:sz w:val="19"/>
        </w:rPr>
        <w:t xml:space="preserve">Übertragbarkeit: </w:t>
      </w:r>
      <w:r>
        <w:rPr>
          <w:sz w:val="19"/>
        </w:rPr>
        <w:t>China; Versorgungsmodell mit geriatrischem Assessment in Kliniken vergleichbar.</w:t>
      </w:r>
    </w:p>
    <w:p>
      <w:r>
        <w:rPr>
          <w:color w:val="5A7D3A"/>
          <w:sz w:val="18"/>
        </w:rPr>
        <w:t>https://pubmed.ncbi.nlm.nih.gov/42865808/</w:t>
      </w:r>
    </w:p>
    <w:p>
      <w:pPr>
        <w:pStyle w:val="Heading2"/>
      </w:pPr>
      <w:r>
        <w:t>Schmerz vorhersagt Frailty-Entstehung bei Fettlebererkrankung deutlich</w:t>
      </w:r>
    </w:p>
    <w:p>
      <w:r>
        <w:rPr>
          <w:i/>
          <w:color w:val="666666"/>
          <w:sz w:val="18"/>
        </w:rPr>
        <w:t>Hu H et al.  ·  Front Endocrinol (Lausanne)  ·  28.09.2026  ·  PMID 42865368</w:t>
      </w:r>
    </w:p>
    <w:p>
      <w:r>
        <w:t>Prospektive Kohortenstudie mit 3.622 CHARLS- und 2.059 ELSA-Teilnehmern (7–8 Jahre Follow-up) untersuchte, ob Schmerz ein stärkerer Prädiktor für Frailty-Neuauftreten ist als andere Faktoren und ob Depressionen die Wirkung vermitteln.</w:t>
      </w:r>
    </w:p>
    <w:p>
      <w:r>
        <w:rPr>
          <w:b/>
        </w:rPr>
        <w:t xml:space="preserve">Ergebnis: </w:t>
      </w:r>
      <w:r>
        <w:t>Schmerz war der stärkste Prädiktor für neue Frailty. Nach vollständiger Anpassung (mit Basis-Frailty-Index) zeigte Schmerz in CHARLS HR 1,219 (95%-CI 1,085–1,368) und in ELSA HR 1,310 (95%-CI 1,114–1,539). Die Bevölkerungsattributable Fraktion betrug 8,01 % (CHARLS) und 11,98 % (ELSA). Depressionen vermittelten 74,0 % (CHARLS) und 46,1 % (ELSA) des Gesamteffekts.</w:t>
      </w:r>
    </w:p>
    <w:p>
      <w:r>
        <w:rPr>
          <w:b/>
          <w:sz w:val="19"/>
        </w:rPr>
        <w:t xml:space="preserve">Übertragbarkeit: </w:t>
      </w:r>
      <w:r>
        <w:rPr>
          <w:sz w:val="19"/>
        </w:rPr>
        <w:t>China (CHARLS) und Großbritannien (ELSA); externe Validierung erhöht Übertragbarkeit.</w:t>
      </w:r>
    </w:p>
    <w:p>
      <w:r>
        <w:rPr>
          <w:color w:val="5A7D3A"/>
          <w:sz w:val="18"/>
        </w:rPr>
        <w:t>https://pubmed.ncbi.nlm.nih.gov/42865368/</w:t>
      </w:r>
    </w:p>
    <w:p>
      <w:pPr>
        <w:pStyle w:val="Heading2"/>
      </w:pPr>
      <w:r>
        <w:t>Chronische Einsamkeit verschlechtert Gesundheit und Funktionsfähigkeit älterer Menschen</w:t>
      </w:r>
    </w:p>
    <w:p>
      <w:r>
        <w:rPr>
          <w:i/>
          <w:color w:val="666666"/>
          <w:sz w:val="18"/>
        </w:rPr>
        <w:t>Ma Y et al.  ·  Nat Commun  ·  11.09.2026  ·  PMID 42864355</w:t>
      </w:r>
    </w:p>
    <w:p>
      <w:r>
        <w:t>Längsschnittstudie an 4.090 älteren Personen aus der English Longitudinal Study of Ageing untersuchte, wie chronische Einsamkeit und soziale Isolation mit 17 Gesundheitsergebnissen zusammenhängen.</w:t>
      </w:r>
    </w:p>
    <w:p>
      <w:r>
        <w:rPr>
          <w:b/>
        </w:rPr>
        <w:t xml:space="preserve">Ergebnis: </w:t>
      </w:r>
      <w:r>
        <w:t>Chronische Einsamkeit war mit schlechterer allgemeiner Gesundheit, reduzierter Funktionsfähigkeit und beeinträchtigtem psychischem Wohlbefinden sowie mehr gesundheitsschädlichen Verhaltensweisen assoziiert. Chronische Isolation und Isolationsbeginn waren mit niedrigerer Lebensqualität verbunden; Isolationsremission zeigte positive Effekte auf Wohlbefinden und Kognition gegenüber persistierender Isolation.</w:t>
      </w:r>
    </w:p>
    <w:p>
      <w:r>
        <w:rPr>
          <w:b/>
          <w:sz w:val="19"/>
        </w:rPr>
        <w:t xml:space="preserve">Übertragbarkeit: </w:t>
      </w:r>
      <w:r>
        <w:rPr>
          <w:sz w:val="19"/>
        </w:rPr>
        <w:t>England; europäisches Versorgungssystem, vergleichbares Gesundheitswesen und Sozialstrukturen.</w:t>
      </w:r>
    </w:p>
    <w:p>
      <w:r>
        <w:rPr>
          <w:color w:val="5A7D3A"/>
          <w:sz w:val="18"/>
        </w:rPr>
        <w:t>https://pubmed.ncbi.nlm.nih.gov/42864355/</w:t>
      </w:r>
    </w:p>
    <w:p>
      <w:pPr>
        <w:pStyle w:val="Heading2"/>
      </w:pPr>
      <w:r>
        <w:t>Neue nationale Studie zeigt erhebliche Gesundheitsdefizite bei US-Midlife-Adulten</w:t>
      </w:r>
    </w:p>
    <w:p>
      <w:r>
        <w:rPr>
          <w:i/>
          <w:color w:val="666666"/>
          <w:sz w:val="18"/>
        </w:rPr>
        <w:t>Hummer RA et al.  ·  J Gerontol B Psychol Sci Soc Sci  ·  01.10.2026  ·  PMID 42837512</w:t>
      </w:r>
    </w:p>
    <w:p>
      <w:r>
        <w:t>Wave VI der National Longitudinal Study of Adolescent to Adult Health (Add Health) beschreibt Gesundheit und biologische Aging-Marker an 11.979 Personen durchschnittlich 44 Jahre alt und dokumentiert erhebliche Unterschiede nach Rasse, Ethnizität und Bildung.</w:t>
      </w:r>
    </w:p>
    <w:p>
      <w:r>
        <w:rPr>
          <w:b/>
        </w:rPr>
        <w:t xml:space="preserve">Ergebnis: </w:t>
      </w:r>
      <w:r>
        <w:t>Von 11.979 befragten Personen hatten 49,9 % BMI ≥30 kg/m², 17 % berichteten aktuelle Depression. Breite Disparitäten bestanden in allen bewerteten Gesundheitsergebnissen nach Rasse/Ethnizität und Bildung. Wave VI lieferte 11.979 Umfragen, 6.073 Hausuntersuchungen und tausende kontextuelle und biologische Variablen für Lebensverlauf-Forschung.</w:t>
      </w:r>
    </w:p>
    <w:p>
      <w:r>
        <w:rPr>
          <w:b/>
          <w:sz w:val="19"/>
        </w:rPr>
        <w:t xml:space="preserve">Übertragbarkeit: </w:t>
      </w:r>
      <w:r>
        <w:rPr>
          <w:sz w:val="19"/>
        </w:rPr>
        <w:t>USA; Aussagen zu sozialen Unterschieden in Gesundheit übertragbar, Finanzierungssystem grundlegend anders.</w:t>
      </w:r>
    </w:p>
    <w:p>
      <w:r>
        <w:rPr>
          <w:color w:val="5A7D3A"/>
          <w:sz w:val="18"/>
        </w:rPr>
        <w:t>https://pubmed.ncbi.nlm.nih.gov/42837512/</w:t>
      </w:r>
    </w:p>
    <w:p>
      <w:pPr>
        <w:pStyle w:val="Heading1"/>
      </w:pPr>
      <w:r>
        <w:t>Aufgenommen am 13.10.2026</w:t>
      </w:r>
    </w:p>
    <w:p>
      <w:pPr>
        <w:pStyle w:val="Heading2"/>
      </w:pPr>
      <w:r>
        <w:t>Muskelabbau im Alter: Sozioökonomie, Ernährung und körperliche Aktivität beeinflussen Muskelmasse über 17 Jahre</w:t>
      </w:r>
    </w:p>
    <w:p>
      <w:r>
        <w:rPr>
          <w:i/>
          <w:color w:val="666666"/>
          <w:sz w:val="18"/>
        </w:rPr>
        <w:t>Suleiman A et al.  ·  Australas J Ageing  ·  Dez. 2026  ·  PMID 42861734</w:t>
      </w:r>
    </w:p>
    <w:p>
      <w:r>
        <w:t>Eine 17-jährige prospektive Kohortenstudie mit 3033 Teilnehmern identifizierte Faktoren, die die Muskelmasse im Alter beeinflussen.</w:t>
      </w:r>
    </w:p>
    <w:p>
      <w:r>
        <w:rPr>
          <w:b/>
        </w:rPr>
        <w:t xml:space="preserve">Ergebnis: </w:t>
      </w:r>
      <w:r>
        <w:t>Höheres Alter und weibliches Geschlecht waren mit niedrigerer appendikulärer Muskelmasse assoziiert (β = −0,07 pro Jahr; 95%-KI −0,08 bis −0,06). Positive Prädiktoren waren Sozialstatus (β = 0,33), Kalziumaufnahme (β = 0,46), Knochenmineraldichte (β = 0,38) und Schilddrüsenhormontherapie (β = 0,52). Körperliche Inaktivität (β = −0,48), Rauchen (β = −0,24) und Schlaganfall-Vorgeschichte (β = −0,51) waren mit geringerer Muskelmasse assoziiert. Die Ergebnisse zeigen modifizierbare Faktoren für den Erhalt der Muskelmasse in der Alterung.</w:t>
      </w:r>
    </w:p>
    <w:p>
      <w:r>
        <w:rPr>
          <w:b/>
          <w:sz w:val="19"/>
        </w:rPr>
        <w:t xml:space="preserve">Übertragbarkeit: </w:t>
      </w:r>
      <w:r>
        <w:rPr>
          <w:sz w:val="19"/>
        </w:rPr>
        <w:t>Australische prospektive Kohortendaten, vergleichbar mit europäischen Versorgungssettings</w:t>
      </w:r>
    </w:p>
    <w:p>
      <w:r>
        <w:rPr>
          <w:color w:val="5A7D3A"/>
          <w:sz w:val="18"/>
        </w:rPr>
        <w:t>https://pubmed.ncbi.nlm.nih.gov/42861734/</w:t>
      </w:r>
    </w:p>
    <w:p>
      <w:pPr>
        <w:pStyle w:val="Heading2"/>
      </w:pPr>
      <w:r>
        <w:t>Widerstandstraining bei älteren Männern: weniger Muskelaufbau trotz gleicher Trainingsbelastung</w:t>
      </w:r>
    </w:p>
    <w:p>
      <w:r>
        <w:rPr>
          <w:i/>
          <w:color w:val="666666"/>
          <w:sz w:val="18"/>
        </w:rPr>
        <w:t>Lewis DT et al.  ·  Physiol Rep  ·  Okt. 2026  ·  PMID 42860700</w:t>
      </w:r>
    </w:p>
    <w:p>
      <w:r>
        <w:t>Eine Studie mit 17 jüngeren und 15 älteren untrainierten Männern verglich Muskelaufbau und Proteinveränderungen nach 10–12 Wochen Widerstandstraining.</w:t>
      </w:r>
    </w:p>
    <w:p>
      <w:r>
        <w:rPr>
          <w:b/>
        </w:rPr>
        <w:t xml:space="preserve">Ergebnis: </w:t>
      </w:r>
      <w:r>
        <w:t>Trotz vergleichbarer Trainingsvolumina gewannen jüngere Männer mehr Muskelmasse (+2,73 kg vs. +1,18 kg; p = 0,009) und zeigten größere Zuwächse der Unterschenkeldicke (+0,49 cm vs. +0,20 cm; p = 0,002). Bei jüngeren Erwachsenen veränderte das Training 135 Proteine (FDR &lt; 0,05), bei älteren jedoch null. Die Proteom-Plastizität war bei älteren Männern komprimiert statt qualitativ verändert, was erklärt, warum der Muskelaufbau trotz Training geringer ausfällt.</w:t>
      </w:r>
    </w:p>
    <w:p>
      <w:r>
        <w:rPr>
          <w:b/>
          <w:sz w:val="19"/>
        </w:rPr>
        <w:t xml:space="preserve">Übertragbarkeit: </w:t>
      </w:r>
      <w:r>
        <w:rPr>
          <w:sz w:val="19"/>
        </w:rPr>
        <w:t>USA-Universitätsdaten zur Trainingsphysiologie, Befund zum Altern universell übertragbar</w:t>
      </w:r>
    </w:p>
    <w:p>
      <w:r>
        <w:rPr>
          <w:color w:val="5A7D3A"/>
          <w:sz w:val="18"/>
        </w:rPr>
        <w:t>https://pubmed.ncbi.nlm.nih.gov/42860700/</w:t>
      </w:r>
    </w:p>
    <w:p>
      <w:pPr>
        <w:pStyle w:val="Heading2"/>
      </w:pPr>
      <w:r>
        <w:t>Frailty-Screening bei Hämodialysepatienten: XGBoost-Modell mit AUC 0,917 identifiziert 48,6 % der Patienten</w:t>
      </w:r>
    </w:p>
    <w:p>
      <w:r>
        <w:rPr>
          <w:i/>
          <w:color w:val="666666"/>
          <w:sz w:val="18"/>
        </w:rPr>
        <w:t>Wang J et al.  ·  Ann Med  ·  11.10.2026  ·  PMID 42860582</w:t>
      </w:r>
    </w:p>
    <w:p>
      <w:r>
        <w:t>Eine retrospektive Studie mit 626 Hämodialysepatienten aus vier Kliniken entwickelte ein Machine-Learning-Modell zur Frailty-Erkennung.</w:t>
      </w:r>
    </w:p>
    <w:p>
      <w:r>
        <w:rPr>
          <w:b/>
        </w:rPr>
        <w:t xml:space="preserve">Ergebnis: </w:t>
      </w:r>
      <w:r>
        <w:t>Frailty-Prävalenz lag bei 48,6 %. Das XGBoost-Modell zeigte beste externe Validierungsleistung: AUC = 0,917 (95%-KI 0,867–0,967), Genauigkeit 84,7 %, Sensitivität 85,0 %, Spezifität 84,4 %. Sechs Prädiktoren wurden identifiziert: Alter, Griffstärke, Komorbiditäten, Charlson-Index, Albumin und Pro-BNP. Das Modell unterstützt systematisches Frailty-Screening in der Nierenfachversorgung.</w:t>
      </w:r>
    </w:p>
    <w:p>
      <w:r>
        <w:rPr>
          <w:b/>
          <w:sz w:val="19"/>
        </w:rPr>
        <w:t xml:space="preserve">Übertragbarkeit: </w:t>
      </w:r>
      <w:r>
        <w:rPr>
          <w:sz w:val="19"/>
        </w:rPr>
        <w:t>Chinesische Klinikstudie; Frailty-Screening und Prognose universal relevant</w:t>
      </w:r>
    </w:p>
    <w:p>
      <w:r>
        <w:rPr>
          <w:color w:val="5A7D3A"/>
          <w:sz w:val="18"/>
        </w:rPr>
        <w:t>https://pubmed.ncbi.nlm.nih.gov/42860582/</w:t>
      </w:r>
    </w:p>
    <w:p>
      <w:pPr>
        <w:pStyle w:val="Heading2"/>
      </w:pPr>
      <w:r>
        <w:t>KI-gestützte Assessment-Tools für intrinsische Kapazität: 161 Studien zeigen Schwerpunkte bei Kognition und Mobilität, Lücken bei Sinnesfunktion</w:t>
      </w:r>
    </w:p>
    <w:p>
      <w:r>
        <w:rPr>
          <w:i/>
          <w:color w:val="666666"/>
          <w:sz w:val="18"/>
        </w:rPr>
        <w:t>Yu C et al.  ·  J Med Internet Res  ·  05.10.2026  ·  PMID 42832757</w:t>
      </w:r>
    </w:p>
    <w:p>
      <w:r>
        <w:t>Ein systematisches Scoping-Review (161 Studien, 2016–2026) charakterisierte KI-basierte digitale Messtools zur Erfassung intrinsischer Kapazität bei älteren Menschen nach WHO-Domänen und Technologie.</w:t>
      </w:r>
    </w:p>
    <w:p>
      <w:r>
        <w:rPr>
          <w:b/>
        </w:rPr>
        <w:t xml:space="preserve">Ergebnis: </w:t>
      </w:r>
      <w:r>
        <w:t>Forschung seit 2016 exponentiell gestiegen; 28 Länder vertreten (USA, China dominant). 11 Kategorien KI-gestützter Geräte identifiziert: Multimodal-Erfassungsgeräte, Computer-Vision-Systeme, KI-Plattformen führend. 21 Typen digitaler Biomarker: Gangparameter, digitale Aufgabenleistung, körperliche Aktivität, Sprache, Gesichtszüge häufigst. Machine Learning und Deep Learning dominieren; Computer Vision und NLP zentral für multimodale Interpretation. Kognition und Lokomotion am weitesten entwickelt; Vitalität, Hörvermögen und Multi-Domain-Assessment unterrepräsentiert. KI-Tools könnten klinische Assessment ergänzen, benötigen aber robuste Validierung und Implementierungsforschung.</w:t>
      </w:r>
    </w:p>
    <w:p>
      <w:r>
        <w:rPr>
          <w:b/>
          <w:sz w:val="19"/>
        </w:rPr>
        <w:t xml:space="preserve">Übertragbarkeit: </w:t>
      </w:r>
      <w:r>
        <w:rPr>
          <w:sz w:val="19"/>
        </w:rPr>
        <w:t>Globale Übersicht; Lücken in der Standardisierung und externen Validierung überall manifest</w:t>
      </w:r>
    </w:p>
    <w:p>
      <w:r>
        <w:rPr>
          <w:color w:val="5A7D3A"/>
          <w:sz w:val="18"/>
        </w:rPr>
        <w:t>https://pubmed.ncbi.nlm.nih.gov/42832757/</w:t>
      </w:r>
    </w:p>
    <w:p>
      <w:pPr>
        <w:pStyle w:val="Heading2"/>
      </w:pPr>
      <w:r>
        <w:t>Mundmikrobiom und Kognition: Nitratverstoffwechselnde Bakterien assoziiert mit besserer kognitiver Leistung</w:t>
      </w:r>
    </w:p>
    <w:p>
      <w:r>
        <w:rPr>
          <w:i/>
          <w:color w:val="666666"/>
          <w:sz w:val="18"/>
        </w:rPr>
        <w:t>L'Heureux JE et al.  ·  PLoS One  ·  05.10.2026  ·  PMID 42832417</w:t>
      </w:r>
    </w:p>
    <w:p>
      <w:r>
        <w:t>Eine Studie mit 60 gesunden Teilnehmern (je 15 junge und 15 ältere Erwachsene aus UK und Belgien) untersuchte Zusammenhänge zwischen Mundmikrobiom, Stickstoffmonoxid-Biomarker und kognitiver Funktion.</w:t>
      </w:r>
    </w:p>
    <w:p>
      <w:r>
        <w:rPr>
          <w:b/>
        </w:rPr>
        <w:t xml:space="preserve">Ergebnis: </w:t>
      </w:r>
      <w:r>
        <w:t>Trotz geografischer Unterschiede in der Mikrobiomzusammensetzung waren altersbedingte mikrobielle Verschiebungen konsistent über Kohorten hinweg, mit Anreicherung von Treponema und Tannerella bei älteren Erwachsenen. Nitratverstoffwechselnde Taxa (Haemophilus parainfluenzae, Neisseria flavescens) waren konsistent mit kognitiven Leistungsmaßen assoziiert (p &lt; 0,05 in beiden Kohorten). Im UK war höheres Plasma-Nitrat mit besserer Digit-Symbol-Substitutions-Genauigkeit (β = 19,2; p &lt; 0,01) und schnellerer Reaktionszeit (β = −3444 ms; p &lt; 0,05) verknüpft. Geografie ist ein Haupttreiber mikrobieller Variation, konsistente altersbedingte Assoziationen bleiben aber über Populationen erhalten.</w:t>
      </w:r>
    </w:p>
    <w:p>
      <w:r>
        <w:rPr>
          <w:b/>
          <w:sz w:val="19"/>
        </w:rPr>
        <w:t xml:space="preserve">Übertragbarkeit: </w:t>
      </w:r>
      <w:r>
        <w:rPr>
          <w:sz w:val="19"/>
        </w:rPr>
        <w:t>UK und Belgien; europäische Grundlagenforschung mit klinischem Bezug zur Kognitionsförderung</w:t>
      </w:r>
    </w:p>
    <w:p>
      <w:r>
        <w:rPr>
          <w:color w:val="5A7D3A"/>
          <w:sz w:val="18"/>
        </w:rPr>
        <w:t>https://pubmed.ncbi.nlm.nih.gov/42832417/</w:t>
      </w:r>
    </w:p>
    <w:p>
      <w:pPr>
        <w:pStyle w:val="Heading2"/>
      </w:pPr>
      <w:r>
        <w:t>Migration im späten Alter: Identität und Zugehörigkeit bleiben zentral, alltägliche Integration folgt eigenem Weg</w:t>
      </w:r>
    </w:p>
    <w:p>
      <w:r>
        <w:rPr>
          <w:i/>
          <w:color w:val="666666"/>
          <w:sz w:val="18"/>
        </w:rPr>
        <w:t>Adad J et al.  ·  J Cross Cult Gerontol  ·  12.09.2026  ·  PMID 42730791</w:t>
      </w:r>
    </w:p>
    <w:p>
      <w:r>
        <w:t>Eine qualitative Studie mit 12 älteren Französinnen und Franzosen (≥ 70 Jahre), die nach Israel migrierten, untersuchte die Bedeutung dieser Erfahrung für Identität und Wohlbefinden.</w:t>
      </w:r>
    </w:p>
    <w:p>
      <w:r>
        <w:rPr>
          <w:b/>
        </w:rPr>
        <w:t xml:space="preserve">Ergebnis: </w:t>
      </w:r>
      <w:r>
        <w:t>Die Analyse zeigte ein ambivalentes Muster: Migration verursachte Unterbrechungen vertrauter sozialer Welten, wurde aber konsistent als Erfüllung eines Lebensprojekts um Familie, jüdische Identität und Zugehörigkeit interpretiert. Sprachliche, soziale und institutionelle Herausforderungen waren persistent, minderten aber die emotionale Bindung an Israel nicht. Emotionale Zugehörigkeit und alltägliche Integration folgen unterschiedlichen Trajektorien, was ein nuancierteres Verständnis von später Migration als Identitätsnegotiation statt einfacher Anpassung begründet.</w:t>
      </w:r>
    </w:p>
    <w:p>
      <w:r>
        <w:rPr>
          <w:b/>
          <w:sz w:val="19"/>
        </w:rPr>
        <w:t xml:space="preserve">Übertragbarkeit: </w:t>
      </w:r>
      <w:r>
        <w:rPr>
          <w:sz w:val="19"/>
        </w:rPr>
        <w:t>Qualitative Daten aus Israel und Frankreich; Erkenntnisse zu Identität und Wohlbefinden im Migrationsalter übertragbar</w:t>
      </w:r>
    </w:p>
    <w:p>
      <w:r>
        <w:rPr>
          <w:color w:val="5A7D3A"/>
          <w:sz w:val="18"/>
        </w:rPr>
        <w:t>https://pubmed.ncbi.nlm.nih.gov/42730791/</w:t>
      </w:r>
    </w:p>
    <w:p>
      <w:pPr>
        <w:pStyle w:val="Heading2"/>
      </w:pPr>
      <w:r>
        <w:t>Fettleber und Insulinresistenz: Triglycerid-Glukose-Index mit HR bis 8,27 für Lebererkrankung, biologisches Altern mediert 3–12 %</w:t>
      </w:r>
    </w:p>
    <w:p>
      <w:r>
        <w:rPr>
          <w:i/>
          <w:color w:val="666666"/>
          <w:sz w:val="18"/>
        </w:rPr>
        <w:t>Wang K et al.  ·  Front Endocrinol (Lausanne)  ·  11.08.2026  ·  PMID 42643580</w:t>
      </w:r>
    </w:p>
    <w:p>
      <w:r>
        <w:t>Eine prospektive Kohortenstudie mit 426.831 UK-Biobank-Teilnehmern ohne Fettleber zu Beginn untersuchte Triglycerid-Glukose-Indizes und Leberkrankheitsrisiko über 13,72 Jahre Nachbeobachtung.</w:t>
      </w:r>
    </w:p>
    <w:p>
      <w:r>
        <w:rPr>
          <w:b/>
        </w:rPr>
        <w:t xml:space="preserve">Ergebnis: </w:t>
      </w:r>
      <w:r>
        <w:t>Über den Nachbeobachtungszeitraum traten 6.308 neue Fettleberfälle auf. Alle sechs Triglycerid-Glukose-Adiposität-Composite-Indizes waren signifikant mit erhöhtem Fettleberrisiko assoziiert. Hazard Ratios für höchstes vs. niedrigstes Quartil: TyG-Taillenumfang 8,27 (95%-KI 7,34–9,30), TyG-Taille-Größe-Verhältnis 8,18 (7,24–9,23), TyG-BMI 6,28 (5,62–7,02), TyG-Body-Roundness-Index 7,79 (6,91–8,78). Biologisches Altern (KDM-BA, PhenoAge) vermittelte 3–12 % dieser Assoziationen. Nicht-lineare Beziehungen waren vorhanden (alle p &lt; 0,001).</w:t>
      </w:r>
    </w:p>
    <w:p>
      <w:r>
        <w:rPr>
          <w:b/>
          <w:sz w:val="19"/>
        </w:rPr>
        <w:t xml:space="preserve">Übertragbarkeit: </w:t>
      </w:r>
      <w:r>
        <w:rPr>
          <w:sz w:val="19"/>
        </w:rPr>
        <w:t>UK Biobank mit 426.831 Teilnehmern; Indexe zur Insulinresistenz und Lebererkrankung universal relevant</w:t>
      </w:r>
    </w:p>
    <w:p>
      <w:r>
        <w:rPr>
          <w:color w:val="5A7D3A"/>
          <w:sz w:val="18"/>
        </w:rPr>
        <w:t>https://pubmed.ncbi.nlm.nih.gov/42643580/</w:t>
      </w:r>
    </w:p>
    <w:p>
      <w:pPr>
        <w:pStyle w:val="Heading1"/>
      </w:pPr>
      <w:r>
        <w:t>Aufgenommen am 12.10.2026</w:t>
      </w:r>
    </w:p>
    <w:p>
      <w:pPr>
        <w:pStyle w:val="Heading2"/>
      </w:pPr>
      <w:r>
        <w:t>Motivation, Fähigkeit und Gelegenheit steuern Teilnahme an Altersprogrammen</w:t>
      </w:r>
    </w:p>
    <w:p>
      <w:r>
        <w:rPr>
          <w:i/>
          <w:color w:val="666666"/>
          <w:sz w:val="18"/>
        </w:rPr>
        <w:t>Faizal NA et al.  ·  Front Public Health  ·  25.09.2026  ·  PMID 42857060</w:t>
      </w:r>
    </w:p>
    <w:p>
      <w:r>
        <w:t>Qualitative Analyse mittels Theoretical Domains Framework und COM-B-Modell der Barrieren und Förderfaktoren für die Teilnahme an Active-Ageing-Programmen bei Älteren (50+) in Singapur, basierend auf 28 Interviews.</w:t>
      </w:r>
    </w:p>
    <w:p>
      <w:r>
        <w:rPr>
          <w:b/>
        </w:rPr>
        <w:t xml:space="preserve">Ergebnis: </w:t>
      </w:r>
      <w:r>
        <w:t>Motivation (Wissen, Wohlbefinden, digitale Fähigkeiten) war zentral, wurde aber durch Gesundheitsbedenken und körperliche Beschwerden, Technologie-Ängstlichkeit, Gedächtnisprobleme und sprachliche Barrieren gehemmt. Umweltfaktoren (Zeitverfügbarkeit, geografische Erreichbarkeit) und soziale Unterstützung (Familienermutigung) waren entscheidend. Ansatz zeigt, wie TDF und COM-B Intervention gestalten können.</w:t>
      </w:r>
    </w:p>
    <w:p>
      <w:r>
        <w:rPr>
          <w:b/>
          <w:sz w:val="19"/>
        </w:rPr>
        <w:t xml:space="preserve">Übertragbarkeit: </w:t>
      </w:r>
      <w:r>
        <w:rPr>
          <w:sz w:val="19"/>
        </w:rPr>
        <w:t>Singapur, Sozialdemokratie, digitale Versorgung, teilweise auf Deutschland übertragbar</w:t>
      </w:r>
    </w:p>
    <w:p>
      <w:r>
        <w:rPr>
          <w:color w:val="5A7D3A"/>
          <w:sz w:val="18"/>
        </w:rPr>
        <w:t>https://pubmed.ncbi.nlm.nih.gov/42857060/</w:t>
      </w:r>
    </w:p>
    <w:p>
      <w:pPr>
        <w:pStyle w:val="Heading2"/>
      </w:pPr>
      <w:r>
        <w:t>WHO-ICOPE-Ansatz für altersgerechte Primärversorgung in Portugal</w:t>
      </w:r>
    </w:p>
    <w:p>
      <w:r>
        <w:rPr>
          <w:i/>
          <w:color w:val="666666"/>
          <w:sz w:val="18"/>
        </w:rPr>
        <w:t>Vidinha Pereira AL et al.  ·  Front Public Health  ·  25.09.2026  ·  PMID 42856688</w:t>
      </w:r>
    </w:p>
    <w:p>
      <w:r>
        <w:t>Qualitative Analyse der Anpassungsfähigkeit des portugiesischen Gesundheitssystems an die alternde Bevölkerung und des Potenzials des WHO-ICOPE-Rahmens (Integrated Care for Older People) für die Primärversorgung.</w:t>
      </w:r>
    </w:p>
    <w:p>
      <w:r>
        <w:rPr>
          <w:b/>
        </w:rPr>
        <w:t xml:space="preserve">Ergebnis: </w:t>
      </w:r>
      <w:r>
        <w:t>Das portugiesische Gesundheitssystem, ursprünglich auf Mutter-Kind-Gesundheit ausgerichtet, zeigt Schwächen bei der Versorgung älterer Menschen mit Multimorbidität und Gebrechlichkeit. Der WHO-ICOPE-Ansatz wird als adaptierbar und skalierbar beschrieben, birgt aber Implementierungshürden durch Zeitmangel und mangelnde personelle und finanzielle Ressourcen. Pilot-Feldarbeit läuft zur Bewertung der Machbarkeit im portugiesischen Kontext.</w:t>
      </w:r>
    </w:p>
    <w:p>
      <w:r>
        <w:rPr>
          <w:b/>
          <w:sz w:val="19"/>
        </w:rPr>
        <w:t xml:space="preserve">Übertragbarkeit: </w:t>
      </w:r>
      <w:r>
        <w:rPr>
          <w:sz w:val="19"/>
        </w:rPr>
        <w:t>Portugal, südeuropäisches Sozialversicherungssystem, vergleichbare geriatrische Versorgungsfragen</w:t>
      </w:r>
    </w:p>
    <w:p>
      <w:r>
        <w:rPr>
          <w:color w:val="5A7D3A"/>
          <w:sz w:val="18"/>
        </w:rPr>
        <w:t>https://pubmed.ncbi.nlm.nih.gov/42856688/</w:t>
      </w:r>
    </w:p>
    <w:p>
      <w:pPr>
        <w:pStyle w:val="Heading2"/>
      </w:pPr>
      <w:r>
        <w:t>Markov-Modelle vorhersagen qualitätsadjustierte Lebenserwartung nach Strahlentherapie</w:t>
      </w:r>
    </w:p>
    <w:p>
      <w:r>
        <w:rPr>
          <w:i/>
          <w:color w:val="666666"/>
          <w:sz w:val="18"/>
        </w:rPr>
        <w:t>Tattenberg S et al.  ·  Med Phys  ·  Okt. 2026  ·  PMID 42837329</w:t>
      </w:r>
    </w:p>
    <w:p>
      <w:r>
        <w:t>Klinische Validierungsstudie eines Markov-Modells zur Simulation der lebenslangen qualitätsadjustierten Lebenserwartung (QALE) bei 148 Kopf-Hals-Krebspatienten nach Radiotherapie, inklusiv Tumorrezidiv, Toxizität, Fernmetastasen, Sekundärkarzinome und Sterblichkeit.</w:t>
      </w:r>
    </w:p>
    <w:p>
      <w:r>
        <w:rPr>
          <w:b/>
        </w:rPr>
        <w:t xml:space="preserve">Ergebnis: </w:t>
      </w:r>
      <w:r>
        <w:t>Lokoregionale Kontrolle in 94,4% der Simulationen vs. 89,9% klinisch (gute Übereinstimmung). Sterblichkeit mit Lokoregionalversagen 4,9% vs. 5,4% klinisch. Sekundärkarzinomrate 13,5%. Simulierte Lebenserwartung 76,5 ± 11,6 Jahre, qualitätsadjustiert 74,3 ± 11,0 QALY. Modell validiert für prospektive Vorhersagen und Vergleiche zwischen Patientenpopulationen.</w:t>
      </w:r>
    </w:p>
    <w:p>
      <w:r>
        <w:rPr>
          <w:b/>
          <w:sz w:val="19"/>
        </w:rPr>
        <w:t xml:space="preserve">Übertragbarkeit: </w:t>
      </w:r>
      <w:r>
        <w:rPr>
          <w:sz w:val="19"/>
        </w:rPr>
        <w:t>Methodische Innovation, Kohortendaten USA, QALE-Ansatz auf europäische Versorgung übertragbar</w:t>
      </w:r>
    </w:p>
    <w:p>
      <w:r>
        <w:rPr>
          <w:color w:val="5A7D3A"/>
          <w:sz w:val="18"/>
        </w:rPr>
        <w:t>https://pubmed.ncbi.nlm.nih.gov/42837329/</w:t>
      </w:r>
    </w:p>
    <w:p>
      <w:pPr>
        <w:pStyle w:val="Heading2"/>
      </w:pPr>
      <w:r>
        <w:t>Gebrechlichkeit und Depression lähmen Kognition bei Paaren langfristig</w:t>
      </w:r>
    </w:p>
    <w:p>
      <w:r>
        <w:rPr>
          <w:i/>
          <w:color w:val="666666"/>
          <w:sz w:val="18"/>
        </w:rPr>
        <w:t>Wu H et al.  ·  Psychiatry Res  ·  18.09.2026  ·  PMID 42828818</w:t>
      </w:r>
    </w:p>
    <w:p>
      <w:r>
        <w:t>Kohortenstudie an 5.828 Ehepaaren aus der China Health and Retirement Longitudinal Study (2011–2020) zur Analyse gemeinsamer Frailty- und Depressions-Trajektorien und ihrer Assoziation mit kognitiver Leistung über Zeit.</w:t>
      </w:r>
    </w:p>
    <w:p>
      <w:r>
        <w:rPr>
          <w:b/>
        </w:rPr>
        <w:t xml:space="preserve">Ergebnis: </w:t>
      </w:r>
      <w:r>
        <w:t>Vier distinct Multitrajectory-Gruppen identifiziert. Innerhalb von Paaren korrelierte kognitiver Verfall (r = 0,567, p &lt; 0,001). Alle Trajektoriengruppen außer der stabilen (G1) zeigten deutlich schlechtere beidseitige Kognition (p &lt; 0,001). Frauen in progressiver Frailty-Depression-Gruppe (G3) zeigten jährlichen kognitiven Rückgang von 0,125 Einheiten extra (p &lt; 0,001), Männer in G4 von 0,288 Einheiten/Jahr (p &lt; 0,001).</w:t>
      </w:r>
    </w:p>
    <w:p>
      <w:r>
        <w:rPr>
          <w:b/>
          <w:sz w:val="19"/>
        </w:rPr>
        <w:t xml:space="preserve">Übertragbarkeit: </w:t>
      </w:r>
      <w:r>
        <w:rPr>
          <w:sz w:val="19"/>
        </w:rPr>
        <w:t>China, Sozialversicherungssystem unterscheidet sich, Ergebnis zu Gebrechlichkeit-Depression-Kognition-Triaden übertragbar</w:t>
      </w:r>
    </w:p>
    <w:p>
      <w:r>
        <w:rPr>
          <w:color w:val="5A7D3A"/>
          <w:sz w:val="18"/>
        </w:rPr>
        <w:t>https://pubmed.ncbi.nlm.nih.gov/42828818/</w:t>
      </w:r>
    </w:p>
    <w:p>
      <w:pPr>
        <w:pStyle w:val="Heading2"/>
      </w:pPr>
      <w:r>
        <w:t>Räumliche Versorgungsgerechtigkeit für Altenpflege muss optimiert werden</w:t>
      </w:r>
    </w:p>
    <w:p>
      <w:r>
        <w:rPr>
          <w:i/>
          <w:color w:val="666666"/>
          <w:sz w:val="18"/>
        </w:rPr>
        <w:t>Chen X et al.  ·  Front Public Health  ·  18.09.2026  ·  PMID 42827439</w:t>
      </w:r>
    </w:p>
    <w:p>
      <w:r>
        <w:t>Raumanalytische Studie der Verteilung von Altenpflegeeinrichtungen in Guangzhou (China) unter Verwendung von Nearest-Neighbor-Index, Kernel-Density-Analyse, Netzwerk-Erreichbarkeit und Angebots-Nachfrage-Matching-Modellen.</w:t>
      </w:r>
    </w:p>
    <w:p>
      <w:r>
        <w:rPr>
          <w:b/>
        </w:rPr>
        <w:t xml:space="preserve">Ergebnis: </w:t>
      </w:r>
      <w:r>
        <w:t>Nachfrage und Angebot an Altenpflegefazilitäten zeigen starke räumliche Clusterung mit zentralem Versorgungskern. Gesamterreichbarkeit relativ hoch, aber mit Zentrum-Peripherie-Gefälle. Ressourcenallokation insgesamt angemessen, aber regionale Disparitäten bleiben. Empfehlung: Weiterer Ausbau zur Ausbalancierung der Zugänglichkeit.</w:t>
      </w:r>
    </w:p>
    <w:p>
      <w:r>
        <w:rPr>
          <w:b/>
          <w:sz w:val="19"/>
        </w:rPr>
        <w:t xml:space="preserve">Übertragbarkeit: </w:t>
      </w:r>
      <w:r>
        <w:rPr>
          <w:sz w:val="19"/>
        </w:rPr>
        <w:t>China, andere Finanzierungsstruktur, Methoden zur Disparitätenmessung übertragbar</w:t>
      </w:r>
    </w:p>
    <w:p>
      <w:r>
        <w:rPr>
          <w:color w:val="5A7D3A"/>
          <w:sz w:val="18"/>
        </w:rPr>
        <w:t>https://pubmed.ncbi.nlm.nih.gov/42827439/</w:t>
      </w:r>
    </w:p>
    <w:p>
      <w:pPr>
        <w:pStyle w:val="Heading2"/>
      </w:pPr>
      <w:r>
        <w:t>Langzeitverläufe von Gedächtnis und Einsamkeit prägen Wahrnehmung des Alterns</w:t>
      </w:r>
    </w:p>
    <w:p>
      <w:r>
        <w:rPr>
          <w:i/>
          <w:color w:val="666666"/>
          <w:sz w:val="18"/>
        </w:rPr>
        <w:t>Koch J et al.  ·  J Gerontol B Psychol Sci Soc Sci  ·  07.10.2026  ·  PMID 42625387</w:t>
      </w:r>
    </w:p>
    <w:p>
      <w:r>
        <w:t>Longitudinale Studie über 9 Jahre an 753 Berliner Älteren (61–81 Jahre zu Baseline), in der körperliche Gesundheit, Kognition und Einsamkeit als Prädiktoren für die subjektive Wahrnehmung altersbezogener Veränderungen untersucht wurden.</w:t>
      </w:r>
    </w:p>
    <w:p>
      <w:r>
        <w:rPr>
          <w:b/>
        </w:rPr>
        <w:t xml:space="preserve">Ergebnis: </w:t>
      </w:r>
      <w:r>
        <w:t>Bessere Baseline-Gedächtnisleistung (Recall) war mit weniger wahrgenommenen Altersverlusten assoziiert. Steilere Gedächtnisverschlechterung und höhere Morbidität korrelierte mit stärkerer Wahrnehmung von Verlusten. Höhere Einsamkeit war mit mehr wahrgenommenen Verlusten und weniger wahrgenommenen Gewinnen verbunden. Verarbeitungsgeschwindigkeit, Arbeitsgedächtnis, Hör- und Sehvermögen zeigten keine signifikanten Assoziationen.</w:t>
      </w:r>
    </w:p>
    <w:p>
      <w:r>
        <w:rPr>
          <w:b/>
          <w:sz w:val="19"/>
        </w:rPr>
        <w:t xml:space="preserve">Übertragbarkeit: </w:t>
      </w:r>
      <w:r>
        <w:rPr>
          <w:sz w:val="19"/>
        </w:rPr>
        <w:t>Deutsche Studie mit Berliner Probanden, vergleichbare Dokumentation und Messinstrumente</w:t>
      </w:r>
    </w:p>
    <w:p>
      <w:r>
        <w:rPr>
          <w:color w:val="5A7D3A"/>
          <w:sz w:val="18"/>
        </w:rPr>
        <w:t>https://pubmed.ncbi.nlm.nih.gov/42625387/</w:t>
      </w:r>
    </w:p>
    <w:p>
      <w:pPr>
        <w:pStyle w:val="Heading1"/>
      </w:pPr>
      <w:r>
        <w:t>Aufgenommen am 11.10.2026</w:t>
      </w:r>
    </w:p>
    <w:p>
      <w:pPr>
        <w:pStyle w:val="Heading2"/>
      </w:pPr>
      <w:r>
        <w:t>Frailty-Assessment verbessert Risikostratifizierung bei rekonstruktiver Kopf-Hals-Chirurgie</w:t>
      </w:r>
    </w:p>
    <w:p>
      <w:r>
        <w:rPr>
          <w:i/>
          <w:color w:val="666666"/>
          <w:sz w:val="18"/>
        </w:rPr>
        <w:t>Tee JW et al.  ·  Microsurgery  ·  Okt. 2026  ·  PMID 42855949</w:t>
      </w:r>
    </w:p>
    <w:p>
      <w:r>
        <w:t>Retrospektive Kohortenstudie mit 406 Patienten, die sich einer Fibula-Free-Flap-Rekonstruktion unterzogen, untersuchte den Wert des modifizierten Frailty-Index (mFI-5) zur Vorhersage perioperativer Komplikationen.</w:t>
      </w:r>
    </w:p>
    <w:p>
      <w:r>
        <w:rPr>
          <w:b/>
        </w:rPr>
        <w:t xml:space="preserve">Ergebnis: </w:t>
      </w:r>
      <w:r>
        <w:t>Der mFI-5 war ein stärkerer Prädiktor für Morbidität als das chronologische Alter. Patienten mit mFI-5=1 (adjustierte Odds Ratio 1,84; 95%-KI 1,01–3,47) und mFI-5=2 (aOR 3,45; 95%-KI 1,38–8,57) zeigten signifikant erhöhtes Risiko für medizinische Komplikationen. Ein mFI-5=2 war auch unabhängiger Prädiktor für chirurgische Komplikationen (aOR 2,27; 95%-KI 1,00–5,43).</w:t>
      </w:r>
    </w:p>
    <w:p>
      <w:r>
        <w:rPr>
          <w:b/>
          <w:sz w:val="19"/>
        </w:rPr>
        <w:t xml:space="preserve">Übertragbarkeit: </w:t>
      </w:r>
      <w:r>
        <w:rPr>
          <w:sz w:val="19"/>
        </w:rPr>
        <w:t>Deutschland – Klinikdaten (ACS-NSQIP), Frailty-Assessment etabliert im deutschsprachigen Raum.</w:t>
      </w:r>
    </w:p>
    <w:p>
      <w:r>
        <w:rPr>
          <w:color w:val="5A7D3A"/>
          <w:sz w:val="18"/>
        </w:rPr>
        <w:t>https://pubmed.ncbi.nlm.nih.gov/42855949/</w:t>
      </w:r>
    </w:p>
    <w:p>
      <w:pPr>
        <w:pStyle w:val="Heading2"/>
      </w:pPr>
      <w:r>
        <w:t>Gesundheitskompetenz fördert erfolgreiches Altern bei älteren Ägyptern</w:t>
      </w:r>
    </w:p>
    <w:p>
      <w:r>
        <w:rPr>
          <w:i/>
          <w:color w:val="666666"/>
          <w:sz w:val="18"/>
        </w:rPr>
        <w:t>Ibrahim HS et al.  ·  BMC Public Health  ·  09.10.2026  ·  PMID 42855688</w:t>
      </w:r>
    </w:p>
    <w:p>
      <w:r>
        <w:t>Querschnittvergleichsstudie mit 246 Teilnehmern (123 mit chronischen Erkrankungen, 123 gesund), alle ≥65 Jahre, untersuchte den Zusammenhang zwischen Gesundheitskompetenz (Health Literacy) und erfolgreichem Altern (Successful Aging).</w:t>
      </w:r>
    </w:p>
    <w:p>
      <w:r>
        <w:rPr>
          <w:b/>
        </w:rPr>
        <w:t xml:space="preserve">Ergebnis: </w:t>
      </w:r>
      <w:r>
        <w:t>Patienten zeigten signifikant niedrigere Gesundheitskompetenz- und Erfolgreiches-Altern-Scores als Kontrollen (p&lt;0,001). Gesundheitskompetenz war positiv mit erfolgreichem Altern korreliert (r=0,612, p&lt;0,001) und blieb der stärkste unabhängige Prädiktor in der Regressionsanalyse. Höhere Bildung und Einkommen verbesserten erfolgreiches Altern; Alter, ländliche Wohnorte und Rauchen beeinträchtigten es.</w:t>
      </w:r>
    </w:p>
    <w:p>
      <w:r>
        <w:rPr>
          <w:b/>
          <w:sz w:val="19"/>
        </w:rPr>
        <w:t xml:space="preserve">Übertragbarkeit: </w:t>
      </w:r>
      <w:r>
        <w:rPr>
          <w:sz w:val="19"/>
        </w:rPr>
        <w:t>Ägypten – Übertragbarkeit begrenzt durch unterschiedliche Gesundheitssysteme und Sozialversicherung.</w:t>
      </w:r>
    </w:p>
    <w:p>
      <w:r>
        <w:rPr>
          <w:color w:val="5A7D3A"/>
          <w:sz w:val="18"/>
        </w:rPr>
        <w:t>https://pubmed.ncbi.nlm.nih.gov/42855688/</w:t>
      </w:r>
    </w:p>
    <w:p>
      <w:pPr>
        <w:pStyle w:val="Heading2"/>
      </w:pPr>
      <w:r>
        <w:t>Altersgerechte Versorgung und Wellness in Zhejiang: räumlich-zeitliche Entwicklung</w:t>
      </w:r>
    </w:p>
    <w:p>
      <w:r>
        <w:rPr>
          <w:i/>
          <w:color w:val="666666"/>
          <w:sz w:val="18"/>
        </w:rPr>
        <w:t>Qin S et al.  ·  Inquiry  ·  09.10.2026  ·  PMID 42853239</w:t>
      </w:r>
    </w:p>
    <w:p>
      <w:r>
        <w:t>Bewertungsstudie mit Entropie-Gewichtungsmethode analysierte räumlich-zeitliche Muster der Eignung älterenbezogener Versorgung und Wellness (SECW) in 11 Präfekturen Zhejangs 2014–2023 anhand von natürlichen Ressourcen, sozialen Ressourcen und sozialem Unterstützungsindex.</w:t>
      </w:r>
    </w:p>
    <w:p>
      <w:r>
        <w:rPr>
          <w:b/>
        </w:rPr>
        <w:t xml:space="preserve">Ergebnis: </w:t>
      </w:r>
      <w:r>
        <w:t>Gesamttrend der SECW in Zhejiang war aufsteigend, regionale Disparitäten bestanden fort. Ein Drei-Ebenen-Muster entstand: Hangzhou und Ningbo als Hochwertzentren; Küsten- und Zentralstädte als dynamische mittlere Ebene; Südwestregionen als relativ rückständige dritte Ebene. Moran's I-Analysen offenbarten negative räumliche Autokorrelation, dominiert von "High-Low"- und "Low-High"-Mustern; keine signifikanten Hochwertagglomerationen.</w:t>
      </w:r>
    </w:p>
    <w:p>
      <w:r>
        <w:rPr>
          <w:b/>
          <w:sz w:val="19"/>
        </w:rPr>
        <w:t xml:space="preserve">Übertragbarkeit: </w:t>
      </w:r>
      <w:r>
        <w:rPr>
          <w:sz w:val="19"/>
        </w:rPr>
        <w:t>China – Gesundheitssystem und Regionalstruktur unterscheiden sich von Deutschland; Konzept der Versorgungsgerechtigkeit aber relevant.</w:t>
      </w:r>
    </w:p>
    <w:p>
      <w:r>
        <w:rPr>
          <w:color w:val="5A7D3A"/>
          <w:sz w:val="18"/>
        </w:rPr>
        <w:t>https://pubmed.ncbi.nlm.nih.gov/42853239/</w:t>
      </w:r>
    </w:p>
    <w:p>
      <w:pPr>
        <w:pStyle w:val="Heading2"/>
      </w:pPr>
      <w:r>
        <w:t>Grünflächen schützen vor beschleunigter biologischer Alterung trotz Luftverschmutzung</w:t>
      </w:r>
    </w:p>
    <w:p>
      <w:r>
        <w:rPr>
          <w:i/>
          <w:color w:val="666666"/>
          <w:sz w:val="18"/>
        </w:rPr>
        <w:t>Ma G et al.  ·  Environ Health Perspect  ·  06.10.2026  ·  PMID 42852352</w:t>
      </w:r>
    </w:p>
    <w:p>
      <w:r>
        <w:t>Längsschnittstudie mit 11.760 Erwachsenen (20–65 Jahre) in chinesischer Hochverschmutzungsstadt untersuchte die Auswirkungen von Grünflächen und Luftschadstoffmischung auf biologische Alterungsmuster mittels Klemera-Doubal-Methode.</w:t>
      </w:r>
    </w:p>
    <w:p>
      <w:r>
        <w:rPr>
          <w:b/>
        </w:rPr>
        <w:t xml:space="preserve">Ergebnis: </w:t>
      </w:r>
      <w:r>
        <w:t>Höhere Grünflächenexposition (NDVI 500 m) war mit niedrigeren Chancen für Zugehörigkeit zur beschleunigten Alterungstrajektorie verbunden (OR 0,84; 95%-KI 0,75–0,95). Höhere PM₂,₅-, PM₁₀-, SO₂- und O₃-Expositionen waren mit höheren Chancen für beschleunigte Alterung assoziiert. Die Schadstoffmischung zeigte konsistente positive Assoziation (OR 1,16; 95%-KI 1,08–1,24), dominiert durch O₃ und PM₁₀. Grünflächen-Schutzeffekt wurde zu 25% durch reduzierte Schadstoffexposition vermittelt.</w:t>
      </w:r>
    </w:p>
    <w:p>
      <w:r>
        <w:rPr>
          <w:b/>
          <w:sz w:val="19"/>
        </w:rPr>
        <w:t xml:space="preserve">Übertragbarkeit: </w:t>
      </w:r>
      <w:r>
        <w:rPr>
          <w:sz w:val="19"/>
        </w:rPr>
        <w:t>China – Luftqualität und Grünflächenverfügbarkeit unterscheiden sich von Deutschland; Konzept aber auf deutsche Städte übertragbar.</w:t>
      </w:r>
    </w:p>
    <w:p>
      <w:r>
        <w:rPr>
          <w:color w:val="5A7D3A"/>
          <w:sz w:val="18"/>
        </w:rPr>
        <w:t>https://pubmed.ncbi.nlm.nih.gov/42852352/</w:t>
      </w:r>
    </w:p>
    <w:p>
      <w:pPr>
        <w:pStyle w:val="Heading2"/>
      </w:pPr>
      <w:r>
        <w:t>Regionale Disparitäten zwischen Bevölkerungsalterung und Gesundheitsressourcen in China</w:t>
      </w:r>
    </w:p>
    <w:p>
      <w:r>
        <w:rPr>
          <w:i/>
          <w:color w:val="666666"/>
          <w:sz w:val="18"/>
        </w:rPr>
        <w:t>Liu Q et al.  ·  Front Public Health  ·  23.09.2026  ·  PMID 42845648</w:t>
      </w:r>
    </w:p>
    <w:p>
      <w:r>
        <w:t>Provinziale Analyse (31 Regionen, 2000–2023) untersuchte die zeitlich-räumliche Koordination zwischen Alterungscharakteristiken der Bevölkerung und Kapazität des Gesundheitswesens mittels gekoppelter Koordinationsgradmodelle.</w:t>
      </w:r>
    </w:p>
    <w:p>
      <w:r>
        <w:rPr>
          <w:b/>
        </w:rPr>
        <w:t xml:space="preserve">Ergebnis: </w:t>
      </w:r>
      <w:r>
        <w:t>Chinas Alterungskoeffizient stieg von 7,0% (2000) auf 14,9% (2023). Die nationale Koordination verbesserte sich über den Zeitraum. Regionale Disparitäten blieben jedoch stark: Shandong und Jiangsu erreichten höchste Koordinationsklasse (D≥0,60), während Tibet und Qinghai in der niedrigsten Klasse blieben (D&lt;0,20). Der Variationskoeffizient der provinzialen Alterungskoeffizienten sank nur von 0,41 auf 0,38.</w:t>
      </w:r>
    </w:p>
    <w:p>
      <w:r>
        <w:rPr>
          <w:b/>
          <w:sz w:val="19"/>
        </w:rPr>
        <w:t xml:space="preserve">Übertragbarkeit: </w:t>
      </w:r>
      <w:r>
        <w:rPr>
          <w:sz w:val="19"/>
        </w:rPr>
        <w:t>China – Systeme und Ressourcenlage unterscheiden sich erheblich von Deutschland, Einsichten für Versorgungsplanung begrenzt übertragbar.</w:t>
      </w:r>
    </w:p>
    <w:p>
      <w:r>
        <w:rPr>
          <w:color w:val="5A7D3A"/>
          <w:sz w:val="18"/>
        </w:rPr>
        <w:t>https://pubmed.ncbi.nlm.nih.gov/42845648/</w:t>
      </w:r>
    </w:p>
    <w:p>
      <w:pPr>
        <w:pStyle w:val="Heading2"/>
      </w:pPr>
      <w:r>
        <w:t>Add CAPS-Protokoll: kognitives, physisches und Hörvermögen in der Midlife-Phase</w:t>
      </w:r>
    </w:p>
    <w:p>
      <w:r>
        <w:rPr>
          <w:i/>
          <w:color w:val="666666"/>
          <w:sz w:val="18"/>
        </w:rPr>
        <w:t>Aiello AE et al.  ·  J Gerontol B Psychol Sci Soc Sci  ·  01.10.2026  ·  PMID 42837504</w:t>
      </w:r>
    </w:p>
    <w:p>
      <w:r>
        <w:t>Methodenstudie zur Implementierung umfassender kognitiver, physischer und sensorischer Funktionstests (Add CAPS) bei 6.073 Personen durchschnittlich 44 Jahre alt in der Wave VI der Add Health Longitudinalstudie.</w:t>
      </w:r>
    </w:p>
    <w:p>
      <w:r>
        <w:rPr>
          <w:b/>
        </w:rPr>
        <w:t xml:space="preserve">Ergebnis: </w:t>
      </w:r>
      <w:r>
        <w:t>Antwortquoten betrugen ~85% für digitale kognitive Tests und ~94% für persönlich durchgeführte Tests. Jüngere Teilnehmende und solche mit höherer Bildung zeigten bessere kognitive Leistung. Männliche, ältere und weniger gebildete Teilnehmende hatten schlechteres Hörvermögen. Keine Altersunterschiede in der Handgriffstärke, aber Variation nach Bildung. Selbstberichtete kognitive und physische Schwierigkeiten waren häufig.</w:t>
      </w:r>
    </w:p>
    <w:p>
      <w:r>
        <w:rPr>
          <w:b/>
          <w:sz w:val="19"/>
        </w:rPr>
        <w:t xml:space="preserve">Übertragbarkeit: </w:t>
      </w:r>
      <w:r>
        <w:rPr>
          <w:sz w:val="19"/>
        </w:rPr>
        <w:t>USA – Add Health ist US-Kohortenstudie; Übertragung auf Deutschland eingeschränkt durch andere Altersstruktur und Versicherungssystem.</w:t>
      </w:r>
    </w:p>
    <w:p>
      <w:r>
        <w:rPr>
          <w:color w:val="5A7D3A"/>
          <w:sz w:val="18"/>
        </w:rPr>
        <w:t>https://pubmed.ncbi.nlm.nih.gov/42837504/</w:t>
      </w:r>
    </w:p>
    <w:p>
      <w:pPr>
        <w:pStyle w:val="Heading1"/>
      </w:pPr>
      <w:r>
        <w:t>Aufgenommen am 10.10.2026</w:t>
      </w:r>
    </w:p>
    <w:p>
      <w:pPr>
        <w:pStyle w:val="Heading2"/>
      </w:pPr>
      <w:r>
        <w:t>Aufwärts-Mobilität verzögert funktionalen Decline im Alter</w:t>
      </w:r>
    </w:p>
    <w:p>
      <w:r>
        <w:rPr>
          <w:i/>
          <w:color w:val="666666"/>
          <w:sz w:val="18"/>
        </w:rPr>
        <w:t>Guo L et al.  ·  J Glob Health  ·  09.10.2026  ·  PMID 42852608</w:t>
      </w:r>
    </w:p>
    <w:p>
      <w:r>
        <w:t>Harmonisierte Analyse von 100.362 Personen über 50 Jahren aus fünf Ländern (China, USA, Europa, Südkorea, Mexiko) zur Assoziation zwischen intergenerationaler Bildungsmobilität und intrinsischer Kapazität (kognitiv, Motorik, Vitalität, Sinne, psychisch).</w:t>
      </w:r>
    </w:p>
    <w:p>
      <w:r>
        <w:rPr>
          <w:b/>
        </w:rPr>
        <w:t xml:space="preserve">Ergebnis: </w:t>
      </w:r>
      <w:r>
        <w:t>Aufwärts-Mobilität korreliert mit höherer intrinsischer Kapazität (gepooltes β = 0,25; 95%-KI 0,24–0,26; p &lt; 0,001) und verzögert den altersbedingten Funktionsverlust in China, Europa, Südkorea und Mexiko signifikant. USA zeigt Ausnahme: Mobilität erhöht Baseline-Kapazität, aber nicht die Verlaufsrate. Befund unterstreicht Kontext-Abhängigkeit sozialer Determinanten.</w:t>
      </w:r>
    </w:p>
    <w:p>
      <w:r>
        <w:rPr>
          <w:b/>
          <w:sz w:val="19"/>
        </w:rPr>
        <w:t xml:space="preserve">Übertragbarkeit: </w:t>
      </w:r>
      <w:r>
        <w:rPr>
          <w:sz w:val="19"/>
        </w:rPr>
        <w:t>Europäische Länder inkludiert, aber Transferbarkeit auf Deutschland durch unterschiedliche Bildungs- und Sozialsysteme begrenzt.</w:t>
      </w:r>
    </w:p>
    <w:p>
      <w:r>
        <w:rPr>
          <w:color w:val="5A7D3A"/>
          <w:sz w:val="18"/>
        </w:rPr>
        <w:t>https://pubmed.ncbi.nlm.nih.gov/42852608/</w:t>
      </w:r>
    </w:p>
    <w:p>
      <w:pPr>
        <w:pStyle w:val="Heading2"/>
      </w:pPr>
      <w:r>
        <w:t>Zahnpflege-Inanspruchnahme und kognitiver Decline im Alter: 14-Jahr-Längsschnitt</w:t>
      </w:r>
    </w:p>
    <w:p>
      <w:r>
        <w:rPr>
          <w:i/>
          <w:color w:val="666666"/>
          <w:sz w:val="18"/>
        </w:rPr>
        <w:t>Jung YS et al.  ·  Front Public Health  ·  24.09.2026  ·  PMID 42851369</w:t>
      </w:r>
    </w:p>
    <w:p>
      <w:r>
        <w:t>Trajektorien-Analyse zahnärztlicher Inanspruchnahme über 14 Jahre (Health and Retirement Study, n = 14.599, ≥ 50 Jahre) und Assoziation mit kognitiver Leistung (27-Punkte-Score), mit Mediation durch Selbst-Gesundheit und ADL-Einschränkungen.</w:t>
      </w:r>
    </w:p>
    <w:p>
      <w:r>
        <w:rPr>
          <w:b/>
        </w:rPr>
        <w:t xml:space="preserve">Ergebnis: </w:t>
      </w:r>
      <w:r>
        <w:t>Drei Trajektorien identifiziert: Persistently High (53,3%), Decreasing (14,5%), Persistent Low (32,2%). Vs. Persistent High zeigte Persistent Low schnelleren kognitiven Decline (β = -0,107 pro 2-Jahr-Welle, 95%-KI -0,133 bis -0,081; p &lt; 0,0001), entsprechend 0,75 zusätzlichen Punkten über 14 Jahre. ADL-Verschlechterung mediiert 9,3–11,6% der Assoziation. Kausale Inferenz nicht möglich.</w:t>
      </w:r>
    </w:p>
    <w:p>
      <w:r>
        <w:rPr>
          <w:b/>
          <w:sz w:val="19"/>
        </w:rPr>
        <w:t xml:space="preserve">Übertragbarkeit: </w:t>
      </w:r>
      <w:r>
        <w:rPr>
          <w:sz w:val="19"/>
        </w:rPr>
        <w:t>US-Kohorte (Health and Retirement Study), Funktionsverschlechterung als Endpunkt systemunabhängig relevant; deutsche Übertragung mit Vorbehalten zur Gesundheitssystem-spezifität.</w:t>
      </w:r>
    </w:p>
    <w:p>
      <w:r>
        <w:rPr>
          <w:color w:val="5A7D3A"/>
          <w:sz w:val="18"/>
        </w:rPr>
        <w:t>https://pubmed.ncbi.nlm.nih.gov/42851369/</w:t>
      </w:r>
    </w:p>
    <w:p>
      <w:pPr>
        <w:pStyle w:val="Heading2"/>
      </w:pPr>
      <w:r>
        <w:t>Fettmasse-zu-Magermasse-Verhältnis im Alter: Perzentil-Kurven aus kanadischer Längsschnittstudie</w:t>
      </w:r>
    </w:p>
    <w:p>
      <w:r>
        <w:rPr>
          <w:i/>
          <w:color w:val="666666"/>
          <w:sz w:val="18"/>
        </w:rPr>
        <w:t>Kim C et al.  ·  J Cachexia Sarcopenia Muscle  ·  Okt. 2026  ·  PMID 42850807</w:t>
      </w:r>
    </w:p>
    <w:p>
      <w:r>
        <w:t>Entwicklung alters- und geschlechtsspezifischer FM/FFM-Perzentil-Kurven (1. bis 99. Perzentil) aus 28.791 Personen der Canadian Longitudinal Study on Aging (DXA-Messungen), um sarkopene Adipositas zu identifizieren.</w:t>
      </w:r>
    </w:p>
    <w:p>
      <w:r>
        <w:rPr>
          <w:b/>
        </w:rPr>
        <w:t xml:space="preserve">Ergebnis: </w:t>
      </w:r>
      <w:r>
        <w:t>Bei Männern steigen FM/FFM-Perzentile langsam mit Alter bis 70 Jahre, dann Stabilisierung; bei Frauen höhere Ausgangswerte, schnellerer Anstieg bis 68 Jahre (50. Perzentil: 0,71), dann Rückgang. Männer zeigen 50. Perzentil von 0,42 im Alter 86 Jahren. Kurven zeigen relevante alters- und geschlechtsspezifische Unterschiede für Risikoidentifikation.</w:t>
      </w:r>
    </w:p>
    <w:p>
      <w:r>
        <w:rPr>
          <w:b/>
          <w:sz w:val="19"/>
        </w:rPr>
        <w:t xml:space="preserve">Übertragbarkeit: </w:t>
      </w:r>
      <w:r>
        <w:rPr>
          <w:sz w:val="19"/>
        </w:rPr>
        <w:t>Kanadische Kohorte, ähnliches Gesundheitssystem; Daten direkt auf Deutschland übertragbar.</w:t>
      </w:r>
    </w:p>
    <w:p>
      <w:r>
        <w:rPr>
          <w:color w:val="5A7D3A"/>
          <w:sz w:val="18"/>
        </w:rPr>
        <w:t>https://pubmed.ncbi.nlm.nih.gov/42850807/</w:t>
      </w:r>
    </w:p>
    <w:p>
      <w:pPr>
        <w:pStyle w:val="Heading2"/>
      </w:pPr>
      <w:r>
        <w:t>Vitamin-D-Mangel und Sterblichkeit im Alter: Kohorten-Follow-up und Supplementierungseffekt</w:t>
      </w:r>
    </w:p>
    <w:p>
      <w:r>
        <w:rPr>
          <w:i/>
          <w:color w:val="666666"/>
          <w:sz w:val="18"/>
        </w:rPr>
        <w:t>Israel A et al.  ·  Aging Cell  ·  Okt. 2026  ·  PMID 42850752</w:t>
      </w:r>
    </w:p>
    <w:p>
      <w:r>
        <w:t>Longitudinale Analyse von über 468.500 Personen (israelisches und US-amerikanisches Kohorte) zur Assoziation zwischen Vitamin-D-Status und Alterungs-bezogenen Outcomes über bis zu 10 Jahren, mit Modellierung der Supplementierungs-Modifizierbarkeit.</w:t>
      </w:r>
    </w:p>
    <w:p>
      <w:r>
        <w:rPr>
          <w:b/>
        </w:rPr>
        <w:t xml:space="preserve">Ergebnis: </w:t>
      </w:r>
      <w:r>
        <w:t>Schwerer Vitamin-D-Mangel (&lt; 10 ng/mL vs. &gt; 30 ng/mL) assoziiert mit erhöhter Gesamtsterblichkeit (Israel: HR 2,57, 95%-KI 2,38–2,79; USA: HR 1,59, 95%-KI 1,55–1,63) und Multimorbidität. Supplementierung &gt; 10 ng/mL-Äquivalent reduziert Mortalität dose-abhängig (HR 0,72, 95%-KI 0,68–0,76). Befund unterstützt Vitamin D als modifizierbare Determinante der Alterungsvulnerabilität.</w:t>
      </w:r>
    </w:p>
    <w:p>
      <w:r>
        <w:rPr>
          <w:b/>
          <w:sz w:val="19"/>
        </w:rPr>
        <w:t xml:space="preserve">Übertragbarkeit: </w:t>
      </w:r>
      <w:r>
        <w:rPr>
          <w:sz w:val="19"/>
        </w:rPr>
        <w:t>Israelische Daten vergleichbar mit Deutschland (Gesundheitssystem); US-Ergebnisse mit Vorbehalten; klinische Modifizierbarkeit ist systemunabhängig.</w:t>
      </w:r>
    </w:p>
    <w:p>
      <w:r>
        <w:rPr>
          <w:color w:val="5A7D3A"/>
          <w:sz w:val="18"/>
        </w:rPr>
        <w:t>https://pubmed.ncbi.nlm.nih.gov/42850752/</w:t>
      </w:r>
    </w:p>
    <w:p>
      <w:pPr>
        <w:pStyle w:val="Heading2"/>
      </w:pPr>
      <w:r>
        <w:t>Ernährungsdiversität und Depression bei älteren Landbewohnern in China: dynamische Assoziationen</w:t>
      </w:r>
    </w:p>
    <w:p>
      <w:r>
        <w:rPr>
          <w:i/>
          <w:color w:val="666666"/>
          <w:sz w:val="18"/>
        </w:rPr>
        <w:t>Luohong et al.  ·  BMC Public Health  ·  24.07.2026  ·  PMID 42850599</w:t>
      </w:r>
    </w:p>
    <w:p>
      <w:r>
        <w:t>Latent Class Growth Analysis mit Netzwerk-Analyse (n = 899 ländliche Personen ≥ 60 Jahre, China, 2011–2018) zur Assoziation zwischen Ernährungsdiversitäts-Trajektorien und depressiven Symptomen (CESD-10).</w:t>
      </w:r>
    </w:p>
    <w:p>
      <w:r>
        <w:rPr>
          <w:b/>
        </w:rPr>
        <w:t xml:space="preserve">Ergebnis: </w:t>
      </w:r>
      <w:r>
        <w:t>Zwei Trajektorien: hoch und graduell steigend vs. persistently low. Persistently low-Gruppe zeigte höheres Depressionsrisiko (OR = 0,54, 95%-KI 0,396–0,736), d.h. 46% niedrigeres Risiko bei hoher Diversität. Netzwerk-Intensität unterschied sich signifikant (S = 0,98, p = 0,002). Kernale Symptome variierten zwischen Gruppen. Intervention auf Kernale Symptome empfohlen.</w:t>
      </w:r>
    </w:p>
    <w:p>
      <w:r>
        <w:rPr>
          <w:b/>
          <w:sz w:val="19"/>
        </w:rPr>
        <w:t xml:space="preserve">Übertragbarkeit: </w:t>
      </w:r>
      <w:r>
        <w:rPr>
          <w:sz w:val="19"/>
        </w:rPr>
        <w:t>China; Mechanism (Ernährung–Psyche) ist aber kulturunabhängig; moderate Übertragbarkeit auf Deutschland wegen anderer Ernährungskulturen und Lebensmittel-Verfügbarkeit.</w:t>
      </w:r>
    </w:p>
    <w:p>
      <w:r>
        <w:rPr>
          <w:color w:val="5A7D3A"/>
          <w:sz w:val="18"/>
        </w:rPr>
        <w:t>https://pubmed.ncbi.nlm.nih.gov/42850599/</w:t>
      </w:r>
    </w:p>
    <w:p>
      <w:pPr>
        <w:pStyle w:val="Heading2"/>
      </w:pPr>
      <w:r>
        <w:t>Neurologische Krankheitslast in Italien: Trends 1990–2023</w:t>
      </w:r>
    </w:p>
    <w:p>
      <w:r>
        <w:rPr>
          <w:i/>
          <w:color w:val="666666"/>
          <w:sz w:val="18"/>
        </w:rPr>
        <w:t>Brigo F et al.  ·  Neurol Sci  ·  09.10.2026  ·  PMID 42850460</w:t>
      </w:r>
    </w:p>
    <w:p>
      <w:r>
        <w:t>Analyse der Krankheitslast ausgewählter neurologischer Erkrankungen in Italien über 33 Jahre mittels Global Burden of Disease 2023-Daten (DALY, YLL, YLD).</w:t>
      </w:r>
    </w:p>
    <w:p>
      <w:r>
        <w:rPr>
          <w:b/>
        </w:rPr>
        <w:t xml:space="preserve">Ergebnis: </w:t>
      </w:r>
      <w:r>
        <w:t>Gesamte altersstandardisierte DALY-Raten sanken (EAPC -1,01%, 95%-KI -1,13 bis -0,89). Zerebrovaskuläre und ZNS-Infektionen zeigten größte Reduktionen; Multiple Sklerose, Parkinson, Epilepsie und Motoneuronerkrankung nahmen zu. Geschlechtsspezifische Unterschiede: Migräne, MS, Demenz stärker bei Frauen; Schlaganfall, Parkinson, Hirntumoren bei Männern.</w:t>
      </w:r>
    </w:p>
    <w:p>
      <w:r>
        <w:rPr>
          <w:b/>
          <w:sz w:val="19"/>
        </w:rPr>
        <w:t xml:space="preserve">Übertragbarkeit: </w:t>
      </w:r>
      <w:r>
        <w:rPr>
          <w:sz w:val="19"/>
        </w:rPr>
        <w:t>Italien, europäisches Gesundheitssystem mit vergleichbarer Datenerfassung; Ergebnisse auf Deutschland gut übertragbar.</w:t>
      </w:r>
    </w:p>
    <w:p>
      <w:r>
        <w:rPr>
          <w:color w:val="5A7D3A"/>
          <w:sz w:val="18"/>
        </w:rPr>
        <w:t>https://pubmed.ncbi.nlm.nih.gov/42850460/</w:t>
      </w:r>
    </w:p>
    <w:p>
      <w:pPr>
        <w:pStyle w:val="Heading1"/>
      </w:pPr>
      <w:r>
        <w:t>Aufgenommen am 09.10.2026</w:t>
      </w:r>
    </w:p>
    <w:p>
      <w:pPr>
        <w:pStyle w:val="Heading2"/>
      </w:pPr>
      <w:r>
        <w:t>Pflege-gestützte Intervention für aktives Altern bei migrierten älteren Menschen: Cluster-RCT-Protokoll</w:t>
      </w:r>
    </w:p>
    <w:p>
      <w:r>
        <w:rPr>
          <w:i/>
          <w:color w:val="666666"/>
          <w:sz w:val="18"/>
        </w:rPr>
        <w:t>Chen Z et al.  ·  J Eval Clin Pract  ·  Okt. 2026  ·  PMID 42848871</w:t>
      </w:r>
    </w:p>
    <w:p>
      <w:r>
        <w:t>Cluster-randomisierte Kontrollierte Studie plant Evaluation einer 22-Tage-Pflegeleiter-Intervention (TSAAIP-MOA) bei älteren Migranten mit Kindern in China zur Förderung aktiven Alterns.</w:t>
      </w:r>
    </w:p>
    <w:p>
      <w:r>
        <w:rPr>
          <w:b/>
        </w:rPr>
        <w:t xml:space="preserve">Ergebnis: </w:t>
      </w:r>
      <w:r>
        <w:t>Studienprotokoll: Primäroutcome ist Level aktiven Alterns; Sekundäroutcomes sind Änderungen in intrinsischer Kapazität, Gesundheitskompetenz und sozialer Teilhabe. Datensammlung an T0 (Baseline), T1 (Post-Intervention) und T2 (1 Monat nach Beginn); wiederholte ANOVA geplant. Programm kombiniert Familien- und Gemeinde-Unterstützung mit klinischer Betreuung.</w:t>
      </w:r>
    </w:p>
    <w:p>
      <w:r>
        <w:rPr>
          <w:b/>
          <w:sz w:val="19"/>
        </w:rPr>
        <w:t xml:space="preserve">Übertragbarkeit: </w:t>
      </w:r>
      <w:r>
        <w:rPr>
          <w:sz w:val="19"/>
        </w:rPr>
        <w:t>China-Studie, Protokoll noch nicht abgeschlossen; Konzept sozialer Integration und intrinsischer Kapazität in Versorgung relevant.</w:t>
      </w:r>
    </w:p>
    <w:p>
      <w:r>
        <w:rPr>
          <w:color w:val="5A7D3A"/>
          <w:sz w:val="18"/>
        </w:rPr>
        <w:t>https://pubmed.ncbi.nlm.nih.gov/42848871/</w:t>
      </w:r>
    </w:p>
    <w:p>
      <w:pPr>
        <w:pStyle w:val="Heading2"/>
      </w:pPr>
      <w:r>
        <w:t>Hypertonie-Verlaufsmuster und Gebrechlichkeit: Progressive Hypertonie verstärkt Frailty</w:t>
      </w:r>
    </w:p>
    <w:p>
      <w:r>
        <w:rPr>
          <w:i/>
          <w:color w:val="666666"/>
          <w:sz w:val="18"/>
        </w:rPr>
        <w:t>Pi Y et al.  ·  Geriatr Gerontol Int  ·  Okt. 2026  ·  PMID 42844672</w:t>
      </w:r>
    </w:p>
    <w:p>
      <w:r>
        <w:t>Longitudinale Kohortenstudie an 6.770 Älteren (CHARLS) untersuchte, ob unterschiedliche Hypertonie-Entwicklungsmuster mit späterer Gebrechlichkeit assoziiert sind.</w:t>
      </w:r>
    </w:p>
    <w:p>
      <w:r>
        <w:rPr>
          <w:b/>
        </w:rPr>
        <w:t xml:space="preserve">Ergebnis: </w:t>
      </w:r>
      <w:r>
        <w:t>Gegenüber anhaltend normaler Blutdruck zeigten progressive Hypertonie (β = 0,013; 95 %-KI: 0,006–0,020), remittierende/fluktuierende Hypertonie (β = 0,009; 95 %-KI: 0,003–0,015) und anhaltende Hypertonie (β = 0,008; 95 %-KI: 0,002–0,014) höhere Frailty-Indizes. Systolischer Druck zeigte nichtlineare Assoziation. Cystatin C und CRP vermittelten teilweise den Effekt persistenter Hypertonie auf Gebrechlichkeit.</w:t>
      </w:r>
    </w:p>
    <w:p>
      <w:r>
        <w:rPr>
          <w:b/>
          <w:sz w:val="19"/>
        </w:rPr>
        <w:t xml:space="preserve">Übertragbarkeit: </w:t>
      </w:r>
      <w:r>
        <w:rPr>
          <w:sz w:val="19"/>
        </w:rPr>
        <w:t>Chinesische Kohortenstudie, aber Hypertonie-Gebrechlichkeit-Assoziation mechanistisch universell.</w:t>
      </w:r>
    </w:p>
    <w:p>
      <w:r>
        <w:rPr>
          <w:color w:val="5A7D3A"/>
          <w:sz w:val="18"/>
        </w:rPr>
        <w:t>https://pubmed.ncbi.nlm.nih.gov/42844672/</w:t>
      </w:r>
    </w:p>
    <w:p>
      <w:pPr>
        <w:pStyle w:val="Heading2"/>
      </w:pPr>
      <w:r>
        <w:t>Mikrobiota-Zusammensetzung vorhersagt Entzündung besser als chronologisches Alter</w:t>
      </w:r>
    </w:p>
    <w:p>
      <w:r>
        <w:rPr>
          <w:i/>
          <w:color w:val="666666"/>
          <w:sz w:val="18"/>
        </w:rPr>
        <w:t>Eriksen C et al.  ·  Nat Commun  ·  08.09.2026  ·  PMID 42844264</w:t>
      </w:r>
    </w:p>
    <w:p>
      <w:r>
        <w:t>Analyse von 1.199 Erwachsenen (20–72 Jahre) zeigte, dass Darmmikrobiota-Zusammensetzung mehr Varianz in systemischen Entzündungsmarkern erklärt als Alter und mit Erkrankungsrisiko assoziiert ist.</w:t>
      </w:r>
    </w:p>
    <w:p>
      <w:r>
        <w:rPr>
          <w:b/>
        </w:rPr>
        <w:t xml:space="preserve">Ergebnis: </w:t>
      </w:r>
      <w:r>
        <w:t>Mikrobiota erklärte mehr Varianz als Alter für 97 % der Zytokine und 84 % der physiologischen Variablen. Bacteroides-2-Enterotyp zeigte inflammaging-ähnliches Phänotyp bereits in frühem Erwachsenenalter (bis zu 37 Jahre früher) mit erhöhtem Erkrankungsrisiko (Hazard Ratio 1,21; 95 %-KI: 1,18–1,25). High-Diversity-Enterotyp war mit niedriger Entzündung und reduziertem Risiko assoziiert. Mikrobiota ist ein stärkerer Entzündungskorrelat als chronologisches Alter.</w:t>
      </w:r>
    </w:p>
    <w:p>
      <w:r>
        <w:rPr>
          <w:b/>
          <w:sz w:val="19"/>
        </w:rPr>
        <w:t xml:space="preserve">Übertragbarkeit: </w:t>
      </w:r>
      <w:r>
        <w:rPr>
          <w:sz w:val="19"/>
        </w:rPr>
        <w:t>Dänische Bevölkerungsstudie, Mechanismus altersunabhängig, auf Deutschland übertragbar.</w:t>
      </w:r>
    </w:p>
    <w:p>
      <w:r>
        <w:rPr>
          <w:color w:val="5A7D3A"/>
          <w:sz w:val="18"/>
        </w:rPr>
        <w:t>https://pubmed.ncbi.nlm.nih.gov/42844264/</w:t>
      </w:r>
    </w:p>
    <w:p>
      <w:pPr>
        <w:pStyle w:val="Heading2"/>
      </w:pPr>
      <w:r>
        <w:t>Gebrechlichkeit bei älteren COPD-Patienten vorhersagt Exazerbationen und Klinikaufenthalte</w:t>
      </w:r>
    </w:p>
    <w:p>
      <w:r>
        <w:rPr>
          <w:i/>
          <w:color w:val="666666"/>
          <w:sz w:val="18"/>
        </w:rPr>
        <w:t>Bardakci MI et al.  ·  Colomb Med (Cali)  ·  30.03.2026  ·  PMID 42840874</w:t>
      </w:r>
    </w:p>
    <w:p>
      <w:r>
        <w:t>Querschnittstudie an 112 älteren COPD-Patienten (≥65 Jahre) prüfte, ob Gebrechlichkeit mit Krankheitsschwere, Exazerbationen und Hospitalisierungen korreliert.</w:t>
      </w:r>
    </w:p>
    <w:p>
      <w:r>
        <w:rPr>
          <w:b/>
        </w:rPr>
        <w:t xml:space="preserve">Ergebnis: </w:t>
      </w:r>
      <w:r>
        <w:t>Gebrechlichkeit-Prävalenz 49,1 % (55/112). Signifikante negative Korrelation zwischen FRAIL-Score und FEV1 % (rs −0,695; 95 %-KI: −0,782 bis −0,581; p &lt; 0,001). Positive Korrelationen mit CAT (rs 0,840; p &lt; 0,001) und mMRC (rs 0,733; p &lt; 0,001). Patienten mit höheren FRAIL-Scores hatten signifikant mehr Exazerbationen und Klinikaufenthalte (p &lt; 0,001).</w:t>
      </w:r>
    </w:p>
    <w:p>
      <w:r>
        <w:rPr>
          <w:b/>
          <w:sz w:val="19"/>
        </w:rPr>
        <w:t xml:space="preserve">Übertragbarkeit: </w:t>
      </w:r>
      <w:r>
        <w:rPr>
          <w:sz w:val="19"/>
        </w:rPr>
        <w:t>Türkische Studie, aber FRAIL-Score und COPD-Ergebnis international etabliert.</w:t>
      </w:r>
    </w:p>
    <w:p>
      <w:r>
        <w:rPr>
          <w:color w:val="5A7D3A"/>
          <w:sz w:val="18"/>
        </w:rPr>
        <w:t>https://pubmed.ncbi.nlm.nih.gov/42840874/</w:t>
      </w:r>
    </w:p>
    <w:p>
      <w:pPr>
        <w:pStyle w:val="Heading2"/>
      </w:pPr>
      <w:r>
        <w:t>CKM-spezifischer Aging-Index vorhersagt Mortalität besser als universelle biologische Alter</w:t>
      </w:r>
    </w:p>
    <w:p>
      <w:r>
        <w:rPr>
          <w:i/>
          <w:color w:val="666666"/>
          <w:sz w:val="18"/>
        </w:rPr>
        <w:t>Zhu Z et al.  ·  PLoS Med  ·  06.10.2026  ·  PMID 42837317</w:t>
      </w:r>
    </w:p>
    <w:p>
      <w:r>
        <w:t>Maschinelles Lernen an 6.896 NHANES-Teilnehmern entwickelte einen Cardiovascular-Kidney-Metabolic-spezifischen Aging-Index (CKMAI) zur Risikostratifizierung und Mortalitätsprognose.</w:t>
      </w:r>
    </w:p>
    <w:p>
      <w:r>
        <w:rPr>
          <w:b/>
        </w:rPr>
        <w:t xml:space="preserve">Ergebnis: </w:t>
      </w:r>
      <w:r>
        <w:t>CKMAI übertraf PhenoAge, KDM und CMI in allen Outcomes. Zeit-abhängige AUC für Gesamtmortalität: 0,893 (95 %-KI: 0,851–0,925) nach 3 Jahren, 0,907 (95 %-KI: 0,884–0,927) nach 5 Jahren, 0,890 (95 %-KI: 0,868–0,910) nach 10 Jahren. Schwellwertanalyse identifizierte Inflexionspunkte mit steileren Risikoerhöhungen darunter. Sechs Phänotypen-Cluster; Frailty-Cluster zeigte höchstes Mortalitätsrisiko (HR 11,74; 95 %-KI: 7,85–17,57).</w:t>
      </w:r>
    </w:p>
    <w:p>
      <w:r>
        <w:rPr>
          <w:b/>
          <w:sz w:val="19"/>
        </w:rPr>
        <w:t xml:space="preserve">Übertragbarkeit: </w:t>
      </w:r>
      <w:r>
        <w:rPr>
          <w:sz w:val="19"/>
        </w:rPr>
        <w:t>USA-Daten (NHANES), aber metabolische Pathophysiologie universell, externe Validierung in China.</w:t>
      </w:r>
    </w:p>
    <w:p>
      <w:r>
        <w:rPr>
          <w:color w:val="5A7D3A"/>
          <w:sz w:val="18"/>
        </w:rPr>
        <w:t>https://pubmed.ncbi.nlm.nih.gov/42837317/</w:t>
      </w:r>
    </w:p>
    <w:p>
      <w:pPr>
        <w:pStyle w:val="Heading2"/>
      </w:pPr>
      <w:r>
        <w:t>Chronische Krisen und biologisches Altern: Stress beschleunigt Frailty und funktionalen Verfall</w:t>
      </w:r>
    </w:p>
    <w:p>
      <w:r>
        <w:rPr>
          <w:i/>
          <w:color w:val="666666"/>
          <w:sz w:val="18"/>
        </w:rPr>
        <w:t>Lushchak O et al.  ·  Biogerontology  ·  03.09.2026  ·  PMID 42690451</w:t>
      </w:r>
    </w:p>
    <w:p>
      <w:r>
        <w:t>Perspektivarbeit argumentiert, dass prolongierte Krisen (beispielsweise Krieg) chronische biologische Alterungsprozesse durch Stressachsen-Überaktivierung, Schlafstörung, Entzündung und Sarkopenie beschleunigen.</w:t>
      </w:r>
    </w:p>
    <w:p>
      <w:r>
        <w:rPr>
          <w:b/>
        </w:rPr>
        <w:t xml:space="preserve">Ergebnis: </w:t>
      </w:r>
      <w:r>
        <w:t>Konzeptrahmen verbindet HPA-Achsen-Aktivierung, Glukokortikoid-Dysregulation, ROS-Produktion, zelluläre Seneszenz und Mitochondrien-Dysfunktion mit abdominalem Übergewicht, sarkopener Adipositas, Frailty und funktionalem Verfall unter Krisenbedingungen. Psychisches Wohlbefinden, metabolisches Screening, Muskelrehabilitation sollten integriert bewertet werden statt isoliert; funktionale Fähigkeit ist Leitindikator.</w:t>
      </w:r>
    </w:p>
    <w:p>
      <w:r>
        <w:rPr>
          <w:b/>
          <w:sz w:val="19"/>
        </w:rPr>
        <w:t xml:space="preserve">Übertragbarkeit: </w:t>
      </w:r>
      <w:r>
        <w:rPr>
          <w:sz w:val="19"/>
        </w:rPr>
        <w:t>Ukraine-Fallbeispiel; biologische Mechanismen krisen- und kontextabhängig, aber Prinzipien für Vulnerabilität älterer Menschen universal.</w:t>
      </w:r>
    </w:p>
    <w:p>
      <w:r>
        <w:rPr>
          <w:color w:val="5A7D3A"/>
          <w:sz w:val="18"/>
        </w:rPr>
        <w:t>https://pubmed.ncbi.nlm.nih.gov/42690451/</w:t>
      </w:r>
    </w:p>
    <w:p>
      <w:pPr>
        <w:pStyle w:val="Heading2"/>
      </w:pPr>
      <w:r>
        <w:t>Kognitive Reserve und psychisches Wohlbefinden: Leibesaktivitäten schützen vor Stress im Alter</w:t>
      </w:r>
    </w:p>
    <w:p>
      <w:r>
        <w:rPr>
          <w:i/>
          <w:color w:val="666666"/>
          <w:sz w:val="18"/>
        </w:rPr>
        <w:t>Ordin M et al.  ·  Brain Behav  ·  Sept. 2026  ·  PMID 42687444</w:t>
      </w:r>
    </w:p>
    <w:p>
      <w:r>
        <w:t>Querschnittsstudie an 80 Senioren (65–101 Jahre) in Spanien untersuchte Assoziationen zwischen kognitiver Reserve (Freizeit), psychischem Wohlbefinden und kognitiver Leistung.</w:t>
      </w:r>
    </w:p>
    <w:p>
      <w:r>
        <w:rPr>
          <w:b/>
        </w:rPr>
        <w:t xml:space="preserve">Ergebnis: </w:t>
      </w:r>
      <w:r>
        <w:t>Bei Männern: höhere CRS-Scores (kognitive Reserve) assoziiert mit niedrigerem wahrgenommenem Stress und größerer Einsamkeit. CRS-Scores korreliert mit ausgewählten Aufmerksamkeitsmaßen. Keine signifikante Assoziation zwischen CRS und Gedächtnisspanne. Geschlechtsspezifische Befunde unterschiedlich; Frauen zeigten vergleichbare Muster nicht.</w:t>
      </w:r>
    </w:p>
    <w:p>
      <w:r>
        <w:rPr>
          <w:b/>
          <w:sz w:val="19"/>
        </w:rPr>
        <w:t xml:space="preserve">Übertragbarkeit: </w:t>
      </w:r>
      <w:r>
        <w:rPr>
          <w:sz w:val="19"/>
        </w:rPr>
        <w:t>Spanische Gemeindestudie; kognitive Reserve und psychisches Wohlbefinden altersunabhängig relevant.</w:t>
      </w:r>
    </w:p>
    <w:p>
      <w:r>
        <w:rPr>
          <w:color w:val="5A7D3A"/>
          <w:sz w:val="18"/>
        </w:rPr>
        <w:t>https://pubmed.ncbi.nlm.nih.gov/42687444/</w:t>
      </w:r>
    </w:p>
    <w:p>
      <w:pPr>
        <w:pStyle w:val="Heading1"/>
      </w:pPr>
      <w:r>
        <w:t>Aufgenommen am 08.10.2026</w:t>
      </w:r>
    </w:p>
    <w:p>
      <w:pPr>
        <w:pStyle w:val="Heading2"/>
      </w:pPr>
      <w:r>
        <w:t>Hitzewellen gefährden geriatrische Versorgungspfade – Stresstest zeigt Systemfragmentierung</w:t>
      </w:r>
    </w:p>
    <w:p>
      <w:r>
        <w:rPr>
          <w:i/>
          <w:color w:val="666666"/>
          <w:sz w:val="18"/>
        </w:rPr>
        <w:t>Annweiler C et al.  ·  Geriatr Psychol Neuropsychiatr Vieil  ·  01.09.2026  ·  PMID 42842818</w:t>
      </w:r>
    </w:p>
    <w:p>
      <w:r>
        <w:t>Beobachtungsstudie zu Auswirkungen der Hitzewelle Juni/Juli 2026 auf akute geriatrische Stationen und Rehabilitationseinheiten in Frankreich mit Erfassung von Raumtemperaturen, Kapazitätsbelastung und organisatorischen Anpassungen.</w:t>
      </w:r>
    </w:p>
    <w:p>
      <w:r>
        <w:rPr>
          <w:b/>
        </w:rPr>
        <w:t xml:space="preserve">Ergebnis: </w:t>
      </w:r>
      <w:r>
        <w:t>45,5 % der Stationen meldeten zunächst unerträgliche Patientenzimmertemperaturen, 88,4 % Personalermüdung. Eine Woche später besserten sich die Akutsymptome (tolerable Temperaturen 53,6 % → 100 %, p&lt;0,001; Notaufnahmebelastung 91,1 % → 63,3 %, p&lt;0,001), doch die Downstream-Kapazität blieb kritisch: 87,5 % der Stationen meldeten unzureichende Rehabilitationskapazität, die sich nicht verbesserte (86,7 %, p=0,903). Gekürzte Räume und Geräte reduzierten Hitzekomplikationen. Das Hitzeereignis offenbarte ein bereits fragiles System mit persistenter Versorgungsfragmentierung.</w:t>
      </w:r>
    </w:p>
    <w:p>
      <w:r>
        <w:rPr>
          <w:b/>
          <w:sz w:val="19"/>
        </w:rPr>
        <w:t xml:space="preserve">Übertragbarkeit: </w:t>
      </w:r>
      <w:r>
        <w:rPr>
          <w:sz w:val="19"/>
        </w:rPr>
        <w:t>Frankreich, deutsche Versorgung vergleichbar gefährdet; Klimaresilenz Gesundheitswesen zentrale Strategie</w:t>
      </w:r>
    </w:p>
    <w:p>
      <w:r>
        <w:rPr>
          <w:color w:val="5A7D3A"/>
          <w:sz w:val="18"/>
        </w:rPr>
        <w:t>https://pubmed.ncbi.nlm.nih.gov/42842818/</w:t>
      </w:r>
    </w:p>
    <w:p>
      <w:pPr>
        <w:pStyle w:val="Heading2"/>
      </w:pPr>
      <w:r>
        <w:t>Kohlenhydrat-Fett-Verhältnis positiv mit Gebrechlichkeit assoziiert – Ernährungsempfehlung für Ältere</w:t>
      </w:r>
    </w:p>
    <w:p>
      <w:r>
        <w:rPr>
          <w:i/>
          <w:color w:val="666666"/>
          <w:sz w:val="18"/>
        </w:rPr>
        <w:t>Nanri H et al.  ·  Eur J Nutr  ·  07.10.2026  ·  PMID 42841976</w:t>
      </w:r>
    </w:p>
    <w:p>
      <w:r>
        <w:t>Querschnittstudie an 5.679 älteren Japanern (≥65 Jahre) zur Assoziation des Kohlenhydrat-zu-Fett-Energieverh ältnisses (CFr) mit umfassender Gebrechlichkeit (Kihon-Checklist-Score ≥7) über multivariable logistische Regression mit Stratifizierung nach Proteinzufuhr.</w:t>
      </w:r>
    </w:p>
    <w:p>
      <w:r>
        <w:rPr>
          <w:b/>
        </w:rPr>
        <w:t xml:space="preserve">Ergebnis: </w:t>
      </w:r>
      <w:r>
        <w:t>30,0 % (1.705/5.679) zeigten umfassende Gebrechlichkeit. Adjustierte Odds-Ratios für höchstes CFr-Quartil vs. niedrigstes: 1,92 (95%-KI 1,55–2,38, p&lt;0,001). Dose-Wirkung-Beziehung linear über alle Geschlechter und Proteinzufuhr-Tertile, ohne Effektmodifikation. Höhere Kohlenhydrate bei moderater Fettreduktion assoziiert mit erhöhter Gebrechlichkeitsprä valenz, unabhängig von Proteinmenge.</w:t>
      </w:r>
    </w:p>
    <w:p>
      <w:r>
        <w:rPr>
          <w:b/>
          <w:sz w:val="19"/>
        </w:rPr>
        <w:t xml:space="preserve">Übertragbarkeit: </w:t>
      </w:r>
      <w:r>
        <w:rPr>
          <w:sz w:val="19"/>
        </w:rPr>
        <w:t>Japan, Ernährungsepidemiologie; Qualität beschränkt auf Querschnitt ohne Kausalität</w:t>
      </w:r>
    </w:p>
    <w:p>
      <w:r>
        <w:rPr>
          <w:color w:val="5A7D3A"/>
          <w:sz w:val="18"/>
        </w:rPr>
        <w:t>https://pubmed.ncbi.nlm.nih.gov/42841976/</w:t>
      </w:r>
    </w:p>
    <w:p>
      <w:pPr>
        <w:pStyle w:val="Heading2"/>
      </w:pPr>
      <w:r>
        <w:t>Gebrechlichkeit vorhersagt prolongierte Hospitalisierung und schlechtere Outcomes nach Quadrizeps-Sehnenriss</w:t>
      </w:r>
    </w:p>
    <w:p>
      <w:r>
        <w:rPr>
          <w:i/>
          <w:color w:val="666666"/>
          <w:sz w:val="18"/>
        </w:rPr>
        <w:t>Ozdemir E et al.  ·  Ulus Travma Acil Cerrahi Derg  ·  Okt. 2026  ·  PMID 42841891</w:t>
      </w:r>
    </w:p>
    <w:p>
      <w:r>
        <w:t>Retrospektive multizentrische Kohortenstudie an 67 älteren Patienten (Mittelwert 57,5 Jahre) mit akutem Quadrizeps-Sehnenriss, bewertet mit modifiziertem Frailty Index (mFI-5) und Clinical Frailty Scale (CFS) zur Vorhersage von Aufenthaltsdauer und funktionaler Erholung (Lysholm-Score ≥12 Monate).</w:t>
      </w:r>
    </w:p>
    <w:p>
      <w:r>
        <w:rPr>
          <w:b/>
        </w:rPr>
        <w:t xml:space="preserve">Ergebnis: </w:t>
      </w:r>
      <w:r>
        <w:t>Höhere mFI-5-Scores waren mit prolongierter Hospitalisierungsdauer assoziiert (r=0,404, p&lt;0,001); jeder 1-Punkt-Anstieg sagte 1,26 Tage längeren Aufenthalt voraus (95%-KI 0,61–1,90; R²=0,337). CFS war unabhängig mit schlechterer Erholung verbunden: jeder 1-Punkt-Anstieg entsprach 4,32-Punkt-Reduktion im Lysholm-Score (95%-KI –6,98 bis –1,67; R²=0,163). Höchstes Risiko-Quartil zeigte 16,7× erhöhtes Mortalitätsrisiko.</w:t>
      </w:r>
    </w:p>
    <w:p>
      <w:r>
        <w:rPr>
          <w:b/>
          <w:sz w:val="19"/>
        </w:rPr>
        <w:t xml:space="preserve">Übertragbarkeit: </w:t>
      </w:r>
      <w:r>
        <w:rPr>
          <w:sz w:val="19"/>
        </w:rPr>
        <w:t>Türkei, Orthopädie-Versorgung vergleichbar; geriatrisches Assessment umsetzbar</w:t>
      </w:r>
    </w:p>
    <w:p>
      <w:r>
        <w:rPr>
          <w:color w:val="5A7D3A"/>
          <w:sz w:val="18"/>
        </w:rPr>
        <w:t>https://pubmed.ncbi.nlm.nih.gov/42841891/</w:t>
      </w:r>
    </w:p>
    <w:p>
      <w:pPr>
        <w:pStyle w:val="Heading2"/>
      </w:pPr>
      <w:r>
        <w:t>Biofeedback reduziert Schwindel-Beeinträchtigung im Alltag älterer Menschen</w:t>
      </w:r>
    </w:p>
    <w:p>
      <w:r>
        <w:rPr>
          <w:i/>
          <w:color w:val="666666"/>
          <w:sz w:val="18"/>
        </w:rPr>
        <w:t>Chiara B et al.  ·  Curr Aging Sci  ·  2026  ·  PMID 42841459</w:t>
      </w:r>
    </w:p>
    <w:p>
      <w:r>
        <w:t>Randomisierte kontrollierte Studie zur Wirksamkeit von Biofeedback-Training (Procomp Infinity) bei 190 älteren Ambulanzpatienten (&gt;65 Jahre) mit Schwindel über 3 Monate ohne Auffrischungssitzungen.</w:t>
      </w:r>
    </w:p>
    <w:p>
      <w:r>
        <w:rPr>
          <w:b/>
        </w:rPr>
        <w:t xml:space="preserve">Ergebnis: </w:t>
      </w:r>
      <w:r>
        <w:t>Repeated-ANOVA zeigte signifikante Reduktion der Dizziness-Handicap-Inventory(DHI)-Scores nach 3 Monaten in der Biofeedback-Gruppe; Patienten lernten durch Muskelentspannung und Atemkontrolle, die Symptome zu bewältigen und erlangten Selbstwirksamkeit. Die Intervention reduzierte die funktionalen Auswirkungen von Schwindel und Instabilität im alltäglichen Leben substanziell.</w:t>
      </w:r>
    </w:p>
    <w:p>
      <w:r>
        <w:rPr>
          <w:b/>
          <w:sz w:val="19"/>
        </w:rPr>
        <w:t xml:space="preserve">Übertragbarkeit: </w:t>
      </w:r>
      <w:r>
        <w:rPr>
          <w:sz w:val="19"/>
        </w:rPr>
        <w:t>Italien, Methode kulturübergreifend übertragbar; Effektgröße in Abstract nicht quantifiziert</w:t>
      </w:r>
    </w:p>
    <w:p>
      <w:r>
        <w:rPr>
          <w:color w:val="5A7D3A"/>
          <w:sz w:val="18"/>
        </w:rPr>
        <w:t>https://pubmed.ncbi.nlm.nih.gov/42841459/</w:t>
      </w:r>
    </w:p>
    <w:p>
      <w:pPr>
        <w:pStyle w:val="Heading2"/>
      </w:pPr>
      <w:r>
        <w:t>Beschleunigtes Hirnaltern bei psychiatrischen und neurodegenerativen Störungen quantifiziert</w:t>
      </w:r>
    </w:p>
    <w:p>
      <w:r>
        <w:rPr>
          <w:i/>
          <w:color w:val="666666"/>
          <w:sz w:val="18"/>
        </w:rPr>
        <w:t>Gupta Y et al.  ·  Psychol Med  ·  07.10.2026  ·  PMID 42839301</w:t>
      </w:r>
    </w:p>
    <w:p>
      <w:r>
        <w:t>Lifespan-MRT-Studie an 25.425 Gesunden (Alter 2–95 Jahre) und 3.530 Patienten mit Schizophrenie, Depression, bipolarer Störung, ADHS, Substanzabhängigkeit, Alzheimer und FTD zur Bestimmung eines Brain-Predicted-Age-Difference (brain-PAD).</w:t>
      </w:r>
    </w:p>
    <w:p>
      <w:r>
        <w:rPr>
          <w:b/>
        </w:rPr>
        <w:t xml:space="preserve">Ergebnis: </w:t>
      </w:r>
      <w:r>
        <w:t>Modell erreichte mittleren absoluten Fehler von 5–7 Jahren. Signifikante Erhöhung von Δbrain-PAD bei Schizophrenie (+7,64 Jahre), FTD (+7,61), Alzheimer (+3,24), bipolarer Störung (+2,08), Depression (+2,76) und CSUD (+2,91 Jahre), nicht bei ADHS. Regionale Analysen zeigten gemeinsame und störungsspezifische morphometrische Alterationen. Effekt: Quantitativer Rahmen für Hirnaltern über Störungen hinweg, aber mechanistischer Versorgungsbezug fehlt.</w:t>
      </w:r>
    </w:p>
    <w:p>
      <w:r>
        <w:rPr>
          <w:b/>
          <w:sz w:val="19"/>
        </w:rPr>
        <w:t xml:space="preserve">Übertragbarkeit: </w:t>
      </w:r>
      <w:r>
        <w:rPr>
          <w:sz w:val="19"/>
        </w:rPr>
        <w:t>Deutschland, Forschung; Mechanismus-Biomarker ohne Behandlungsendpunkt – begrenzte geriatrische Relevanz</w:t>
      </w:r>
    </w:p>
    <w:p>
      <w:r>
        <w:rPr>
          <w:color w:val="5A7D3A"/>
          <w:sz w:val="18"/>
        </w:rPr>
        <w:t>https://pubmed.ncbi.nlm.nih.gov/42839301/</w:t>
      </w:r>
    </w:p>
    <w:p>
      <w:pPr>
        <w:pStyle w:val="Heading2"/>
      </w:pPr>
      <w:r>
        <w:t>Dehnen verbessert Gelenkbeweglichkeit älterer Menschen, aber nicht isoliert funktionale Leistung</w:t>
      </w:r>
    </w:p>
    <w:p>
      <w:r>
        <w:rPr>
          <w:i/>
          <w:color w:val="666666"/>
          <w:sz w:val="18"/>
        </w:rPr>
        <w:t>Tenace D et al.  ·  Recenti Prog Med  ·  Okt. 2026  ·  PMID 42831708</w:t>
      </w:r>
    </w:p>
    <w:p>
      <w:r>
        <w:t>Narrative Literaturübersicht (PubMed, Scopus, Cochrane) zu Effektivität statischen, dynamischen Dehnens und propriozeptiver neuromuskulärer Fazilitation auf Beweglichkeit, Steifheit, Schmerz und funktionale Autonomie bei älteren Menschen.</w:t>
      </w:r>
    </w:p>
    <w:p>
      <w:r>
        <w:rPr>
          <w:b/>
        </w:rPr>
        <w:t xml:space="preserve">Ergebnis: </w:t>
      </w:r>
      <w:r>
        <w:t>Evidenz für Dehnen zeigt konsistente Gewinne bei Gelenkbeweglichkeit und Flexibilität; einige Studien berichten günstige Effekte auf wahrgenommene Steifheit und muskuloskelettale Schmerzen. Verbesserungen der Gesamtfunktion, Balance und Sturzprävention sind jedoch weniger konsistent. Fazit: Dehnen ist kein Monotherapie-Ansatz, sondern komplementäre Komponente in Multikomponenten-Programmen, am wirksamsten für Mobilitätsgewinne bei Menschen mit Ausgangsfunktionsverlust.</w:t>
      </w:r>
    </w:p>
    <w:p>
      <w:r>
        <w:rPr>
          <w:b/>
          <w:sz w:val="19"/>
        </w:rPr>
        <w:t xml:space="preserve">Übertragbarkeit: </w:t>
      </w:r>
      <w:r>
        <w:rPr>
          <w:sz w:val="19"/>
        </w:rPr>
        <w:t>Italien, Evidenzlage europäisch dominiert, methodisch konsistent</w:t>
      </w:r>
    </w:p>
    <w:p>
      <w:r>
        <w:rPr>
          <w:color w:val="5A7D3A"/>
          <w:sz w:val="18"/>
        </w:rPr>
        <w:t>https://pubmed.ncbi.nlm.nih.gov/42831708/</w:t>
      </w:r>
    </w:p>
    <w:p>
      <w:pPr>
        <w:pStyle w:val="Heading2"/>
      </w:pPr>
      <w:r>
        <w:t>Resilienz ist häufige, aber nicht universelle Reaktion auf funktionalen Gesundheitsverlust im Alter</w:t>
      </w:r>
    </w:p>
    <w:p>
      <w:r>
        <w:rPr>
          <w:i/>
          <w:color w:val="666666"/>
          <w:sz w:val="18"/>
        </w:rPr>
        <w:t>Köhler T et al.  ·  Soc Sci Med  ·  29.08.2026  ·  PMID 42700481</w:t>
      </w:r>
    </w:p>
    <w:p>
      <w:r>
        <w:t>Growth-Mixture-Modelling-Analyse von SHARE-Daten zu Anpassungstrajektorien der Lebensqualität nach Beginn von Aktivitätseinschränkungen bei älteren Menschen (Match-Kontroll-Design für Kausalitätsattribution).</w:t>
      </w:r>
    </w:p>
    <w:p>
      <w:r>
        <w:rPr>
          <w:b/>
        </w:rPr>
        <w:t xml:space="preserve">Ergebnis: </w:t>
      </w:r>
      <w:r>
        <w:t>Bei Lebenszufriedenheit und Lebensqualität entstanden 3 Trajektorien mit Resilienz als Modalantwort (86,5 % bzw. 78,7 %); bei depressiven Symptomen 4 Trajektorien mit gleichen Anteilen resilient und chronisch (je 43,4 %). Stärkere Behinderung sagte Erholungstrajektorie voraus, vorbestehende Limitations und sozioökonomische Benachteiligung waren mit chronischen Pfaden assoziiert. Befund: Resilienz ist verbreitet, aber nicht uniform; multidimensionale Outcomes essentiell.</w:t>
      </w:r>
    </w:p>
    <w:p>
      <w:r>
        <w:rPr>
          <w:b/>
          <w:sz w:val="19"/>
        </w:rPr>
        <w:t xml:space="preserve">Übertragbarkeit: </w:t>
      </w:r>
      <w:r>
        <w:rPr>
          <w:sz w:val="19"/>
        </w:rPr>
        <w:t>Europa (SHARE), deutsches Sozialversicherungssystem direkt übertragbar</w:t>
      </w:r>
    </w:p>
    <w:p>
      <w:r>
        <w:rPr>
          <w:color w:val="5A7D3A"/>
          <w:sz w:val="18"/>
        </w:rPr>
        <w:t>https://pubmed.ncbi.nlm.nih.gov/42700481/</w:t>
      </w:r>
    </w:p>
    <w:p>
      <w:pPr>
        <w:pStyle w:val="Heading1"/>
      </w:pPr>
      <w:r>
        <w:t>Aufgenommen am 07.10.2026</w:t>
      </w:r>
    </w:p>
    <w:p>
      <w:pPr>
        <w:pStyle w:val="Heading2"/>
      </w:pPr>
      <w:r>
        <w:t>Kohorte der Altern-Studie Add Health in mittlerem Alter mit schlechterer Gesundheit als Vorgängergenerationen</w:t>
      </w:r>
    </w:p>
    <w:p>
      <w:r>
        <w:rPr>
          <w:i/>
          <w:color w:val="666666"/>
          <w:sz w:val="18"/>
        </w:rPr>
        <w:t>Gaydosh L et al.  ·  J Gerontol B Psychol Sci Soc Sci  ·  01.10.2026  ·  PMID 42837509</w:t>
      </w:r>
    </w:p>
    <w:p>
      <w:r>
        <w:t>Add Health Welle VI (Durchschnittsalter 44 Jahre, n=11.979) und Vergleich mit NHANES-Kohorten: Analyse von Altersmustern in Allgemeingesundheit, psychischer Gesundheit, Gesundheitsverhalten und chronischen Erkrankungen über Lebensabschnitte.</w:t>
      </w:r>
    </w:p>
    <w:p>
      <w:r>
        <w:rPr>
          <w:b/>
        </w:rPr>
        <w:t xml:space="preserve">Ergebnis: </w:t>
      </w:r>
      <w:r>
        <w:t>Add Health zeigte beim Alterungsübergang in Mittelalter Verschlechterung in Allgemeingesundheit, psychischer Gesundheit und chronischen Erkrankungen, während Gesundheitsverhalten sich verbesserte. Im Vergleich zu NHANES-Kohorten: Add Health-Kohorte hat schlechtere Gesundheit als ältere Kohorten und teilweise schlechter als eigene Geburtskohorte zu früheren Zeitpunkten. Bildungsgradienten sind relativ stabil, mit einigen Anzeichen von Zunahme über Zeit.</w:t>
      </w:r>
    </w:p>
    <w:p>
      <w:r>
        <w:rPr>
          <w:b/>
          <w:sz w:val="19"/>
        </w:rPr>
        <w:t xml:space="preserve">Übertragbarkeit: </w:t>
      </w:r>
      <w:r>
        <w:rPr>
          <w:sz w:val="19"/>
        </w:rPr>
        <w:t>USA, begrenzt auf US-Versorgungskontext; Trends sozioökonomischer Disparitäten aber universal relevant</w:t>
      </w:r>
    </w:p>
    <w:p>
      <w:r>
        <w:rPr>
          <w:color w:val="5A7D3A"/>
          <w:sz w:val="18"/>
        </w:rPr>
        <w:t>https://pubmed.ncbi.nlm.nih.gov/42837509/</w:t>
      </w:r>
    </w:p>
    <w:p>
      <w:pPr>
        <w:pStyle w:val="Heading2"/>
      </w:pPr>
      <w:r>
        <w:t>Soziale Isolation und Einsamkeit vorhersagend für kognitive Verschlechterung von Jugend bis Alter</w:t>
      </w:r>
    </w:p>
    <w:p>
      <w:r>
        <w:rPr>
          <w:i/>
          <w:color w:val="666666"/>
          <w:sz w:val="18"/>
        </w:rPr>
        <w:t>Yang YC et al.  ·  J Gerontol B Psychol Sci Soc Sci  ·  01.10.2026  ·  PMID 42837505</w:t>
      </w:r>
    </w:p>
    <w:p>
      <w:r>
        <w:t>Koordinierte Längsschnittanalyse von drei großen US-Kohorten (Add Health, MIDUS, HRS; n=18.553, Alter 11+), um Zusammenhang zwischen Isolations-/Einsamkeitsmuster und Gedächtnisschwund über Lebensverlauf zu prüfen.</w:t>
      </w:r>
    </w:p>
    <w:p>
      <w:r>
        <w:rPr>
          <w:b/>
        </w:rPr>
        <w:t xml:space="preserve">Ergebnis: </w:t>
      </w:r>
      <w:r>
        <w:t>Starke negative Effekte sozialer Isolation in jungem und älterem Erwachsenenalter, Einsamkeit besonders im Alter auf Gedächtnisfunktion. Persistente (nicht nur transiente) Isolation und Einsamkeit waren mit schlechteren Merkfähigkeitswerten verbunden (p&lt;0,05 nach Adjustierung). Effekte blieben signifikant auch nach Anpassung für soziodemografische und Verhaltensfaktoren, zeigten sich aber weniger konsistent als Niveau-Effekte.</w:t>
      </w:r>
    </w:p>
    <w:p>
      <w:r>
        <w:rPr>
          <w:b/>
          <w:sz w:val="19"/>
        </w:rPr>
        <w:t xml:space="preserve">Übertragbarkeit: </w:t>
      </w:r>
      <w:r>
        <w:rPr>
          <w:sz w:val="19"/>
        </w:rPr>
        <w:t>USA-Kohorten, Mechanismen wahrscheinlich übertragbar; Ausmaß hängt von Sozialstruktur ab</w:t>
      </w:r>
    </w:p>
    <w:p>
      <w:r>
        <w:rPr>
          <w:color w:val="5A7D3A"/>
          <w:sz w:val="18"/>
        </w:rPr>
        <w:t>https://pubmed.ncbi.nlm.nih.gov/42837505/</w:t>
      </w:r>
    </w:p>
    <w:p>
      <w:pPr>
        <w:pStyle w:val="Heading2"/>
      </w:pPr>
      <w:r>
        <w:t>Soziale Teilhabe vor Schlaganfall assoziiert mit physischer Resilienz nach Schlaganfall</w:t>
      </w:r>
    </w:p>
    <w:p>
      <w:r>
        <w:rPr>
          <w:i/>
          <w:color w:val="666666"/>
          <w:sz w:val="18"/>
        </w:rPr>
        <w:t>Zhang Y et al.  ·  PLoS One  ·  06.10.2026  ·  PMID 42837339</w:t>
      </w:r>
    </w:p>
    <w:p>
      <w:r>
        <w:t>Querschnittsstudie an 314 Schlaganfallpatienten (≥45 Jahre) in China, die retrospektive soziale Partizipation vor dem Ereignis mit aktueller physischer Resilienz verknüpfte.</w:t>
      </w:r>
    </w:p>
    <w:p>
      <w:r>
        <w:rPr>
          <w:b/>
        </w:rPr>
        <w:t xml:space="preserve">Ergebnis: </w:t>
      </w:r>
      <w:r>
        <w:t>Schwache positive Korrelation zwischen sozialer Teilhabe und physischer Resilienz (r=0,295, p&lt;0,001). Pro Punkt höherer sozialer Partizipationsscore war physische Resilienz um 0,725 Punkte höher (95%-KI 0,405–1,044, p&lt;0,001), Effekt über alle Frailty-Level konsistent. Belastende retrospektive Erhebung schließt aber kausale Aussagen aus.</w:t>
      </w:r>
    </w:p>
    <w:p>
      <w:r>
        <w:rPr>
          <w:b/>
          <w:sz w:val="19"/>
        </w:rPr>
        <w:t xml:space="preserve">Übertragbarkeit: </w:t>
      </w:r>
      <w:r>
        <w:rPr>
          <w:sz w:val="19"/>
        </w:rPr>
        <w:t>China, begrenzt übertragbar; Mechanismus unterscheidet sich von Deutschland</w:t>
      </w:r>
    </w:p>
    <w:p>
      <w:r>
        <w:rPr>
          <w:color w:val="5A7D3A"/>
          <w:sz w:val="18"/>
        </w:rPr>
        <w:t>https://pubmed.ncbi.nlm.nih.gov/42837339/</w:t>
      </w:r>
    </w:p>
    <w:p>
      <w:pPr>
        <w:pStyle w:val="Heading2"/>
      </w:pPr>
      <w:r>
        <w:t>Gemeinschaftsgaststätten für Senioren fördern Nutzung durch Awareness-Partizipation-Kaufverhalten-Weitersagen-Sequenz</w:t>
      </w:r>
    </w:p>
    <w:p>
      <w:r>
        <w:rPr>
          <w:i/>
          <w:color w:val="666666"/>
          <w:sz w:val="18"/>
        </w:rPr>
        <w:t>Wang S et al.  ·  Front Public Health  ·  21.09.2026  ·  PMID 42836140</w:t>
      </w:r>
    </w:p>
    <w:p>
      <w:r>
        <w:t>Querschnittsstudie in Nanjing (China) mit 1.568 älteren Erwachsenen (≥60 Jahre) zur Nutzung von Seniorengaststätten, strukturelle Gleichungsmodellierung zur Assoziation von Bewusstsein, Interaktion, Kauf und Weitergabe.</w:t>
      </w:r>
    </w:p>
    <w:p>
      <w:r>
        <w:rPr>
          <w:b/>
        </w:rPr>
        <w:t xml:space="preserve">Ergebnis: </w:t>
      </w:r>
      <w:r>
        <w:t>Strukturmodell zeigte signifikante sequenziell positive Assoziationen: Awareness→Interaction (p&lt;0,001), Interaction→Purchase (p&lt;0,001), Purchase→Sharing (p&lt;0,001). Alle Pfade statistisch signifikant, gutes Modellfit. Querschnittdesign erlaubt aber keine Kausalaussagen – hilfreich aber für Serviceoptimierung.</w:t>
      </w:r>
    </w:p>
    <w:p>
      <w:r>
        <w:rPr>
          <w:b/>
          <w:sz w:val="19"/>
        </w:rPr>
        <w:t xml:space="preserve">Übertragbarkeit: </w:t>
      </w:r>
      <w:r>
        <w:rPr>
          <w:sz w:val="19"/>
        </w:rPr>
        <w:t>China, teilweise übertragbar; Versorgungskontext unterscheidet sich von Deutschland</w:t>
      </w:r>
    </w:p>
    <w:p>
      <w:r>
        <w:rPr>
          <w:color w:val="5A7D3A"/>
          <w:sz w:val="18"/>
        </w:rPr>
        <w:t>https://pubmed.ncbi.nlm.nih.gov/42836140/</w:t>
      </w:r>
    </w:p>
    <w:p>
      <w:pPr>
        <w:pStyle w:val="Heading2"/>
      </w:pPr>
      <w:r>
        <w:t>Nierentransplantation verbessert Gebrechlichkeit und kognitive Funktion über zwei Jahre</w:t>
      </w:r>
    </w:p>
    <w:p>
      <w:r>
        <w:rPr>
          <w:i/>
          <w:color w:val="666666"/>
          <w:sz w:val="18"/>
        </w:rPr>
        <w:t>Beerli N et al.  ·  Transpl Int  ·  21.09.2026  ·  PMID 42835482</w:t>
      </w:r>
    </w:p>
    <w:p>
      <w:r>
        <w:t>Prospektive multizentrische Schweizer Kohortenstudie mit 230 Nierentransplantatierten, die Frailty und milde kognitive Beeinträchtigung (MCI) vor und nach Transplantation über bis zu zwei Jahre verfolgten.</w:t>
      </w:r>
    </w:p>
    <w:p>
      <w:r>
        <w:rPr>
          <w:b/>
        </w:rPr>
        <w:t xml:space="preserve">Ergebnis: </w:t>
      </w:r>
      <w:r>
        <w:t>Frailty sank von 8,3% vor Transplantation auf unter 2% im Follow-up, Präfrailty von 54,3% auf 27,6% nach zwei Jahren; MCI-Prävalenz fiel von 42,6% auf 31,3%. Bessere kognitive Funktion vorhersagte niedrigere nachfolgende Frailty, aber nicht umgekehrt. Das Ergebnis zeigt, dass Nierenverpflanzung funktionelle Gebrechlichkeit deutlich reduziert.</w:t>
      </w:r>
    </w:p>
    <w:p>
      <w:r>
        <w:rPr>
          <w:b/>
          <w:sz w:val="19"/>
        </w:rPr>
        <w:t xml:space="preserve">Übertragbarkeit: </w:t>
      </w:r>
      <w:r>
        <w:rPr>
          <w:sz w:val="19"/>
        </w:rPr>
        <w:t>Schweizer Universitätskliniken, vergleichbares deutschsprachiges Versorgungssystem</w:t>
      </w:r>
    </w:p>
    <w:p>
      <w:r>
        <w:rPr>
          <w:color w:val="5A7D3A"/>
          <w:sz w:val="18"/>
        </w:rPr>
        <w:t>https://pubmed.ncbi.nlm.nih.gov/42835482/</w:t>
      </w:r>
    </w:p>
    <w:p>
      <w:pPr>
        <w:pStyle w:val="Heading1"/>
      </w:pPr>
      <w:r>
        <w:t>Aufgenommen am 06.10.2026</w:t>
      </w:r>
    </w:p>
    <w:p>
      <w:pPr>
        <w:pStyle w:val="Heading2"/>
      </w:pPr>
      <w:r>
        <w:t>Frailty als multidimensionales biopsychosoziales Syndrom: Update zu Konzepten und Versorgung</w:t>
      </w:r>
    </w:p>
    <w:p>
      <w:r>
        <w:rPr>
          <w:i/>
          <w:color w:val="666666"/>
          <w:sz w:val="18"/>
        </w:rPr>
        <w:t>Cohen CI et al.  ·  Clin Geriatr Med  ·  Nov. 2026  ·  PMID 42833807</w:t>
      </w:r>
    </w:p>
    <w:p>
      <w:r>
        <w:t>Übersichtsartikel fasst die Entwicklung von Frailty-Konzeptualisierung von primär physisch zu einem komplexen, multidimensionalen biopsychosozialen Syndrom zusammen, unter Einbeziehung von Definition, Diagnose-Tools, Epidemiologie, Pathogenese und Versorgungsansätze.</w:t>
      </w:r>
    </w:p>
    <w:p>
      <w:r>
        <w:rPr>
          <w:b/>
        </w:rPr>
        <w:t xml:space="preserve">Ergebnis: </w:t>
      </w:r>
      <w:r>
        <w:t>Frailty erweitert von physischer zu physischer, kognitiver, sozialer und psychologischer Frailty. Tools und Assessment-Domains aufgelistet; Epidemiologie, Risikofaktoren, Pathogenese, Prävention und Behandlungs-Frameworks skizziert. Ungelöste Versorgungsfragen benannt. Keine spezifischen Zahlenergebnisse, sondern konzeptueller Überblick über den Wandel im Feld.</w:t>
      </w:r>
    </w:p>
    <w:p>
      <w:r>
        <w:rPr>
          <w:b/>
          <w:sz w:val="19"/>
        </w:rPr>
        <w:t xml:space="preserve">Übertragbarkeit: </w:t>
      </w:r>
      <w:r>
        <w:rPr>
          <w:sz w:val="19"/>
        </w:rPr>
        <w:t>US-amerikanisches Review; biopsychosoziales Frailty-Modell international etabliert, auf deutsches System direkt anwendbar.</w:t>
      </w:r>
    </w:p>
    <w:p>
      <w:r>
        <w:rPr>
          <w:color w:val="5A7D3A"/>
          <w:sz w:val="18"/>
        </w:rPr>
        <w:t>https://pubmed.ncbi.nlm.nih.gov/42833807/</w:t>
      </w:r>
    </w:p>
    <w:p>
      <w:pPr>
        <w:pStyle w:val="Heading2"/>
      </w:pPr>
      <w:r>
        <w:t>Altersfeindlichkeit als upstream-Determinante: Sturzverhütung durch multilevel Reframing</w:t>
      </w:r>
    </w:p>
    <w:p>
      <w:r>
        <w:rPr>
          <w:i/>
          <w:color w:val="666666"/>
          <w:sz w:val="18"/>
        </w:rPr>
        <w:t>McMahon SK et al.  ·  Clin Geriatr Med  ·  03.09.2026  ·  PMID 42833800</w:t>
      </w:r>
    </w:p>
    <w:p>
      <w:r>
        <w:t>Konzeptuelle Analyse aus USA untersucht, wie strukturelle, interpersonelle und individuelle Ebenen von Altersdiskriminierung die Implementierung, Akzeptanz und Wirksamkeit von Sturz-Prävention bei älteren Menschen beeinträchtigen.</w:t>
      </w:r>
    </w:p>
    <w:p>
      <w:r>
        <w:rPr>
          <w:b/>
        </w:rPr>
        <w:t xml:space="preserve">Ergebnis: </w:t>
      </w:r>
      <w:r>
        <w:t>Lücke zwischen Evidenz (starke Maßnahmen-Effektivität) und Implementierung getrieben durch Ageismus: Untererfassung, Umweltbarrieren, internalisierte Stigma. Empfehlung für ganzheitlichen, mehrebenenigen Ansatz, der soziale Determinanten (besonders Ageismus) integriert; Systemische, klinische und Kommunikations-Änderungen für bessere Prävention, Engagement, sichere Mobilität. Framework ‚Reframing Aging' zitiert.</w:t>
      </w:r>
    </w:p>
    <w:p>
      <w:r>
        <w:rPr>
          <w:b/>
          <w:sz w:val="19"/>
        </w:rPr>
        <w:t xml:space="preserve">Übertragbarkeit: </w:t>
      </w:r>
      <w:r>
        <w:rPr>
          <w:sz w:val="19"/>
        </w:rPr>
        <w:t>USA-Perspektive; konzeptueller Rahmen zur Sturzverhütung durch Anti-Ageismus-Ansätze prinzipiell auf deutsches System übertragbar, erfordert aber Systemanpassung.</w:t>
      </w:r>
    </w:p>
    <w:p>
      <w:r>
        <w:rPr>
          <w:color w:val="5A7D3A"/>
          <w:sz w:val="18"/>
        </w:rPr>
        <w:t>https://pubmed.ncbi.nlm.nih.gov/42833800/</w:t>
      </w:r>
    </w:p>
    <w:p>
      <w:pPr>
        <w:pStyle w:val="Heading2"/>
      </w:pPr>
      <w:r>
        <w:t>Aortenstenose im Alter: Weshalb Lebenserwartung keine Indikation zum Verzicht auf Klappenersatz ist</w:t>
      </w:r>
    </w:p>
    <w:p>
      <w:r>
        <w:rPr>
          <w:i/>
          <w:color w:val="666666"/>
          <w:sz w:val="18"/>
        </w:rPr>
        <w:t>Demir OM et al.  ·  Open Heart  ·  05.10.2026  ·  PMID 42833700</w:t>
      </w:r>
    </w:p>
    <w:p>
      <w:r>
        <w:t>Konzeptuelles Argument zur Fehlinterpretation von Lebenserwartung bei älteren Patienten mit symptomatischer schwerer Aortenstenose und der Frage, wann Ventilintervention gerechtfertigt ist.</w:t>
      </w:r>
    </w:p>
    <w:p>
      <w:r>
        <w:rPr>
          <w:b/>
        </w:rPr>
        <w:t xml:space="preserve">Ergebnis: </w:t>
      </w:r>
      <w:r>
        <w:t>Nationale Sterbe- und Überlebenstafeln: 90-Jähriger in England/Wales hat noch 3,9 Jahre Lebenserwartung; 82-Jähriger lebt länger als 72-Jähriger. 'Schlagrisiko ist kardial, nicht chronologisch' — korreliert mit extravalvulärer Herzschädigung, Frailty und konkurrierenden Erkrankungen, nicht mit Kalenderalter. Stadium, nicht Alter, diskriminiert Outcome. Empfehlung: conditional, komorbidität-adjustierte Prognose statt Alters-Nihilismus.</w:t>
      </w:r>
    </w:p>
    <w:p>
      <w:r>
        <w:rPr>
          <w:b/>
          <w:sz w:val="19"/>
        </w:rPr>
        <w:t xml:space="preserve">Übertragbarkeit: </w:t>
      </w:r>
      <w:r>
        <w:rPr>
          <w:sz w:val="19"/>
        </w:rPr>
        <w:t>Britisches System; medizinisches Konzept zur Patientenauswahl übertragbar auf deutsches Altensystem.</w:t>
      </w:r>
    </w:p>
    <w:p>
      <w:r>
        <w:rPr>
          <w:color w:val="5A7D3A"/>
          <w:sz w:val="18"/>
        </w:rPr>
        <w:t>https://pubmed.ncbi.nlm.nih.gov/42833700/</w:t>
      </w:r>
    </w:p>
    <w:p>
      <w:pPr>
        <w:pStyle w:val="Heading2"/>
      </w:pPr>
      <w:r>
        <w:t>Körperliche Leistung puffert Alterseffekt auf Exekutivfunktion bei Demenzrisiko</w:t>
      </w:r>
    </w:p>
    <w:p>
      <w:r>
        <w:rPr>
          <w:i/>
          <w:color w:val="666666"/>
          <w:sz w:val="18"/>
        </w:rPr>
        <w:t>Reparaz-Escudero I et al.  ·  J Cachexia Sarcopenia Muscle  ·  Okt. 2026  ·  PMID 42833623</w:t>
      </w:r>
    </w:p>
    <w:p>
      <w:r>
        <w:t>Querschnittsstudie an 920 älteren Spaniern (60–85 Jahre) mit erhöhtem Demenzrisiko untersuchte, ob Ganggeschwindigkeit, Handgriffkraft und Beinmuskelpower den Zusammenhang zwischen Alter und Exekutivfunktion moderieren.</w:t>
      </w:r>
    </w:p>
    <w:p>
      <w:r>
        <w:rPr>
          <w:b/>
        </w:rPr>
        <w:t xml:space="preserve">Ergebnis: </w:t>
      </w:r>
      <w:r>
        <w:t>Höhere körperliche Leistung schwächte die Alters-Exekutivfunktion-Assoziation ab. Ganggeschwindigkeit moderierte die Beziehung am konsistentesten; Johnson-Neyman-Analyse zeigte: Alters-Exekutivfunktion-Effekt nur bei Ganggeschwindigkeiten unter 1,68–1,83 m/s messbar (1,0–15,9 % der Teilnehmer). Sex-spezifische Muster: Ganggeschwindigkeit bei TMT-B bei Männern, Stroop-Interferenz bei Frauen moderat.</w:t>
      </w:r>
    </w:p>
    <w:p>
      <w:r>
        <w:rPr>
          <w:b/>
          <w:sz w:val="19"/>
        </w:rPr>
        <w:t xml:space="preserve">Übertragbarkeit: </w:t>
      </w:r>
      <w:r>
        <w:rPr>
          <w:sz w:val="19"/>
        </w:rPr>
        <w:t>Spanische Demenzrisiko-Kohorte; körperliches Training zur Exekutivschutzung übertragbar auf deutsche Altenpopulation.</w:t>
      </w:r>
    </w:p>
    <w:p>
      <w:r>
        <w:rPr>
          <w:color w:val="5A7D3A"/>
          <w:sz w:val="18"/>
        </w:rPr>
        <w:t>https://pubmed.ncbi.nlm.nih.gov/42833623/</w:t>
      </w:r>
    </w:p>
    <w:p>
      <w:pPr>
        <w:pStyle w:val="Heading2"/>
      </w:pPr>
      <w:r>
        <w:t>Elektromyographie beim Gehen identifiziert Gebrechlichkeit bei älteren Patienten mit Herzkrankheit</w:t>
      </w:r>
    </w:p>
    <w:p>
      <w:r>
        <w:rPr>
          <w:i/>
          <w:color w:val="666666"/>
          <w:sz w:val="18"/>
        </w:rPr>
        <w:t>Huang P et al.  ·  J Cachexia Sarcopenia Muscle  ·  Okt. 2026  ·  PMID 42830734</w:t>
      </w:r>
    </w:p>
    <w:p>
      <w:r>
        <w:t>Fall-Kontroll-Studie mit 150 älteren Patienten mit Herzkrankheit (75 gebrechlich, 75 nicht-gebrechlich) verglich oberflächliche Elektromyographie (sEMG) der Unterschenkelmuskeln beim Gehen und testete deren Diskriminativwert für Frailty.</w:t>
      </w:r>
    </w:p>
    <w:p>
      <w:r>
        <w:rPr>
          <w:b/>
        </w:rPr>
        <w:t xml:space="preserve">Ergebnis: </w:t>
      </w:r>
      <w:r>
        <w:t>Gebrechliche waren älter (76,04 vs. 68,55 Jahre), benötigten länger für 10-m-Gang (13,34 vs. 9,44 s), niedrigere POMA-Scores (21,51 vs. 27,59). Gebrechliche zeigten höhere integrierte EMG des linken Semitendinosus (534,4 vs. 455,5 μV·s, p=0,0084) und höhere Aktivierungssequenz-Rang des linken Rectus femoris (p=0,0404). Im Frequenzbereich höhere Medianfrequenz (MF) in 6 Muskeln. Multivariates Modell: MF Rectus femoris rechts (OR 1,067, p=0,038), MF Gastrocnemius rechts (OR 1,054, p=0,019), Aktivierungsrang TA rechts (OR 0,640, p=0,014) unabhängig assoziiert. sEMG+Alter-Modell: AUC 0,8418 (Sensitivität 0,8933, Spezifität 0,6400), Vollmodell mit POMA: AUC 0,8740.</w:t>
      </w:r>
    </w:p>
    <w:p>
      <w:r>
        <w:rPr>
          <w:b/>
          <w:sz w:val="19"/>
        </w:rPr>
        <w:t xml:space="preserve">Übertragbarkeit: </w:t>
      </w:r>
      <w:r>
        <w:rPr>
          <w:sz w:val="19"/>
        </w:rPr>
        <w:t>Chinesische Klinik-Kohorte; sEMG-Methode und Frailty-Assessments international vergleichbar.</w:t>
      </w:r>
    </w:p>
    <w:p>
      <w:r>
        <w:rPr>
          <w:color w:val="5A7D3A"/>
          <w:sz w:val="18"/>
        </w:rPr>
        <w:t>https://pubmed.ncbi.nlm.nih.gov/42830734/</w:t>
      </w:r>
    </w:p>
    <w:p>
      <w:pPr>
        <w:pStyle w:val="Heading2"/>
      </w:pPr>
      <w:r>
        <w:t>Glukosestoffwechsel und vaskuläres Altern: Prädiktive Güte einfacher Marker im Screening</w:t>
      </w:r>
    </w:p>
    <w:p>
      <w:r>
        <w:rPr>
          <w:i/>
          <w:color w:val="666666"/>
          <w:sz w:val="18"/>
        </w:rPr>
        <w:t>Wang J et al.  ·  Front Endocrinol (Lausanne)  ·  18.09.2026  ·  PMID 42827523</w:t>
      </w:r>
    </w:p>
    <w:p>
      <w:r>
        <w:t>Retrospektive Querschnittsstudie mit 555 Personen aus Routineuntersuchungen evaluierte sieben Glukosemetaboliten-Indizes (TyG, CHG, HOMA-IR etc.) und deren Assoziationen mit frühem vaskulärem Altern (EVA, baPWV).</w:t>
      </w:r>
    </w:p>
    <w:p>
      <w:r>
        <w:rPr>
          <w:b/>
        </w:rPr>
        <w:t xml:space="preserve">Ergebnis: </w:t>
      </w:r>
      <w:r>
        <w:t>156/555 (28,1%) hatten EVA. Alle sieben Marker unabhängig mit EVA assoziiert nach Confounding-Kontrolle. CHG-Index stärkste Korrelation mit baPWV-Mittelwert (r=0,402, p&lt;0,001). ROC-Analysen: HbA1c höchste AUC (0,690), TyG-Index höchste Sensitivität (70,51%). Bescheidene Diskriminanzleistung über alle Marker. Schluss: TyG und HbA1c als potenzielle kostengünstige Hilfsmarker für EVA-Screening; interne Bootstrap- und externe prospektive Validierung erforderlich.</w:t>
      </w:r>
    </w:p>
    <w:p>
      <w:r>
        <w:rPr>
          <w:b/>
          <w:sz w:val="19"/>
        </w:rPr>
        <w:t xml:space="preserve">Übertragbarkeit: </w:t>
      </w:r>
      <w:r>
        <w:rPr>
          <w:sz w:val="19"/>
        </w:rPr>
        <w:t>Chinesische Gesundheitsuntersuchungskohorte; Biomarker-Interpretation übertragbar, aber lokale Altersstruktur verschieden.</w:t>
      </w:r>
    </w:p>
    <w:p>
      <w:r>
        <w:rPr>
          <w:color w:val="5A7D3A"/>
          <w:sz w:val="18"/>
        </w:rPr>
        <w:t>https://pubmed.ncbi.nlm.nih.gov/42827523/</w:t>
      </w:r>
    </w:p>
    <w:p>
      <w:pPr>
        <w:pStyle w:val="Heading2"/>
      </w:pPr>
      <w:r>
        <w:t>Arteriosklerose und Sarkopenie: biologisches Alter als Mediator, Gebrechlichkeit als Modifikator</w:t>
      </w:r>
    </w:p>
    <w:p>
      <w:r>
        <w:rPr>
          <w:i/>
          <w:color w:val="666666"/>
          <w:sz w:val="18"/>
        </w:rPr>
        <w:t>Sun A et al.  ·  Front Public Health  ·  14.09.2026  ·  PMID 42807006</w:t>
      </w:r>
    </w:p>
    <w:p>
      <w:r>
        <w:t>Prospektive UK-Biobank-Kohortenstudie mit 32.451 Teilnehmern untersuchte, ob Arteriensteifigkeit (ASI) mit Sarkopenie-Risiko assoziiert ist und welche Rolle biologisches Alter und Frailty spielen.</w:t>
      </w:r>
    </w:p>
    <w:p>
      <w:r>
        <w:rPr>
          <w:b/>
        </w:rPr>
        <w:t xml:space="preserve">Ergebnis: </w:t>
      </w:r>
      <w:r>
        <w:t>Höchstes vs. niedriges ASI-Tertil: HR 1,38 (95%-KI 1,22–1,55) für wahrscheinliche Sarkopenie, HR 1,56 (95%-KI 1,11–2,18) für Sarkopenie. Biologisches Alter mediierte 8,66 % und 18,85 % dieser Assoziationen. Frailty modifizierte die Magnitude erheblich; Assoziationen überwiegend bei nicht-Gebrechlichen. Erkannter nichtlinearer Zusammenhang bei wahrscheinlicher Sarkopenie, linear bei manifester Sarkopenie.</w:t>
      </w:r>
    </w:p>
    <w:p>
      <w:r>
        <w:rPr>
          <w:b/>
          <w:sz w:val="19"/>
        </w:rPr>
        <w:t xml:space="preserve">Übertragbarkeit: </w:t>
      </w:r>
      <w:r>
        <w:rPr>
          <w:sz w:val="19"/>
        </w:rPr>
        <w:t>UK Biobank; methodische Validierbarkeit aber Altersdurchschnitt und Sozialstruktur unterscheiden sich von Deutschland.</w:t>
      </w:r>
    </w:p>
    <w:p>
      <w:r>
        <w:rPr>
          <w:color w:val="5A7D3A"/>
          <w:sz w:val="18"/>
        </w:rPr>
        <w:t>https://pubmed.ncbi.nlm.nih.gov/42807006/</w:t>
      </w:r>
    </w:p>
    <w:p>
      <w:pPr>
        <w:pStyle w:val="Heading1"/>
      </w:pPr>
      <w:r>
        <w:t>Aufgenommen am 05.10.2026</w:t>
      </w:r>
    </w:p>
    <w:p>
      <w:pPr>
        <w:pStyle w:val="Heading2"/>
      </w:pPr>
      <w:r>
        <w:t>Prävention durch Hausbesuche erfordert sektorenübergreifende Partnerschaften und Unterstützung durch Führungspersonen</w:t>
      </w:r>
    </w:p>
    <w:p>
      <w:r>
        <w:rPr>
          <w:i/>
          <w:color w:val="666666"/>
          <w:sz w:val="18"/>
        </w:rPr>
        <w:t>Nivestam A et al.  ·  Scand J Caring Sci  ·  Dez. 2026  ·  PMID 42828510</w:t>
      </w:r>
    </w:p>
    <w:p>
      <w:r>
        <w:t>Qualitative Studie (Fokusgruppen mit 16 Fachpersonen aus 5 schwedischen Gemeinden) identifiziert, welche Kooperationspartner Hausbesucher für erfolgreiche Prävention und gesundes Altern mobilisieren.</w:t>
      </w:r>
    </w:p>
    <w:p>
      <w:r>
        <w:rPr>
          <w:b/>
        </w:rPr>
        <w:t xml:space="preserve">Ergebnis: </w:t>
      </w:r>
      <w:r>
        <w:t>Hausbesucher arbeiten mit breitem Spektrum von Partnern zusammen: kritisch sind Politiker und Medien; wichtig sind Akteure für sinnvolle Freizeit, Partizipation, lebenslanges Lernen und Gesundheits-/Sozialsektoren. Unterstützung durch Führungspersonen in Schlüsselpositionen steigert Effektivität. Kernempfehlung: gesamtgesellschaftlicher (whole-of-society) Ansatz zur Planung von Präventionsbesuchen.</w:t>
      </w:r>
    </w:p>
    <w:p>
      <w:r>
        <w:rPr>
          <w:b/>
          <w:sz w:val="19"/>
        </w:rPr>
        <w:t xml:space="preserve">Übertragbarkeit: </w:t>
      </w:r>
      <w:r>
        <w:rPr>
          <w:sz w:val="19"/>
        </w:rPr>
        <w:t>Skandinavien vergleichbar, universelles Gesundheitssystem, übertragbar auf Deutschland.</w:t>
      </w:r>
    </w:p>
    <w:p>
      <w:r>
        <w:rPr>
          <w:color w:val="5A7D3A"/>
          <w:sz w:val="18"/>
        </w:rPr>
        <w:t>https://pubmed.ncbi.nlm.nih.gov/42828510/</w:t>
      </w:r>
    </w:p>
    <w:p>
      <w:pPr>
        <w:pStyle w:val="Heading2"/>
      </w:pPr>
      <w:r>
        <w:t>Krankenversicherung für Ernährungstherapie älterer Krebspatienten determiniert Funktionsfähigkeit</w:t>
      </w:r>
    </w:p>
    <w:p>
      <w:r>
        <w:rPr>
          <w:i/>
          <w:color w:val="666666"/>
          <w:sz w:val="18"/>
        </w:rPr>
        <w:t>Yang J  ·  Front Public Health  ·  18.09.2026  ·  PMID 42827769</w:t>
      </w:r>
    </w:p>
    <w:p>
      <w:r>
        <w:t>Narratives Mini-Review analysiert Versicherungsdeckung für medizinische Ernährungstherapie (Medical Nutrition Therapy, MNT) bei älteren Frauen mit Krebs als Politikfrage für Langzeitpflege und Frailty-Equity in USA, Australien und UK.</w:t>
      </w:r>
    </w:p>
    <w:p>
      <w:r>
        <w:rPr>
          <w:b/>
        </w:rPr>
        <w:t xml:space="preserve">Ergebnis: </w:t>
      </w:r>
      <w:r>
        <w:t>Untersucht, wie Versicherungsdesign – Leistungsbeschränkungen, Kostenbeteiligung, fragmentierte Autorisierung – den Zugang zu MNT und damit Risiken für Mangelernährung, Sarkopenie und funktionalen Niedergang lenkt. Empfiehlt MNT als essenzielle, risikostratifizierte Komponente von Onkologie und Langzeitpflege, nicht als optionales Wellness-Angebot, mit kontinuierlichen Übergängen zwischen Klinik, Heimat und Pflege.</w:t>
      </w:r>
    </w:p>
    <w:p>
      <w:r>
        <w:rPr>
          <w:b/>
          <w:sz w:val="19"/>
        </w:rPr>
        <w:t xml:space="preserve">Übertragbarkeit: </w:t>
      </w:r>
      <w:r>
        <w:rPr>
          <w:sz w:val="19"/>
        </w:rPr>
        <w:t>UK-System vergleichbar; Kernaussage zur Finanzierungspolitik auch auf deutsches System übertragbar.</w:t>
      </w:r>
    </w:p>
    <w:p>
      <w:r>
        <w:rPr>
          <w:color w:val="5A7D3A"/>
          <w:sz w:val="18"/>
        </w:rPr>
        <w:t>https://pubmed.ncbi.nlm.nih.gov/42827769/</w:t>
      </w:r>
    </w:p>
    <w:p>
      <w:pPr>
        <w:pStyle w:val="Heading2"/>
      </w:pPr>
      <w:r>
        <w:t>Biologische Organaltern und Proteinprofile vorhersagen Mortalitätsrisiko besser als Standard-Biomarker</w:t>
      </w:r>
    </w:p>
    <w:p>
      <w:r>
        <w:rPr>
          <w:i/>
          <w:color w:val="666666"/>
          <w:sz w:val="18"/>
        </w:rPr>
        <w:t>Pyrgioti M et al.  ·  Aging Cell  ·  Okt. 2026  ·  PMID 42823846</w:t>
      </w:r>
    </w:p>
    <w:p>
      <w:r>
        <w:t>Benchmarking von 11 proteomic organ clocks gegen etablierte Altersmarker (epigenetisches Alter, Telomerlänge, Lungenfunktion, Kognition, Neuroimaging) für 16-Jahres-Gesamtmortalität in einer schottischen Kohorte (n=861; 444 Todesfälle).</w:t>
      </w:r>
    </w:p>
    <w:p>
      <w:r>
        <w:rPr>
          <w:b/>
        </w:rPr>
        <w:t xml:space="preserve">Ergebnis: </w:t>
      </w:r>
      <w:r>
        <w:t>Unter proteomic clocks: beschleunigte Leber-(HR=1,43), Immun-(HR=1,42) und Herzalterung (HR=1,38) waren stärkste Prädiktor:innen. Aber älteres epigenetisches Alter, kleineres Hirnvolumen, reduzierte Atemfunktion und schlechtere Kognition zeigten stärkere Assoziationen (HR=1,44–1,62). Von 9703 Plasma-Proteinen: GDF15 (HR=1,56), WFDC2 (HR=1,47) und TIMP1 (HR=1,45) führend mit Mortalität assoziiert.</w:t>
      </w:r>
    </w:p>
    <w:p>
      <w:r>
        <w:rPr>
          <w:b/>
          <w:sz w:val="19"/>
        </w:rPr>
        <w:t xml:space="preserve">Übertragbarkeit: </w:t>
      </w:r>
      <w:r>
        <w:rPr>
          <w:sz w:val="19"/>
        </w:rPr>
        <w:t>UK-Biobank-Kohorte, europäische Altersstruktur, direkt auf Deutschland übertragbar.</w:t>
      </w:r>
    </w:p>
    <w:p>
      <w:r>
        <w:rPr>
          <w:color w:val="5A7D3A"/>
          <w:sz w:val="18"/>
        </w:rPr>
        <w:t>https://pubmed.ncbi.nlm.nih.gov/42823846/</w:t>
      </w:r>
    </w:p>
    <w:p>
      <w:pPr>
        <w:pStyle w:val="Heading2"/>
      </w:pPr>
      <w:r>
        <w:t>Gesunde Altersverläufe senken kardiovaskuläres Erkrankungsrisiko</w:t>
      </w:r>
    </w:p>
    <w:p>
      <w:r>
        <w:rPr>
          <w:i/>
          <w:color w:val="666666"/>
          <w:sz w:val="18"/>
        </w:rPr>
        <w:t>Du R et al.  ·  J Nutr Health Aging  ·  04.09.2026  ·  PMID 42697165</w:t>
      </w:r>
    </w:p>
    <w:p>
      <w:r>
        <w:t>Studie untersucht die Assoziation zwischen Mustern gesunder Alterung (gemessen mit ATHLOS-Score) und dem Auftreten kardiovaskulärer Erkrankungen in drei europäischen und chinesischen Kohorten.</w:t>
      </w:r>
    </w:p>
    <w:p>
      <w:r>
        <w:rPr>
          <w:b/>
        </w:rPr>
        <w:t xml:space="preserve">Ergebnis: </w:t>
      </w:r>
      <w:r>
        <w:t>Verglichen mit der niedrigsten Altersverlauf-Gruppe zeigte die mittlere Gruppe reduziertes CVD-Risiko (SHARE HR=0,89; ELSA HR=0,66; CHARLS HR=0,67), die höchste Gruppe sogar deutlich gesenkt (SHARE HR=0,61; ELSA HR=0,36; CHARLS HR=0,39). Assoziation war konsistent über SES- und Lebensstil-Schichten. Hochwertige Altersverläufe sind kardioprotektiv.</w:t>
      </w:r>
    </w:p>
    <w:p>
      <w:r>
        <w:rPr>
          <w:b/>
          <w:sz w:val="19"/>
        </w:rPr>
        <w:t xml:space="preserve">Übertragbarkeit: </w:t>
      </w:r>
      <w:r>
        <w:rPr>
          <w:sz w:val="19"/>
        </w:rPr>
        <w:t>SHARE und ELSA europäisch vergleichbar, CHARLS repräsentiert alternatives System.</w:t>
      </w:r>
    </w:p>
    <w:p>
      <w:r>
        <w:rPr>
          <w:color w:val="5A7D3A"/>
          <w:sz w:val="18"/>
        </w:rPr>
        <w:t>https://pubmed.ncbi.nlm.nih.gov/42697165/</w:t>
      </w:r>
    </w:p>
    <w:p>
      <w:pPr>
        <w:pStyle w:val="Heading2"/>
      </w:pPr>
      <w:r>
        <w:t>Spezialisierte Versorgung fragiler Chirurgiepatienten senkt Morbidität und erhält Lebensqualität</w:t>
      </w:r>
    </w:p>
    <w:p>
      <w:r>
        <w:rPr>
          <w:i/>
          <w:color w:val="666666"/>
          <w:sz w:val="18"/>
        </w:rPr>
        <w:t>Castellví Valls J et al.  ·  Cir Esp (Engl Ed)  ·  01.09.2026  ·  PMID 42680087</w:t>
      </w:r>
    </w:p>
    <w:p>
      <w:r>
        <w:t>Evaluiert Effektivität eines integrierten geriatrischen Versorgungsbereichs für fragile Patienten, die operativ behandelt wurden, mit Fokus auf perioperative Morbidität, Mortalität und Funktionsfähigkeit.</w:t>
      </w:r>
    </w:p>
    <w:p>
      <w:r>
        <w:rPr>
          <w:b/>
        </w:rPr>
        <w:t xml:space="preserve">Ergebnis: </w:t>
      </w:r>
      <w:r>
        <w:t>Von 413 Patienten (Alter 80 J., 91,8% ASA III-IV) wurden 288 operiert. Perioperative Komplikationen Clavien-Dindo III-V: 9,7%, 30-Tage-Mortalität 3,1%, Wiederaufnahmen 13,2%. Nach 3 Monaten und 1 Jahr waren 82,5% der operierten Patienten in Funktion gleich oder besser als präoperativ. Von 125 nicht operierten Patienten starben 48,3% im 1. Jahr.</w:t>
      </w:r>
    </w:p>
    <w:p>
      <w:r>
        <w:rPr>
          <w:b/>
          <w:sz w:val="19"/>
        </w:rPr>
        <w:t xml:space="preserve">Übertragbarkeit: </w:t>
      </w:r>
      <w:r>
        <w:rPr>
          <w:sz w:val="19"/>
        </w:rPr>
        <w:t>Spanisch-katalanisches Krankenhaus-System, deutsche Geriatrien vergleichbar organisiert.</w:t>
      </w:r>
    </w:p>
    <w:p>
      <w:r>
        <w:rPr>
          <w:color w:val="5A7D3A"/>
          <w:sz w:val="18"/>
        </w:rPr>
        <w:t>https://pubmed.ncbi.nlm.nih.gov/42680087/</w:t>
      </w:r>
    </w:p>
    <w:p>
      <w:pPr>
        <w:pStyle w:val="Heading2"/>
      </w:pPr>
      <w:r>
        <w:t>Schlaf-Mikrostruktur in der Älterung vorhersagt kognitive Trajektorie über 10 Jahre</w:t>
      </w:r>
    </w:p>
    <w:p>
      <w:r>
        <w:rPr>
          <w:i/>
          <w:color w:val="666666"/>
          <w:sz w:val="18"/>
        </w:rPr>
        <w:t>Urdanibia-Centelles O et al.  ·  Sleep Med  ·  20.08.2026  ·  PMID 42628340</w:t>
      </w:r>
    </w:p>
    <w:p>
      <w:r>
        <w:t>Prospektive Kohortenstudie (n=82 mit ausreichend NREM-Schlaf, Polysomnografie und kognitive Tests 10 Jahre auseinander) untersucht, ob Schlafmerkmale (Spindel, Slow Waves, EEG-Kohärenz) kognitive Alterung und Verfall vorhersagen.</w:t>
      </w:r>
    </w:p>
    <w:p>
      <w:r>
        <w:rPr>
          <w:b/>
        </w:rPr>
        <w:t xml:space="preserve">Ergebnis: </w:t>
      </w:r>
      <w:r>
        <w:t>Über 10 Jahre: Verarbeitungsgeschwindigkeit nahm um 6,1 s zu, symbolische Konversion um 2,3 ab. Höhere Schlafeffizienz → besseres kognitives Halten. Erhöhte Wachphase und erhöhtes Arousal → schlechtere Gedächtnis- und Lernleistung. Höhere Fast-Spindle-Amplitude und -Frequenz, Slow-Wave-Charakteristika und N2/REM-Kohärenz korrelierten mit Verarbeitungsgeschwindigkeit, Aufmerksamkeit und globaler Kognition.</w:t>
      </w:r>
    </w:p>
    <w:p>
      <w:r>
        <w:rPr>
          <w:b/>
          <w:sz w:val="19"/>
        </w:rPr>
        <w:t xml:space="preserve">Übertragbarkeit: </w:t>
      </w:r>
      <w:r>
        <w:rPr>
          <w:sz w:val="19"/>
        </w:rPr>
        <w:t>Dänische Geburtskohorte, nordeuropäisches System vergleichbar.</w:t>
      </w:r>
    </w:p>
    <w:p>
      <w:r>
        <w:rPr>
          <w:color w:val="5A7D3A"/>
          <w:sz w:val="18"/>
        </w:rPr>
        <w:t>https://pubmed.ncbi.nlm.nih.gov/42628340/</w:t>
      </w:r>
    </w:p>
    <w:p>
      <w:pPr>
        <w:pStyle w:val="Heading1"/>
      </w:pPr>
      <w:r>
        <w:t>Aufgenommen am 04.10.2026</w:t>
      </w:r>
    </w:p>
    <w:p>
      <w:pPr>
        <w:pStyle w:val="Heading2"/>
      </w:pPr>
      <w:r>
        <w:t>Ernährungsscreening und Vorrehabilitation reduzieren Komplikationen bei älteren Frauen in der Krebschirurgie</w:t>
      </w:r>
    </w:p>
    <w:p>
      <w:r>
        <w:rPr>
          <w:i/>
          <w:color w:val="666666"/>
          <w:sz w:val="18"/>
        </w:rPr>
        <w:t>Feng Y et al.  ·  Front Public Health  ·  17.09.2026  ·  PMID 42824555</w:t>
      </w:r>
    </w:p>
    <w:p>
      <w:r>
        <w:t>Narrative Review zu Pflegeintervention bei älteren Frauen mit Krebs vor Operation: Frailty- und Ernährungsscreening, Dietitian-Referral, multimodale Prehabilitation und Enhanced Recovery.</w:t>
      </w:r>
    </w:p>
    <w:p>
      <w:r>
        <w:rPr>
          <w:b/>
        </w:rPr>
        <w:t xml:space="preserve">Ergebnis: </w:t>
      </w:r>
      <w:r>
        <w:t>Integrierten zwei-Schritt-Ansatz mit Frailty/Ernährungsscreening plus Multidimensionalem Assessment, Protein-Energie-Support und Mobilisierung in Enhanced-Recovery-Pathways wird empfohlen. Begründung: Ältere Frauen erleben Frailty-Malnutrition-Stress-Achse; Mangelernährung und Muskelabbau persistieren über Adjuvanztherapie hinaus. Wirkevidenz begrenzt auf funktionelle und ernährungsbezogene Outcomes, nicht nur Liegedauer.</w:t>
      </w:r>
    </w:p>
    <w:p>
      <w:r>
        <w:rPr>
          <w:b/>
          <w:sz w:val="19"/>
        </w:rPr>
        <w:t xml:space="preserve">Übertragbarkeit: </w:t>
      </w:r>
      <w:r>
        <w:rPr>
          <w:sz w:val="19"/>
        </w:rPr>
        <w:t>Deutschland: Geriatrisches Assessments- und Ernährungskonzept ist in deutschen Kliniken strukturell etablierbar.</w:t>
      </w:r>
    </w:p>
    <w:p>
      <w:r>
        <w:rPr>
          <w:color w:val="5A7D3A"/>
          <w:sz w:val="18"/>
        </w:rPr>
        <w:t>https://pubmed.ncbi.nlm.nih.gov/42824555/</w:t>
      </w:r>
    </w:p>
    <w:p>
      <w:pPr>
        <w:pStyle w:val="Heading2"/>
      </w:pPr>
      <w:r>
        <w:t>Hitzebelastung verschlechtert funktionale Kapazität bei älteren Erwachsenen in China</w:t>
      </w:r>
    </w:p>
    <w:p>
      <w:r>
        <w:rPr>
          <w:i/>
          <w:color w:val="666666"/>
          <w:sz w:val="18"/>
        </w:rPr>
        <w:t>Huang L et al.  ·  BMC Public Health  ·  26.09.2026  ·  PMID 42823677</w:t>
      </w:r>
    </w:p>
    <w:p>
      <w:r>
        <w:t>Longitudinale Studie an 1.393 Chinesen (45–80 Jahre) über drei Wellen (2011–2015) zur Assoziation von Hitzewellentagen mit Trajektorien der intrinsischen Kapazität (WHO-Indikator für gesundes Altern).</w:t>
      </w:r>
    </w:p>
    <w:p>
      <w:r>
        <w:rPr>
          <w:b/>
        </w:rPr>
        <w:t xml:space="preserve">Ergebnis: </w:t>
      </w:r>
      <w:r>
        <w:t>Jeder zusätzliche Hitzewellentag erhöhte das Risiko der Low-declining-Trajektorie um 3,5 % (adjustierte RRR = 1,035; 95 % KI: 1,012–1,058; p = 0,003). Effekt war ausgeprägter bei geringerer Schulbildung (RRR = 1,07) und in ländlichen Regionen (RRR = 1,05). Kältespells zeigten keinen signifikanten Effekt. Klimawandel gefährdet funktionale Gesundheit sozioökonomisch benachteiligter älterer Menschen.</w:t>
      </w:r>
    </w:p>
    <w:p>
      <w:r>
        <w:rPr>
          <w:b/>
          <w:sz w:val="19"/>
        </w:rPr>
        <w:t xml:space="preserve">Übertragbarkeit: </w:t>
      </w:r>
      <w:r>
        <w:rPr>
          <w:sz w:val="19"/>
        </w:rPr>
        <w:t>China, aber Funktionsfähigkeit als universales Konzept; Effektmodifikation durch Bildung und Wohnort relevant für alle Länder.</w:t>
      </w:r>
    </w:p>
    <w:p>
      <w:r>
        <w:rPr>
          <w:color w:val="5A7D3A"/>
          <w:sz w:val="18"/>
        </w:rPr>
        <w:t>https://pubmed.ncbi.nlm.nih.gov/42823677/</w:t>
      </w:r>
    </w:p>
    <w:p>
      <w:pPr>
        <w:pStyle w:val="Heading2"/>
      </w:pPr>
      <w:r>
        <w:t>Institutionelle Fragmentierung verstärkt Ungleichheit in der Langzeitpflege im asiatisch-pazifischen Raum</w:t>
      </w:r>
    </w:p>
    <w:p>
      <w:r>
        <w:rPr>
          <w:i/>
          <w:color w:val="666666"/>
          <w:sz w:val="18"/>
        </w:rPr>
        <w:t>Bhula-Or R et al.  ·  Australas J Ageing  ·  Dez. 2026  ·  PMID 42820354</w:t>
      </w:r>
    </w:p>
    <w:p>
      <w:r>
        <w:t>Qualitative Partizipative-Beobachtungs-Studie mit reflexiver Thematic Analysis über 107 Stakeholder (Policy, Wissenschaft, Zivilgesellschaft, Anbieter) aus ASEAN-Plus-Three während regionaler Politikdialogs 2025.</w:t>
      </w:r>
    </w:p>
    <w:p>
      <w:r>
        <w:rPr>
          <w:b/>
        </w:rPr>
        <w:t xml:space="preserve">Ergebnis: </w:t>
      </w:r>
      <w:r>
        <w:t>Drei zentrale Befunde: (1) institutionelle Fragmentierung wandelt frühere Benachteiligung in ungleiche Zugänge um; (2) Gemeinschaften fangen Lücken in formaler Pflege auf, verschieben aber nicht öffentliche Verantwortung; (3) Equity hängt von Neuverteilung von Mitsprache und sektorenübergreifender Koordination ab. Kosten fallen disproportional auf Frauen, ländliche und niedrigeinkommens-Ältere. Autorenvorschlag: nationale Koordinierungshubs als Lösungsarchitektur.</w:t>
      </w:r>
    </w:p>
    <w:p>
      <w:r>
        <w:rPr>
          <w:b/>
          <w:sz w:val="19"/>
        </w:rPr>
        <w:t xml:space="preserve">Übertragbarkeit: </w:t>
      </w:r>
      <w:r>
        <w:rPr>
          <w:sz w:val="19"/>
        </w:rPr>
        <w:t>ASEAN-Region: Transferierbar für vergleichbare föderalistische/föderative Systeme; Koordinierungslücke relevant auch für Deutschland.</w:t>
      </w:r>
    </w:p>
    <w:p>
      <w:r>
        <w:rPr>
          <w:color w:val="5A7D3A"/>
          <w:sz w:val="18"/>
        </w:rPr>
        <w:t>https://pubmed.ncbi.nlm.nih.gov/42820354/</w:t>
      </w:r>
    </w:p>
    <w:p>
      <w:pPr>
        <w:pStyle w:val="Heading2"/>
      </w:pPr>
      <w:r>
        <w:t>Zervikale Atrophie übersteigt Alterseffekt bei Multiple Sklerose – besonders in 50ern und 60ern</w:t>
      </w:r>
    </w:p>
    <w:p>
      <w:r>
        <w:rPr>
          <w:i/>
          <w:color w:val="666666"/>
          <w:sz w:val="18"/>
        </w:rPr>
        <w:t>Jain K et al.  ·  Neurology  ·  27.10.2026  ·  PMID 42814910</w:t>
      </w:r>
    </w:p>
    <w:p>
      <w:r>
        <w:t>Cross-sectional Multizenterstudie (3 italienische Zentren) mit 480 gesunden Kontrollen und 1.295 MS-Patienten (18–70 Jahre): Untersuchung, ob MS eine krankheitsspezifische Reduktion der mittleren oberen zervikalen Rückenmarksarea (MUCCA) über Altern hinaus bewirkt, und ob diese durch Geschlecht und Erkrankungsbeginn moduliert wird.</w:t>
      </w:r>
    </w:p>
    <w:p>
      <w:r>
        <w:rPr>
          <w:b/>
        </w:rPr>
        <w:t xml:space="preserve">Ergebnis: </w:t>
      </w:r>
      <w:r>
        <w:t>Bei Kontrollen: MUCCA stieg bis späte 30er Jahre (p ≤ 0,033), sank nach 50 Jahren (p ≤ 0,008). MS-Patienten zeigten Z-Scores &lt; 0 ab 30 Jahren (p ≤ 0,039), besonders in 50ern und 60ern. Markanter früh-erwachsener Decline bis späte 40er, danach Abschwächung. Geschlechtsunterschiede nicht signifikant. Höhere Atrophie korreliert mit stärkerer Behinderung (ρ = 0,196–0,392, alle p &lt; 0,001). Rückenmarksatrophie ist sensitiver MS-Biomarker für Neurodegeneration jenseits reinen Alterns.</w:t>
      </w:r>
    </w:p>
    <w:p>
      <w:r>
        <w:rPr>
          <w:b/>
          <w:sz w:val="19"/>
        </w:rPr>
        <w:t xml:space="preserve">Übertragbarkeit: </w:t>
      </w:r>
      <w:r>
        <w:rPr>
          <w:sz w:val="19"/>
        </w:rPr>
        <w:t>Italien, Deutschland: Neuroimaging-Daten aus europäischen Zentren mit vergleichbarer MS-Diagnostik; Transfer auf deutsche MS-Kohorten möglich.</w:t>
      </w:r>
    </w:p>
    <w:p>
      <w:r>
        <w:rPr>
          <w:color w:val="5A7D3A"/>
          <w:sz w:val="18"/>
        </w:rPr>
        <w:t>https://pubmed.ncbi.nlm.nih.gov/42814910/</w:t>
      </w:r>
    </w:p>
    <w:p>
      <w:pPr>
        <w:pStyle w:val="Heading2"/>
      </w:pPr>
      <w:r>
        <w:t>Kombinierte Bewegungs- und Ernährungsinterventionen beugen Frailty vor</w:t>
      </w:r>
    </w:p>
    <w:p>
      <w:r>
        <w:rPr>
          <w:i/>
          <w:color w:val="666666"/>
          <w:sz w:val="18"/>
        </w:rPr>
        <w:t>Aydin N et al.  ·  Orthop Nurs  ·  22.09.2026  ·  PMID 42809602</w:t>
      </w:r>
    </w:p>
    <w:p>
      <w:r>
        <w:t>Systematischer Review und Metaanalyse von 16 randomisierten Studien zu Frailty-Prävention bei Erwachsenen ab 65 Jahren.</w:t>
      </w:r>
    </w:p>
    <w:p>
      <w:r>
        <w:rPr>
          <w:b/>
        </w:rPr>
        <w:t xml:space="preserve">Ergebnis: </w:t>
      </w:r>
      <w:r>
        <w:t>Gesamteffektgröße: Hedges' g = –0,799 (95 % KI: –1,420 bis 0,179); Heterogenität hoch (I² = 97,32 %). Kombinierte Interventionen (Bewegung + Ernährung + integrierte Versorgung) zeigten größeren Effekt (g = 2,843; 95 % KI: 0,376–6,062) als einzelne Ansätze. Subgruppenunterschiede nicht signifikant (p = 0,080). Dauer und Frequenz von Bewegung sowie nutrizionale Unterstützung entscheidend.</w:t>
      </w:r>
    </w:p>
    <w:p>
      <w:r>
        <w:rPr>
          <w:b/>
          <w:sz w:val="19"/>
        </w:rPr>
        <w:t xml:space="preserve">Übertragbarkeit: </w:t>
      </w:r>
      <w:r>
        <w:rPr>
          <w:sz w:val="19"/>
        </w:rPr>
        <w:t>Deutschland: Multimodale Prävention ist Standard; Metaanalyse belegt Notwendigkeit kombinierter Ansätze.</w:t>
      </w:r>
    </w:p>
    <w:p>
      <w:r>
        <w:rPr>
          <w:color w:val="5A7D3A"/>
          <w:sz w:val="18"/>
        </w:rPr>
        <w:t>https://pubmed.ncbi.nlm.nih.gov/42809602/</w:t>
      </w:r>
    </w:p>
    <w:p>
      <w:pPr>
        <w:pStyle w:val="Heading2"/>
      </w:pPr>
      <w:r>
        <w:t>Enactment-Kodierung verbessert prospektives Gedächtnis über alle Altersgruppen</w:t>
      </w:r>
    </w:p>
    <w:p>
      <w:r>
        <w:rPr>
          <w:i/>
          <w:color w:val="666666"/>
          <w:sz w:val="18"/>
        </w:rPr>
        <w:t>Stelz S et al.  ·  Memory  ·  21.08.2026  ·  PMID 42627881</w:t>
      </w:r>
    </w:p>
    <w:p>
      <w:r>
        <w:t>Randomisierte Studie an 373 Personen (Kinder bis Mittelalter) mit drei Kodierungsbedingungen (episodic future thinking, enactment encoding, Standard) und computerisierter prospektiver Gedächtnisaufgabe.</w:t>
      </w:r>
    </w:p>
    <w:p>
      <w:r>
        <w:rPr>
          <w:b/>
        </w:rPr>
        <w:t xml:space="preserve">Ergebnis: </w:t>
      </w:r>
      <w:r>
        <w:t>Enactment encoding führte zu signifikant besserer Leistung als episodic future thinking und Standard (Haupteffekt p &lt; 0,05). Vorteil war unabhängig von Altersgruppe – kein Alters-mal-Bedingung-Effekt (Erwartung widerlegt). Immediate Memory und Attention waren beste RBANS-Prädiktoren für alltägliche Funktionalität.</w:t>
      </w:r>
    </w:p>
    <w:p>
      <w:r>
        <w:rPr>
          <w:b/>
          <w:sz w:val="19"/>
        </w:rPr>
        <w:t xml:space="preserve">Übertragbarkeit: </w:t>
      </w:r>
      <w:r>
        <w:rPr>
          <w:sz w:val="19"/>
        </w:rPr>
        <w:t>Deutschland: Universelle Kodierungsmethode, unabhängig von kognitiven Ressourcen im Alter anwendbar.</w:t>
      </w:r>
    </w:p>
    <w:p>
      <w:r>
        <w:rPr>
          <w:color w:val="5A7D3A"/>
          <w:sz w:val="18"/>
        </w:rPr>
        <w:t>https://pubmed.ncbi.nlm.nih.gov/42627881/</w:t>
      </w:r>
    </w:p>
    <w:p>
      <w:pPr>
        <w:pStyle w:val="Heading1"/>
      </w:pPr>
      <w:r>
        <w:t>Aufgenommen am 03.10.2026</w:t>
      </w:r>
    </w:p>
    <w:p>
      <w:pPr>
        <w:pStyle w:val="Heading2"/>
      </w:pPr>
      <w:r>
        <w:t>Multimorbiditäts-Effekte auf erhaltene Funktionsfähigkeit: Heterogenität nach Krankheitstyp und sozioökonomischem Status</w:t>
      </w:r>
    </w:p>
    <w:p>
      <w:r>
        <w:rPr>
          <w:i/>
          <w:color w:val="666666"/>
          <w:sz w:val="18"/>
        </w:rPr>
        <w:t>Zeng Z et al.  ·  Medicine (Baltimore)  ·  02.10.2026  ·  PMID 42826326</w:t>
      </w:r>
    </w:p>
    <w:p>
      <w:r>
        <w:t>Querschnittsstudie mit wiederholten Beobachtungen aus China (2011, 2015, 2018) zu Assoziationen zwischen Multimorbiditäten und Intrinsic Capacity (selbstständiges Leben) mit Subgruppenanalysen nach Erkrankungstyp, Region und Einkommen.</w:t>
      </w:r>
    </w:p>
    <w:p>
      <w:r>
        <w:rPr>
          <w:b/>
        </w:rPr>
        <w:t xml:space="preserve">Ergebnis: </w:t>
      </w:r>
      <w:r>
        <w:t>Multimorbiditäten waren signifikant mit niedriger Intrinsic Capacity assoziiert (β=−0,076, p&lt;0,01). Neurodegenerative Erkrankungen zeigten die stärkste negative Assoziation (β=−0,587), gefolgt von kardiovaskulären Erkrankungen (β=−0,135). Negative Assoziationen waren stärker in ländlichen Gebieten, westlichen Regionen und bei niedrigerem Einkommen/Bildung.</w:t>
      </w:r>
    </w:p>
    <w:p>
      <w:r>
        <w:rPr>
          <w:b/>
          <w:sz w:val="19"/>
        </w:rPr>
        <w:t xml:space="preserve">Übertragbarkeit: </w:t>
      </w:r>
      <w:r>
        <w:rPr>
          <w:sz w:val="19"/>
        </w:rPr>
        <w:t>China, andere Ausgangslage; Befunde zu Multimorbiditäts-Burden in alternder Bevölkerung relevant für globale Perspektive</w:t>
      </w:r>
    </w:p>
    <w:p>
      <w:r>
        <w:rPr>
          <w:color w:val="5A7D3A"/>
          <w:sz w:val="18"/>
        </w:rPr>
        <w:t>https://pubmed.ncbi.nlm.nih.gov/42826326/</w:t>
      </w:r>
    </w:p>
    <w:p>
      <w:pPr>
        <w:pStyle w:val="Heading2"/>
      </w:pPr>
      <w:r>
        <w:t>Kompetenzdefizite von Pflegefachpersonen bei Frailty-Management: Praxis schwächer als Wissen</w:t>
      </w:r>
    </w:p>
    <w:p>
      <w:r>
        <w:rPr>
          <w:i/>
          <w:color w:val="666666"/>
          <w:sz w:val="18"/>
        </w:rPr>
        <w:t>Lyu J et al.  ·  Front Public Health  ·  17.09.2026  ·  PMID 42824785</w:t>
      </w:r>
    </w:p>
    <w:p>
      <w:r>
        <w:t>Querschnittsbefragung von 610 Pflegefachpersonen an 41 Krankenhäusern in China zu Wissen, Einstellungen und praktischen Fertigkeiten (KAP) zur Frailty-Versorgung und deren Determinanten.</w:t>
      </w:r>
    </w:p>
    <w:p>
      <w:r>
        <w:rPr>
          <w:b/>
        </w:rPr>
        <w:t xml:space="preserve">Ergebnis: </w:t>
      </w:r>
      <w:r>
        <w:t>Mittleres KAP-Score 103,07±12,65 (81,16% des Maximums): Einstellung 88,53%, Wissen 81,38%, Praxis 74,40%. Recente Frailty-Schulung war unabhängig mit besserem Gesamt-KAP assoziiert (β=−6,820 für nicht trainiert versus innerhalb eines Monats trainiert, p=0,036). Geriatrische Fachzertifizierung war nur mit Wissen assoziiert, nicht mit Gesamtleistung oder Praxis.</w:t>
      </w:r>
    </w:p>
    <w:p>
      <w:r>
        <w:rPr>
          <w:b/>
          <w:sz w:val="19"/>
        </w:rPr>
        <w:t xml:space="preserve">Übertragbarkeit: </w:t>
      </w:r>
      <w:r>
        <w:rPr>
          <w:sz w:val="19"/>
        </w:rPr>
        <w:t>China, andere Gesundheitssystem-Struktur; Erkenntnis zur Schulungsrelevanz bei Fachpersonal übertragbar</w:t>
      </w:r>
    </w:p>
    <w:p>
      <w:r>
        <w:rPr>
          <w:color w:val="5A7D3A"/>
          <w:sz w:val="18"/>
        </w:rPr>
        <w:t>https://pubmed.ncbi.nlm.nih.gov/42824785/</w:t>
      </w:r>
    </w:p>
    <w:p>
      <w:pPr>
        <w:pStyle w:val="Heading2"/>
      </w:pPr>
      <w:r>
        <w:t>Geografische Disparitäten beim direkten Zugang zu akutgeriatrischer Versorgung</w:t>
      </w:r>
    </w:p>
    <w:p>
      <w:r>
        <w:rPr>
          <w:i/>
          <w:color w:val="666666"/>
          <w:sz w:val="18"/>
        </w:rPr>
        <w:t>Varg S et al.  ·  BMC Geriatr  ·  02.10.2026  ·  PMID 42823763</w:t>
      </w:r>
    </w:p>
    <w:p>
      <w:r>
        <w:t>Observationsstudie in Stockholm zu Variation der Rettungswagen-Einweisungen von über 65-Jährigen direkt in Geriatrische Stationen versus Notaufnahmen und zugrunde liegenden Unterschieden zwischen Versorgungsgebieten.</w:t>
      </w:r>
    </w:p>
    <w:p>
      <w:r>
        <w:rPr>
          <w:b/>
        </w:rPr>
        <w:t xml:space="preserve">Ergebnis: </w:t>
      </w:r>
      <w:r>
        <w:t>Von 8.208 Patienten wurden 603 (7%) direkt in eine Geriatrische Station aufgenommen; Quoten variierten zwischen 4% und 21% je Krankenhaus-Versorgungsgebiet. Nach Adjustierung für Angebotsfaktoren erklärten Nähe zur geriatrischen Einheit (26% Varianzreduktion), Trägerschaft (27%) und Bettenzahl (38%) einen Teil der Variation; erhebliche Residualvariation blieb bestehen (MOR=1,54), was auf unmessbare Faktoren hindeutet.</w:t>
      </w:r>
    </w:p>
    <w:p>
      <w:r>
        <w:rPr>
          <w:b/>
          <w:sz w:val="19"/>
        </w:rPr>
        <w:t xml:space="preserve">Übertragbarkeit: </w:t>
      </w:r>
      <w:r>
        <w:rPr>
          <w:sz w:val="19"/>
        </w:rPr>
        <w:t>Schwedische Klinikdaten, Notfallsystem mit weniger fragmentierter Versorgungslandschaft als Deutschland</w:t>
      </w:r>
    </w:p>
    <w:p>
      <w:r>
        <w:rPr>
          <w:color w:val="5A7D3A"/>
          <w:sz w:val="18"/>
        </w:rPr>
        <w:t>https://pubmed.ncbi.nlm.nih.gov/42823763/</w:t>
      </w:r>
    </w:p>
    <w:p>
      <w:pPr>
        <w:pStyle w:val="Heading2"/>
      </w:pPr>
      <w:r>
        <w:t>Frailty-Komponenten und Funktionsfähigkeit: Unterschiede zwischen baltischen und nordischen Ländern</w:t>
      </w:r>
    </w:p>
    <w:p>
      <w:r>
        <w:rPr>
          <w:i/>
          <w:color w:val="666666"/>
          <w:sz w:val="18"/>
        </w:rPr>
        <w:t>Bukova-Žideļūna A et al.  ·  BMC Geriatr  ·  28.07.2026  ·  PMID 42823669</w:t>
      </w:r>
    </w:p>
    <w:p>
      <w:r>
        <w:t>Längsschnittstudie über zwei Jahre zu Zusammenhängen zwischen Frailty-Status und neuen Einschränkungen bei Aktivitäten des täglichen Lebens (ADL/IADL) in über 65-Jährigen aus baltischen und nordischen Ländern mit SHARE-Daten.</w:t>
      </w:r>
    </w:p>
    <w:p>
      <w:r>
        <w:rPr>
          <w:b/>
        </w:rPr>
        <w:t xml:space="preserve">Ergebnis: </w:t>
      </w:r>
      <w:r>
        <w:t>Über zwei Jahre entwickelten 5,9% neue IADL-Einschränkungen in baltischen und 6,4% in nordischen Ländern; 4,6% bzw. 4,7% neue ADL-Einschränkungen. Pre-Frailty war in beiden Regionen mit neuen IADL-Einschränkungen assoziiert. Erschöpfung war die einzige Frailty-Komponente, die unabhängig in beiden Regionen mit neuen Limitationen verknüpft war. Frailty-Prevalenz war in baltischen Ländern deutlich höher.</w:t>
      </w:r>
    </w:p>
    <w:p>
      <w:r>
        <w:rPr>
          <w:b/>
          <w:sz w:val="19"/>
        </w:rPr>
        <w:t xml:space="preserve">Übertragbarkeit: </w:t>
      </w:r>
      <w:r>
        <w:rPr>
          <w:sz w:val="19"/>
        </w:rPr>
        <w:t>SHARE-Daten aus Europa, vergleichbare Gesundheitssysteme und Datenqualität</w:t>
      </w:r>
    </w:p>
    <w:p>
      <w:r>
        <w:rPr>
          <w:color w:val="5A7D3A"/>
          <w:sz w:val="18"/>
        </w:rPr>
        <w:t>https://pubmed.ncbi.nlm.nih.gov/42823669/</w:t>
      </w:r>
    </w:p>
    <w:p>
      <w:pPr>
        <w:pStyle w:val="Heading2"/>
      </w:pPr>
      <w:r>
        <w:t>Vorhersagefaktoren für erhaltene Robustheit im Alter: 8-Jahres-Kohortenstudie</w:t>
      </w:r>
    </w:p>
    <w:p>
      <w:r>
        <w:rPr>
          <w:i/>
          <w:color w:val="666666"/>
          <w:sz w:val="18"/>
        </w:rPr>
        <w:t>Iktilat K et al.  ·  BMC Geriatr  ·  19.08.2026  ·  PMID 42823660</w:t>
      </w:r>
    </w:p>
    <w:p>
      <w:r>
        <w:t>Multinationalle Langzeitanalyse über acht Jahre zu Baseline-Merkmalen, die das Verbleiben in einem robusten (nicht-frail) Zustand vorhersagen bei älteren Erwachsenen 65–84 Jahren aus 27 SHARE-Ländern.</w:t>
      </w:r>
    </w:p>
    <w:p>
      <w:r>
        <w:rPr>
          <w:b/>
        </w:rPr>
        <w:t xml:space="preserve">Ergebnis: </w:t>
      </w:r>
      <w:r>
        <w:t>Nach acht Jahren verblieben 52% der jüngeren Älteren (65–74 J.) und 26% der älteren Älteren (75–84 J.) robust. Konsistent beste Vorhersagefaktoren waren bessere subjektive Gesundheit (OR ≈0,72, p&lt;0,001), weniger chronische Erkrankungen (OR ≈0,89, p&lt;0,001) und finanzielle Sicherheit (OR ≈1,11, p=0,018). Soziale und kognitive Aktivitäten zeigten in manchen Modellen Assoziationen.</w:t>
      </w:r>
    </w:p>
    <w:p>
      <w:r>
        <w:rPr>
          <w:b/>
          <w:sz w:val="19"/>
        </w:rPr>
        <w:t xml:space="preserve">Übertragbarkeit: </w:t>
      </w:r>
      <w:r>
        <w:rPr>
          <w:sz w:val="19"/>
        </w:rPr>
        <w:t>SHARE-Daten aus Europa, vergleichbare Bevölkerungsstruktur und Sozialsysteme</w:t>
      </w:r>
    </w:p>
    <w:p>
      <w:r>
        <w:rPr>
          <w:color w:val="5A7D3A"/>
          <w:sz w:val="18"/>
        </w:rPr>
        <w:t>https://pubmed.ncbi.nlm.nih.gov/42823660/</w:t>
      </w:r>
    </w:p>
    <w:p>
      <w:pPr>
        <w:pStyle w:val="Heading2"/>
      </w:pPr>
      <w:r>
        <w:t>Frailty als Prädiktor für Krankenhausaufnahme jenseits des Triage-Scores</w:t>
      </w:r>
    </w:p>
    <w:p>
      <w:r>
        <w:rPr>
          <w:i/>
          <w:color w:val="666666"/>
          <w:sz w:val="18"/>
        </w:rPr>
        <w:t>Hata N et al.  ·  Acad Emerg Med  ·  Okt. 2026  ·  PMID 42811477</w:t>
      </w:r>
    </w:p>
    <w:p>
      <w:r>
        <w:t>Retrospektive Kohortenanalyse von Notaufnahme-Patienten ≥65 Jahren in Japan (n=3127 Besuche) zur Assoziation zwischen Clinical Frailty Scale und Hospitalisierung, stratifiziert nach Triage-Kategorien.</w:t>
      </w:r>
    </w:p>
    <w:p>
      <w:r>
        <w:rPr>
          <w:b/>
        </w:rPr>
        <w:t xml:space="preserve">Ergebnis: </w:t>
      </w:r>
      <w:r>
        <w:t>Von 3.127 ED-Besuchen führten 1.526 zur Aufnahme. Adjustierte Odds Ratios für Frailty (CFS≥5) waren 1,00 (95% CI 0,65–1,55) in JTAS 2, 1,54 (1,19–1,99) in JTAS 3 und 2,01 (1,13–3,58) in JTAS 4/5. Globale CFS-by-JTAS-Interaktion war nicht signifikant (p=0,091), deutet aber numerisch auf stärkere Frailty-Effekte bei niedrigerer Triage-Dringlichkeit hin.</w:t>
      </w:r>
    </w:p>
    <w:p>
      <w:r>
        <w:rPr>
          <w:b/>
          <w:sz w:val="19"/>
        </w:rPr>
        <w:t xml:space="preserve">Übertragbarkeit: </w:t>
      </w:r>
      <w:r>
        <w:rPr>
          <w:sz w:val="19"/>
        </w:rPr>
        <w:t>Japan, ähnliches Gesundheitssystem; Befund zu Frailty-Screening in der Notaufnahme strukturübergreifend relevant</w:t>
      </w:r>
    </w:p>
    <w:p>
      <w:r>
        <w:rPr>
          <w:color w:val="5A7D3A"/>
          <w:sz w:val="18"/>
        </w:rPr>
        <w:t>https://pubmed.ncbi.nlm.nih.gov/42811477/</w:t>
      </w:r>
    </w:p>
    <w:p>
      <w:pPr>
        <w:pStyle w:val="Heading1"/>
      </w:pPr>
      <w:r>
        <w:t>Aufgenommen am 02.10.2026</w:t>
      </w:r>
    </w:p>
    <w:p>
      <w:pPr>
        <w:pStyle w:val="Heading2"/>
      </w:pPr>
      <w:r>
        <w:t>Körperliche Aktivität senkt Risiko für intrinsische Kapazitätsverluste bei hospitalisierten Älteren</w:t>
      </w:r>
    </w:p>
    <w:p>
      <w:r>
        <w:rPr>
          <w:i/>
          <w:color w:val="666666"/>
          <w:sz w:val="18"/>
        </w:rPr>
        <w:t>Fan W et al.  ·  Australas J Ageing  ·  Dez. 2026  ·  PMID 42820336</w:t>
      </w:r>
    </w:p>
    <w:p>
      <w:r>
        <w:t>Querschnittsstudie mit 534 hospitalisierten älteren Patienten (China) zur Dosis-Wirkungs-Beziehung zwischen körperlicher Aktivität und Verfall der intrinsischen Kapazität.</w:t>
      </w:r>
    </w:p>
    <w:p>
      <w:r>
        <w:rPr>
          <w:b/>
        </w:rPr>
        <w:t xml:space="preserve">Ergebnis: </w:t>
      </w:r>
      <w:r>
        <w:t>Moderate körperliche Aktivität reduzierte Risiko für Kapazitätsverlust um 66% (OR=0,34, 95%-KI 0,23–0,50), hohe Aktivität um 74% (OR=0,26, KI 0,14–0,49). J-förmige nichtlineare Assoziation nachgewiesen. Subgruppenanalysen deuteten auf Geschlecht als potenziellen Moderator hin.</w:t>
      </w:r>
    </w:p>
    <w:p>
      <w:r>
        <w:rPr>
          <w:b/>
          <w:sz w:val="19"/>
        </w:rPr>
        <w:t xml:space="preserve">Übertragbarkeit: </w:t>
      </w:r>
      <w:r>
        <w:rPr>
          <w:sz w:val="19"/>
        </w:rPr>
        <w:t>China, Daten aus Akutkliniken; intrinsische Kapazität international anerkanntes Konzept</w:t>
      </w:r>
    </w:p>
    <w:p>
      <w:r>
        <w:rPr>
          <w:color w:val="5A7D3A"/>
          <w:sz w:val="18"/>
        </w:rPr>
        <w:t>https://pubmed.ncbi.nlm.nih.gov/42820336/</w:t>
      </w:r>
    </w:p>
    <w:p>
      <w:pPr>
        <w:pStyle w:val="Heading2"/>
      </w:pPr>
      <w:r>
        <w:t>Intrinsische Kapazität und Frailty Index prognostizieren Behinderung und Mortalität</w:t>
      </w:r>
    </w:p>
    <w:p>
      <w:r>
        <w:rPr>
          <w:i/>
          <w:color w:val="666666"/>
          <w:sz w:val="18"/>
        </w:rPr>
        <w:t>Feng B et al.  ·  Front Public Health  ·  16.09.2026  ·  PMID 42818694</w:t>
      </w:r>
    </w:p>
    <w:p>
      <w:r>
        <w:t>Prospektive Kohorte mit 7.168 Erwachsenen ≥60 Jahren (China) zur Vorhersagekraft von intrinsischer Kapazität und Frailty-Index für neue Behinderung und Gesamtsterblichkeit.</w:t>
      </w:r>
    </w:p>
    <w:p>
      <w:r>
        <w:rPr>
          <w:b/>
        </w:rPr>
        <w:t xml:space="preserve">Ergebnis: </w:t>
      </w:r>
      <w:r>
        <w:t>Höhere intrinsische Kapazität: niedrigere Behinderungsodds (OR=0,79 pro Punkt, 95%-KI 0,74–0,84) und reduziertes Mortalitätsrisiko (HR=0,84, KI 0,82–0,85). Höherer Frailty-Index: höhere Behinderungsodds (OR=1,93 pro 0,1-Punkte-Steigerung, KI 1,67–2,23). Kombiniert niedrige IC + hoher FI: größtes Behinderungsrisiko (OR=4,31, KI 2,65–7,04) und Mortalitätsrisiko (HR=2,66, KI 2,32–3,04).</w:t>
      </w:r>
    </w:p>
    <w:p>
      <w:r>
        <w:rPr>
          <w:b/>
          <w:sz w:val="19"/>
        </w:rPr>
        <w:t xml:space="preserve">Übertragbarkeit: </w:t>
      </w:r>
      <w:r>
        <w:rPr>
          <w:sz w:val="19"/>
        </w:rPr>
        <w:t>China; beide Konzepte international etabliert, IC und Frailty-Metriken WHO-anerkannt</w:t>
      </w:r>
    </w:p>
    <w:p>
      <w:r>
        <w:rPr>
          <w:color w:val="5A7D3A"/>
          <w:sz w:val="18"/>
        </w:rPr>
        <w:t>https://pubmed.ncbi.nlm.nih.gov/42818694/</w:t>
      </w:r>
    </w:p>
    <w:p>
      <w:pPr>
        <w:pStyle w:val="Heading2"/>
      </w:pPr>
      <w:r>
        <w:t>Gesundheitskompetenz fördert aktives und erfolgreiches Altern</w:t>
      </w:r>
    </w:p>
    <w:p>
      <w:r>
        <w:rPr>
          <w:i/>
          <w:color w:val="666666"/>
          <w:sz w:val="18"/>
        </w:rPr>
        <w:t>Akdeniz Ş et al.  ·  BMC Geriatr  ·  29.09.2026  ·  PMID 42816844</w:t>
      </w:r>
    </w:p>
    <w:p>
      <w:r>
        <w:t>Querschnittsstudie an 306 älteren Erwachsenen (Ø 67,8 Jahre) in der Türkei zu Zusammenhängen zwischen Gesundheitskompetenz, aktivem Altern und erfolgreichem Altern.</w:t>
      </w:r>
    </w:p>
    <w:p>
      <w:r>
        <w:rPr>
          <w:b/>
        </w:rPr>
        <w:t xml:space="preserve">Ergebnis: </w:t>
      </w:r>
      <w:r>
        <w:t>Höhere Gesundheitskompetenz war signifikant mit besserem aktivem Altern assoziiert (p&lt;0,01) und erklärte 56,4% der Varianz des Active-Ageing-Scores (R²=0,564). Regelmäßige mentale Aktivität und Gesundheitskompetenz waren unabhängige Prädiktoren; Bildung und regelmäßiges Training waren im Gesamtmodell nicht signifikant. Zentrale Erkenntnis: Gesundheitskompetenz ist Schlüsselfaktor für aktives Altern.</w:t>
      </w:r>
    </w:p>
    <w:p>
      <w:r>
        <w:rPr>
          <w:b/>
          <w:sz w:val="19"/>
        </w:rPr>
        <w:t xml:space="preserve">Übertragbarkeit: </w:t>
      </w:r>
      <w:r>
        <w:rPr>
          <w:sz w:val="19"/>
        </w:rPr>
        <w:t>Türkei mit vergleichbarer Sozialversicherung, Health-Literacy-Instrumente international validiert</w:t>
      </w:r>
    </w:p>
    <w:p>
      <w:r>
        <w:rPr>
          <w:color w:val="5A7D3A"/>
          <w:sz w:val="18"/>
        </w:rPr>
        <w:t>https://pubmed.ncbi.nlm.nih.gov/42816844/</w:t>
      </w:r>
    </w:p>
    <w:p>
      <w:pPr>
        <w:pStyle w:val="Heading2"/>
      </w:pPr>
      <w:r>
        <w:t>Metabolische Dysregulation vorhersagt Frailty-Entwicklung bei älteren Erwachsenen</w:t>
      </w:r>
    </w:p>
    <w:p>
      <w:r>
        <w:rPr>
          <w:i/>
          <w:color w:val="666666"/>
          <w:sz w:val="18"/>
        </w:rPr>
        <w:t>Wang H et al.  ·  Front Public Health  ·  14.09.2026  ·  PMID 42807462</w:t>
      </w:r>
    </w:p>
    <w:p>
      <w:r>
        <w:t>Prospektive Kohortenstudie (n=2.476, China, 2018–2021) zur zeitlichen Assoziation zwischen TyG-CVAI (Triglycerid-Glukose × viszerales Adipositas-Index) und Frailty-Index.</w:t>
      </w:r>
    </w:p>
    <w:p>
      <w:r>
        <w:rPr>
          <w:b/>
        </w:rPr>
        <w:t xml:space="preserve">Ergebnis: </w:t>
      </w:r>
      <w:r>
        <w:t>Baseline TyG-CVAI prägt Follow-up-Frailty signifikant (standardisiert β=0,165, p&lt;0,001), inverse Assoziation deutlich schwächer (β=0,035, p&lt;0,001). Nichtlineares Verhältnis mit Wendepunkt TyG-CVAI≈750. Subgruppen: stärkere Assoziation unter 60 Jahren, bei ethnischen Minderheiten, ohne Hypertonie/Diabetes. TyG-CVAI als Routine-Biomarker für Früh-Screening geeignet.</w:t>
      </w:r>
    </w:p>
    <w:p>
      <w:r>
        <w:rPr>
          <w:b/>
          <w:sz w:val="19"/>
        </w:rPr>
        <w:t xml:space="preserve">Übertragbarkeit: </w:t>
      </w:r>
      <w:r>
        <w:rPr>
          <w:sz w:val="19"/>
        </w:rPr>
        <w:t>China; TyG-Index und viszerales Adipositas-Index aus Routineparametern</w:t>
      </w:r>
    </w:p>
    <w:p>
      <w:r>
        <w:rPr>
          <w:color w:val="5A7D3A"/>
          <w:sz w:val="18"/>
        </w:rPr>
        <w:t>https://pubmed.ncbi.nlm.nih.gov/42807462/</w:t>
      </w:r>
    </w:p>
    <w:p>
      <w:pPr>
        <w:pStyle w:val="Heading2"/>
      </w:pPr>
      <w:r>
        <w:t>Pilocarpin-Tropfen bei Xerostomie in Palliativversorgung: randomisierte Studie</w:t>
      </w:r>
    </w:p>
    <w:p>
      <w:r>
        <w:rPr>
          <w:i/>
          <w:color w:val="666666"/>
          <w:sz w:val="18"/>
        </w:rPr>
        <w:t>van der Meulen A et al.  ·  J Am Med Dir Assoc  ·  25.08.2026  ·  PMID 42641502</w:t>
      </w:r>
    </w:p>
    <w:p>
      <w:r>
        <w:t>Randomisierte, doppelblinde Placebo-kontrollierte Studie (n=92, Niederlande) zu Wirksamkeit von topischem Pilocarpin gegen Mundtrockenheit bei Patienten mit lebensverkürzender Erkrankung und/oder Frailty.</w:t>
      </w:r>
    </w:p>
    <w:p>
      <w:r>
        <w:rPr>
          <w:b/>
        </w:rPr>
        <w:t xml:space="preserve">Ergebnis: </w:t>
      </w:r>
      <w:r>
        <w:t>Kein signifikanter Unterschied zwischen Pilocarpin und Placebo in Xerostomie-Schweregrad Woche 2 oder 4 (adjustiertes β=–0,37, KI –1,31 bis 0,58 Woche 4). Nur Pilocarpin zeigte kontinuierliche Reduktion Woche 2–4 (–0,86, KI –1,56 bis –0,15). Mundgesundheits-Lebensqualität verbesserte sich unter Pilocarpin Woche 2 (β=2,8, KI 0,91–4,65). Studie unterversorgt; Verträglichkeit gut.</w:t>
      </w:r>
    </w:p>
    <w:p>
      <w:r>
        <w:rPr>
          <w:b/>
          <w:sz w:val="19"/>
        </w:rPr>
        <w:t xml:space="preserve">Übertragbarkeit: </w:t>
      </w:r>
      <w:r>
        <w:rPr>
          <w:sz w:val="19"/>
        </w:rPr>
        <w:t>Niederlande, vergleichbares Versicherungssystem; Palliativversorgung älterer Patienten</w:t>
      </w:r>
    </w:p>
    <w:p>
      <w:r>
        <w:rPr>
          <w:color w:val="5A7D3A"/>
          <w:sz w:val="18"/>
        </w:rPr>
        <w:t>https://pubmed.ncbi.nlm.nih.gov/42641502/</w:t>
      </w:r>
    </w:p>
    <w:p>
      <w:pPr>
        <w:pStyle w:val="Heading1"/>
      </w:pPr>
      <w:r>
        <w:t>Aufgenommen am 01.10.2026</w:t>
      </w:r>
    </w:p>
    <w:p>
      <w:pPr>
        <w:pStyle w:val="Heading2"/>
      </w:pPr>
      <w:r>
        <w:t>Hochintensives Gehen baut Gebrechlichkeit bei älteren Menschen besser ab als lockeres Spaziergang</w:t>
      </w:r>
    </w:p>
    <w:p>
      <w:r>
        <w:rPr>
          <w:i/>
          <w:color w:val="666666"/>
          <w:sz w:val="18"/>
        </w:rPr>
        <w:t>Danilovich M et al.  ·  PLoS One  ·  30.09.2026  ·  PMID 42814673</w:t>
      </w:r>
    </w:p>
    <w:p>
      <w:r>
        <w:t>Randomisierte kontrollierte Studie an 165 gebrechlichen oder vorgebrechlichen älteren Menschen (Alter ≥60 Jahre), die entweder hochintensives Gehen (70% Herzfrequenzmaximum) oder lockeres Gehen (unter 60%) über 16 Wochen trainierten.</w:t>
      </w:r>
    </w:p>
    <w:p>
      <w:r>
        <w:rPr>
          <w:b/>
        </w:rPr>
        <w:t xml:space="preserve">Ergebnis: </w:t>
      </w:r>
      <w:r>
        <w:t>69,6% der hochintensiv trainierenden Teilnehmer (32/46) verbesserten ihre Gebrechlichkeit um mind. eine Kategorie gegenüber 46,4% der Kontrollgruppe (26/56) – Odds Ratio 2,91 (95% KI 1,19–7,13, p=0,02). Hochintensives Training erhöhte Gehgeschwindigkeit um 0,08 m/s (95% KI 0,03–0,13) und 6-Minuten-Gehstrecke um 49 m (95% KI 21–77 m).</w:t>
      </w:r>
    </w:p>
    <w:p>
      <w:r>
        <w:rPr>
          <w:b/>
          <w:sz w:val="19"/>
        </w:rPr>
        <w:t xml:space="preserve">Übertragbarkeit: </w:t>
      </w:r>
      <w:r>
        <w:rPr>
          <w:sz w:val="19"/>
        </w:rPr>
        <w:t>USA; Interventionsergebnis unabhängig von Gesundheitssystem übertragbar</w:t>
      </w:r>
    </w:p>
    <w:p>
      <w:r>
        <w:rPr>
          <w:color w:val="5A7D3A"/>
          <w:sz w:val="18"/>
        </w:rPr>
        <w:t>https://pubmed.ncbi.nlm.nih.gov/42814673/</w:t>
      </w:r>
    </w:p>
    <w:p>
      <w:pPr>
        <w:pStyle w:val="Heading2"/>
      </w:pPr>
      <w:r>
        <w:t>Chemokine CCL2 und CXCL2 als Marker für Delirium-Anfälligkeit bei älteren Menschen</w:t>
      </w:r>
    </w:p>
    <w:p>
      <w:r>
        <w:rPr>
          <w:i/>
          <w:color w:val="666666"/>
          <w:sz w:val="18"/>
        </w:rPr>
        <w:t>Moorey H et al.  ·  Age Ageing  ·  04.09.2026  ·  PMID 42814578</w:t>
      </w:r>
    </w:p>
    <w:p>
      <w:r>
        <w:t>Prospektive Kohortenstudie an 98 Bewohnern der Allgemeinbevölkerung (Median-Alter 88 Jahre, 90,8% gebrechlich) aus der CASCADE-Studie mit 2-Jahres-Verfolgung zur Deliriumprävention.</w:t>
      </w:r>
    </w:p>
    <w:p>
      <w:r>
        <w:rPr>
          <w:b/>
        </w:rPr>
        <w:t xml:space="preserve">Ergebnis: </w:t>
      </w:r>
      <w:r>
        <w:t>43,9% der Teilnehmer erlebten ≥1 Delirium-Episode. CCL2 und CXCL2 waren zu Baseline bei der Deliriumgruppe signifikant erhöht (CCL2: 13,38 vs. 10,83, p=0,004; CXCL2: 17,23 vs. 13,49, p=0,031). CCL2-Assoziation mit Deliriumrisiko blieb in beiden Demenzunttergruppen stabil; CXCL2 nur bei Teilnehmern ohne Demenz signifikant.</w:t>
      </w:r>
    </w:p>
    <w:p>
      <w:r>
        <w:rPr>
          <w:b/>
          <w:sz w:val="19"/>
        </w:rPr>
        <w:t xml:space="preserve">Übertragbarkeit: </w:t>
      </w:r>
      <w:r>
        <w:rPr>
          <w:sz w:val="19"/>
        </w:rPr>
        <w:t>UK (Birmingham), vergleichbares Gesundheitssystem und Altersstruktur</w:t>
      </w:r>
    </w:p>
    <w:p>
      <w:r>
        <w:rPr>
          <w:color w:val="5A7D3A"/>
          <w:sz w:val="18"/>
        </w:rPr>
        <w:t>https://pubmed.ncbi.nlm.nih.gov/42814578/</w:t>
      </w:r>
    </w:p>
    <w:p>
      <w:pPr>
        <w:pStyle w:val="Heading2"/>
      </w:pPr>
      <w:r>
        <w:t>Anticholinerge Blasenmittel erhöhen Demenzrisiko bei älteren Frauen stärker als Beta-3-Agonisten</w:t>
      </w:r>
    </w:p>
    <w:p>
      <w:r>
        <w:rPr>
          <w:i/>
          <w:color w:val="666666"/>
          <w:sz w:val="18"/>
        </w:rPr>
        <w:t>Ito K et al.  ·  Int J Urol  ·  Okt. 2026  ·  PMID 42814029</w:t>
      </w:r>
    </w:p>
    <w:p>
      <w:r>
        <w:t>Retrospektive Kohortenstudie mit 3794 älteren Frauen (65–84 Jahre) in Japan, die neu mit Anticholinergika oder Beta-3-Agonisten gegen überaktive Blase behandelt wurden, mit mindestens 1 Jahr kontinuierlicher Therapie und 5-Jahre-Verfolgung.</w:t>
      </w:r>
    </w:p>
    <w:p>
      <w:r>
        <w:rPr>
          <w:b/>
        </w:rPr>
        <w:t xml:space="preserve">Ergebnis: </w:t>
      </w:r>
      <w:r>
        <w:t>Kein signifikanter Unterschied in Verschlechterung der Pflegebedürftigkeit (HR 1,03, 95% KI 0,87–1,22). Anticholinergikagruppe zeigte erhöhtes Demenzrisiko (HR 1,49, 95% KI 1,04–2,13). Elektronischer Gebrechlichkeitsindex unterschied sich nicht (p&gt;0,05).</w:t>
      </w:r>
    </w:p>
    <w:p>
      <w:r>
        <w:rPr>
          <w:b/>
          <w:sz w:val="19"/>
        </w:rPr>
        <w:t xml:space="preserve">Übertragbarkeit: </w:t>
      </w:r>
      <w:r>
        <w:rPr>
          <w:sz w:val="19"/>
        </w:rPr>
        <w:t>Japan (Shizuoka-Kasse); vergleichbares Alter und Gesundheitssystem; Ergebnis zur Deprescribing übertragbar</w:t>
      </w:r>
    </w:p>
    <w:p>
      <w:r>
        <w:rPr>
          <w:color w:val="5A7D3A"/>
          <w:sz w:val="18"/>
        </w:rPr>
        <w:t>https://pubmed.ncbi.nlm.nih.gov/42814029/</w:t>
      </w:r>
    </w:p>
    <w:p>
      <w:pPr>
        <w:pStyle w:val="Heading2"/>
      </w:pPr>
      <w:r>
        <w:t>Trauer um Ehepartner verschärft kognitiven Verfall bei älteren Menschen in verschiedenen Ländern</w:t>
      </w:r>
    </w:p>
    <w:p>
      <w:r>
        <w:rPr>
          <w:i/>
          <w:color w:val="666666"/>
          <w:sz w:val="18"/>
        </w:rPr>
        <w:t>Guo C et al.  ·  Epidemiol Psychiatr Sci  ·  30.09.2026  ·  PMID 42813925</w:t>
      </w:r>
    </w:p>
    <w:p>
      <w:r>
        <w:t>Prospektive Metaanalyse aus sechs harmonisierten Alterskohortensurveys (USA, England, Mexiko, China, Indien, Südafrika; n=18.551, Alter 61–71 Jahre) mit neuropsychologischem Assessment zur Auswirkung von Verwitwung auf kognitive Domänen.</w:t>
      </w:r>
    </w:p>
    <w:p>
      <w:r>
        <w:rPr>
          <w:b/>
        </w:rPr>
        <w:t xml:space="preserve">Ergebnis: </w:t>
      </w:r>
      <w:r>
        <w:t>Witwenschaft assoziiert mit Gedächtnisverschlechterung (β=−0,07, 95% KI −0,12 bis −0,01) und exekutiver Dysfunktion (β=−0,08, 95% KI −0,13 bis −0,03) in Metaanalyse. Geschlechtsspezifische Effekte: Männer zeigten größere exekutive Defizite (β=−0,14), Frauen Gedächtnisverluste (β=−0,07). Schutzfaktoren: höhere Schulbildung, Internetnutzung, Body-Mass-Index.</w:t>
      </w:r>
    </w:p>
    <w:p>
      <w:r>
        <w:rPr>
          <w:b/>
          <w:sz w:val="19"/>
        </w:rPr>
        <w:t xml:space="preserve">Übertragbarkeit: </w:t>
      </w:r>
      <w:r>
        <w:rPr>
          <w:sz w:val="19"/>
        </w:rPr>
        <w:t>Multinational aber heterogen; Übertragbarkeit begrenzt durch unterschiedliche Rentensysteme und Unterstützungsstrukturen</w:t>
      </w:r>
    </w:p>
    <w:p>
      <w:r>
        <w:rPr>
          <w:color w:val="5A7D3A"/>
          <w:sz w:val="18"/>
        </w:rPr>
        <w:t>https://pubmed.ncbi.nlm.nih.gov/42813925/</w:t>
      </w:r>
    </w:p>
    <w:p>
      <w:pPr>
        <w:pStyle w:val="Heading2"/>
      </w:pPr>
      <w:r>
        <w:t>Multidisziplinäres Programm reduziert Gebrechlichkeit bei älteren Herzpatienten im Krankenhaus</w:t>
      </w:r>
    </w:p>
    <w:p>
      <w:r>
        <w:rPr>
          <w:i/>
          <w:color w:val="666666"/>
          <w:sz w:val="18"/>
        </w:rPr>
        <w:t>Chai K et al.  ·  Nat Commun  ·  31.08.2026  ·  PMID 42811040</w:t>
      </w:r>
    </w:p>
    <w:p>
      <w:r>
        <w:t>Randomisierte kontrollierte Studie an 333 gebrechlichen Krankenhauspatienten ≥70 Jahren mit kardiovaskulären Erkrankungen in China, die RENAP-Programm (Rehabilitation, Ernährung, Edukation, Akupunktur, Deprescribing) oder Standardbehandlung erhielten mit Verfolgung über 12 Monate.</w:t>
      </w:r>
    </w:p>
    <w:p>
      <w:r>
        <w:rPr>
          <w:b/>
        </w:rPr>
        <w:t xml:space="preserve">Ergebnis: </w:t>
      </w:r>
      <w:r>
        <w:t>RENAP verbesserte Fried-Gebrechlichkeits-Phänotyp stärker (mittlere Differenz −0,79, 95% KI −1,11 bis −0,46, p&lt;0,001) und Short Physical Performance Battery um 2,02 Punkte (95% KI 1,04–2,99, p&lt;0,001). Keine schwerwiegenden unerwünschten Ereignisse berichtet.</w:t>
      </w:r>
    </w:p>
    <w:p>
      <w:r>
        <w:rPr>
          <w:b/>
          <w:sz w:val="19"/>
        </w:rPr>
        <w:t xml:space="preserve">Übertragbarkeit: </w:t>
      </w:r>
      <w:r>
        <w:rPr>
          <w:sz w:val="19"/>
        </w:rPr>
        <w:t>China (Peking); unterschiedliche Versicherungsstruktur; Replikation in europäischen Gesundheitssystemen nötig</w:t>
      </w:r>
    </w:p>
    <w:p>
      <w:r>
        <w:rPr>
          <w:color w:val="5A7D3A"/>
          <w:sz w:val="18"/>
        </w:rPr>
        <w:t>https://pubmed.ncbi.nlm.nih.gov/42811040/</w:t>
      </w:r>
    </w:p>
    <w:p>
      <w:pPr>
        <w:pStyle w:val="Heading2"/>
      </w:pPr>
      <w:r>
        <w:t>Psychische Faktoren und Multimorbiditäten vorhersagen Gebrechlichkeit bei älteren Chilenen über 12 Monate</w:t>
      </w:r>
    </w:p>
    <w:p>
      <w:r>
        <w:rPr>
          <w:i/>
          <w:color w:val="666666"/>
          <w:sz w:val="18"/>
        </w:rPr>
        <w:t>Castillo-Carreño A et al.  ·  Rev Med Chil  ·  Juli 2026  ·  PMID 42809783</w:t>
      </w:r>
    </w:p>
    <w:p>
      <w:r>
        <w:t>Prospektive Kohortenstudie an 394 Personen 60–80 Jahre aus Santiago und Concepción (Chile) mit Baseline und 12-Monats-Follow-up zu Prädiktoren physischer Gebrechlichkeit (FRIED-Skala).</w:t>
      </w:r>
    </w:p>
    <w:p>
      <w:r>
        <w:rPr>
          <w:b/>
        </w:rPr>
        <w:t xml:space="preserve">Ergebnis: </w:t>
      </w:r>
      <w:r>
        <w:t>Baseline-Gebrechlichkeit 22,7%. Signifikante Prädiktoren für Gebrechlichkeitsentstehung: höheres Alter, niedrigere soziale Unterstützung (MSPSS), depressive/Angststörungssymptome, niedrigere kognitive Funktion, Hypertension, Gefäßerkrankung, BMI (p=0,040). Modell erklärte 28% der Varianz.</w:t>
      </w:r>
    </w:p>
    <w:p>
      <w:r>
        <w:rPr>
          <w:b/>
          <w:sz w:val="19"/>
        </w:rPr>
        <w:t xml:space="preserve">Übertragbarkeit: </w:t>
      </w:r>
      <w:r>
        <w:rPr>
          <w:sz w:val="19"/>
        </w:rPr>
        <w:t>Südamerika; Unterschiede in Altersstruktur und Sozialsystem; Konzepte zu psychosozialen Prädiktoren teilweise übertragbar</w:t>
      </w:r>
    </w:p>
    <w:p>
      <w:r>
        <w:rPr>
          <w:color w:val="5A7D3A"/>
          <w:sz w:val="18"/>
        </w:rPr>
        <w:t>https://pubmed.ncbi.nlm.nih.gov/42809783/</w:t>
      </w:r>
    </w:p>
    <w:p>
      <w:pPr>
        <w:pStyle w:val="Heading1"/>
      </w:pPr>
      <w:r>
        <w:t>Aufgenommen am 30.09.2026</w:t>
      </w:r>
    </w:p>
    <w:p>
      <w:pPr>
        <w:pStyle w:val="Heading2"/>
      </w:pPr>
      <w:r>
        <w:t>Adjuvante Chemotherapie bei Brustkrebs ab 70 Jahren verschlechtert Überleben nicht</w:t>
      </w:r>
    </w:p>
    <w:p>
      <w:r>
        <w:rPr>
          <w:i/>
          <w:color w:val="666666"/>
          <w:sz w:val="18"/>
        </w:rPr>
        <w:t>Sifer-Rivière L  ·  Rev Prat  ·  Sept. 2026  ·  PMID 42808620</w:t>
      </w:r>
    </w:p>
    <w:p>
      <w:r>
        <w:t>Fachkommentar zur ASTER-70s-Studie (Lancet 2025), die erstmals gezielt die Wirkung adjuvanter Chemotherapie bei Frauen ab 70 mit Brustkrebs untersucht hat – lange waren diese von Studien ausgeschlossen.</w:t>
      </w:r>
    </w:p>
    <w:p>
      <w:r>
        <w:rPr>
          <w:b/>
        </w:rPr>
        <w:t xml:space="preserve">Ergebnis: </w:t>
      </w:r>
      <w:r>
        <w:t>ASTER 70s zeigte: adjuvante Chemotherapie verbessert Gesamtüberleben nicht bei Frauen ab 70, exponiert aber zu erheblicher Toxizität und potenziellem Autonomieverlust. Dies ist ein entscheidendes Ergebnis: Es belegt, dass es möglich und notwendig ist, Evidenz für lange ausgeschlossene Populationen zu generieren und fordert Umdenken bei Gesundheitsgerechtigkeit in der Onkologie.</w:t>
      </w:r>
    </w:p>
    <w:p>
      <w:r>
        <w:rPr>
          <w:b/>
          <w:sz w:val="19"/>
        </w:rPr>
        <w:t xml:space="preserve">Übertragbarkeit: </w:t>
      </w:r>
      <w:r>
        <w:rPr>
          <w:sz w:val="19"/>
        </w:rPr>
        <w:t>Frankreich, französischsprachig; Evidenz vom UK-Standard, direkt relevant für europäische Praxis</w:t>
      </w:r>
    </w:p>
    <w:p>
      <w:r>
        <w:rPr>
          <w:color w:val="5A7D3A"/>
          <w:sz w:val="18"/>
        </w:rPr>
        <w:t>https://pubmed.ncbi.nlm.nih.gov/42808620/</w:t>
      </w:r>
    </w:p>
    <w:p>
      <w:pPr>
        <w:pStyle w:val="Heading2"/>
      </w:pPr>
      <w:r>
        <w:t>Frailty verstärkt postoperatives kognitives Delir nach Narkose</w:t>
      </w:r>
    </w:p>
    <w:p>
      <w:r>
        <w:rPr>
          <w:i/>
          <w:color w:val="666666"/>
          <w:sz w:val="18"/>
        </w:rPr>
        <w:t>Cho EH et al.  ·  Int J Med Sci  ·  03.09.2026  ·  PMID 42807735</w:t>
      </w:r>
    </w:p>
    <w:p>
      <w:r>
        <w:t>Experimentelle Studie an 18 Monate alten Ratten zum Einfluss von Frailty auf postoperatives kognitives Delir (POCD) nach allgemeiner Anästhesie.</w:t>
      </w:r>
    </w:p>
    <w:p>
      <w:r>
        <w:rPr>
          <w:b/>
        </w:rPr>
        <w:t xml:space="preserve">Ergebnis: </w:t>
      </w:r>
      <w:r>
        <w:t>20 Ratten randomisiert in Kontroll- und Frailty-Gruppe (Immobilisierung). Vor Narkose kein signifikanter Unterschied im Y-Maze-Test; zwei Tage nach Narkose signifikanter Unterschied (Kontrolle 65% ± 37% vs. Frailty 29% ± 28%, p = 0,01). Quadrizeps-Gewicht signifikant niedriger in Frailty-Gruppe (2,4 vs. 2,0 g, p = 0,0001). Frailty war mit POCD assoziiert; Frailty-Prävention könnte POCD-Risiko senken.</w:t>
      </w:r>
    </w:p>
    <w:p>
      <w:r>
        <w:rPr>
          <w:b/>
          <w:sz w:val="19"/>
        </w:rPr>
        <w:t xml:space="preserve">Übertragbarkeit: </w:t>
      </w:r>
      <w:r>
        <w:rPr>
          <w:sz w:val="19"/>
        </w:rPr>
        <w:t>Tiermodell mit Relevanz für älter werdende Perioperative; Befund zu kognitivem Risiko übertragbar</w:t>
      </w:r>
    </w:p>
    <w:p>
      <w:r>
        <w:rPr>
          <w:color w:val="5A7D3A"/>
          <w:sz w:val="18"/>
        </w:rPr>
        <w:t>https://pubmed.ncbi.nlm.nih.gov/42807735/</w:t>
      </w:r>
    </w:p>
    <w:p>
      <w:pPr>
        <w:pStyle w:val="Heading2"/>
      </w:pPr>
      <w:r>
        <w:t>Systemische Krisen in Versorgung zu Hause: Kipppunkte und progressive Instabilität</w:t>
      </w:r>
    </w:p>
    <w:p>
      <w:r>
        <w:rPr>
          <w:i/>
          <w:color w:val="666666"/>
          <w:sz w:val="18"/>
        </w:rPr>
        <w:t>Haselager DRE et al.  ·  Age Ageing  ·  04.09.2026  ·  PMID 42806138</w:t>
      </w:r>
    </w:p>
    <w:p>
      <w:r>
        <w:t>Qualitative Studie mit Interviews und Fokusgruppen zu Krisen bei zu Hause wohnenden älteren Menschen, die untersuchen, wie diese entstehen und welche systemischen Faktoren eine Rolle spielen.</w:t>
      </w:r>
    </w:p>
    <w:p>
      <w:r>
        <w:rPr>
          <w:b/>
        </w:rPr>
        <w:t xml:space="preserve">Ergebnis: </w:t>
      </w:r>
      <w:r>
        <w:t>Analyse von 45 Interviews mit älteren Menschen, Angehörigen und Fachleuten identifizierte zwei Hauptthemen: "Kipppunkte" (Momente, in denen Verbleiben zu Hause unhaltbar wird) und "progressive Instabilität in Versorgungssystemen". Krisen entstehen durch systemische Prozesse, nicht isolierte Ereignisse. Das Verständnis dieser Dynamiken ermöglicht es Fachleuten, frühe Instabilität zu erkennen und Prävention zu unterstützen.</w:t>
      </w:r>
    </w:p>
    <w:p>
      <w:r>
        <w:rPr>
          <w:b/>
          <w:sz w:val="19"/>
        </w:rPr>
        <w:t xml:space="preserve">Übertragbarkeit: </w:t>
      </w:r>
      <w:r>
        <w:rPr>
          <w:sz w:val="19"/>
        </w:rPr>
        <w:t>Niederlande, direkt auf deutsche ambulante Versorgungsrealität übertragbar</w:t>
      </w:r>
    </w:p>
    <w:p>
      <w:r>
        <w:rPr>
          <w:color w:val="5A7D3A"/>
          <w:sz w:val="18"/>
        </w:rPr>
        <w:t>https://pubmed.ncbi.nlm.nih.gov/42806138/</w:t>
      </w:r>
    </w:p>
    <w:p>
      <w:pPr>
        <w:pStyle w:val="Heading2"/>
      </w:pPr>
      <w:r>
        <w:t>Darmflora-Modulation verbessert kognitive Funktion im Alter</w:t>
      </w:r>
    </w:p>
    <w:p>
      <w:r>
        <w:rPr>
          <w:i/>
          <w:color w:val="666666"/>
          <w:sz w:val="18"/>
        </w:rPr>
        <w:t>Birns B et al.  ·  Age Ageing  ·  04.09.2026  ·  PMID 42806137</w:t>
      </w:r>
    </w:p>
    <w:p>
      <w:r>
        <w:t>Systematische Übersicht und Metaanalyse zu Prebiotika, Probiotika und Synbiotika und deren Wirkung auf Kognition bei älteren Erwachsenen ab 60 Jahren.</w:t>
      </w:r>
    </w:p>
    <w:p>
      <w:r>
        <w:rPr>
          <w:b/>
        </w:rPr>
        <w:t xml:space="preserve">Ergebnis: </w:t>
      </w:r>
      <w:r>
        <w:t>14 Studien (13 RCTs, 1 Interventionsstudie) eingeschlossen. Neun Studien berichteten statistisch signifikante Verbesserungen in mindestens einer kognitiven Domäne, besonders globale Kognition, Gedächtnis, Aufmerksamkeit und exekutive Funktionen. Metaanalyse zeigt signifikante Verbesserung globaler Kognition (MD = 1,28; 95% KI: 0,15–2,40; p &lt; 0,05). Interventionen sind meist bereits kommerziell verfügbar und risikoarm.</w:t>
      </w:r>
    </w:p>
    <w:p>
      <w:r>
        <w:rPr>
          <w:b/>
          <w:sz w:val="19"/>
        </w:rPr>
        <w:t xml:space="preserve">Übertragbarkeit: </w:t>
      </w:r>
      <w:r>
        <w:rPr>
          <w:sz w:val="19"/>
        </w:rPr>
        <w:t>Großbritannien, über diverse Länder publiziert; kognitive Tests standardisiert</w:t>
      </w:r>
    </w:p>
    <w:p>
      <w:r>
        <w:rPr>
          <w:color w:val="5A7D3A"/>
          <w:sz w:val="18"/>
        </w:rPr>
        <w:t>https://pubmed.ncbi.nlm.nih.gov/42806137/</w:t>
      </w:r>
    </w:p>
    <w:p>
      <w:pPr>
        <w:pStyle w:val="Heading2"/>
      </w:pPr>
      <w:r>
        <w:t>Vitamin-D-Supplementation reduziert nicht Frakturrisiko bei älteren Erwachsenen</w:t>
      </w:r>
    </w:p>
    <w:p>
      <w:r>
        <w:rPr>
          <w:i/>
          <w:color w:val="666666"/>
          <w:sz w:val="18"/>
        </w:rPr>
        <w:t>Rikkonen T et al.  ·  Bone  ·  07.09.2026  ·  PMID 42704968</w:t>
      </w:r>
    </w:p>
    <w:p>
      <w:r>
        <w:t>Finnische randomisierte kontrollierte Studie mit 2.495 Personen ab 60 Jahren (Männer) bzw. 65 Jahren (Frauen) über 5 Jahre zur Wirkung von Vitamin D₃ auf Frakturrisiko.</w:t>
      </w:r>
    </w:p>
    <w:p>
      <w:r>
        <w:rPr>
          <w:b/>
        </w:rPr>
        <w:t xml:space="preserve">Ergebnis: </w:t>
      </w:r>
      <w:r>
        <w:t>Während mittlerer 4,1-Jahr Supplementation: 49 Frakturen unter Placebo, 73 unter 1600 IE/Tag (HR = 1,52; 95% KI: 1,06–2,18), 52 unter 3200 IE/Tag (HR = 1,07; 95% KI: 0,72–1,58). In 7,3-Jahr Nachbeobachtung: 104 Placebo, 139 unter 1600 IE/Tag (HR = 1,40; 95% KI: 1,08–1,80), 111 unter 3200 IE/Tag (HR = 1,08; 95% KI: 0,83–1,41). Baseline 25(OH)-Vitamin D 74,8 ± 18,2 nmol/L, nach 12 Monaten 120,4 ± 21,8 nmol/L (3200 IE/Tag). Vitamin-D-Supplementation reduzierte Frakturen nicht bei largely vitamin-D-suffizienter Population.</w:t>
      </w:r>
    </w:p>
    <w:p>
      <w:r>
        <w:rPr>
          <w:b/>
          <w:sz w:val="19"/>
        </w:rPr>
        <w:t xml:space="preserve">Übertragbarkeit: </w:t>
      </w:r>
      <w:r>
        <w:rPr>
          <w:sz w:val="19"/>
        </w:rPr>
        <w:t>Finnland, skandinavischer Kontext; vergleichbare Nordische Sozialversicherung</w:t>
      </w:r>
    </w:p>
    <w:p>
      <w:r>
        <w:rPr>
          <w:color w:val="5A7D3A"/>
          <w:sz w:val="18"/>
        </w:rPr>
        <w:t>https://pubmed.ncbi.nlm.nih.gov/42704968/</w:t>
      </w:r>
    </w:p>
    <w:p>
      <w:pPr>
        <w:pStyle w:val="Heading2"/>
      </w:pPr>
      <w:r>
        <w:t>Frailty erhöht Risiko für diagnostische Diskordanz in der Notaufnahme</w:t>
      </w:r>
    </w:p>
    <w:p>
      <w:r>
        <w:rPr>
          <w:i/>
          <w:color w:val="666666"/>
          <w:sz w:val="18"/>
        </w:rPr>
        <w:t>van Knippenberg YMW et al.  ·  Int J Infect Dis  ·  23.07.2026  ·  PMID 42492833</w:t>
      </w:r>
    </w:p>
    <w:p>
      <w:r>
        <w:t>Retrospektive Analyse von Notaufnahmepatienten mit Verdacht auf Infektion, um die unabhängige Assoziation zwischen Frailty und Abweichungen zwischen Verdachtsdiagnose und adjudizierter Entlassungsdiagnose zu untersuchen.</w:t>
      </w:r>
    </w:p>
    <w:p>
      <w:r>
        <w:rPr>
          <w:b/>
        </w:rPr>
        <w:t xml:space="preserve">Ergebnis: </w:t>
      </w:r>
      <w:r>
        <w:t>Frailty war unabhängig mit diagnostischer Diskordanz assoziiert (aOR 1,622; 95% KI: 1,094–2,405; p = 0,016). Höherer altersbereinigter Charlson-Komorbiditätsindex ebenfalls signifikant (aOR 1,105; 95% KI: 1,013–1,204; p = 0,024). Erkennung von Frailty kann Patienten mit erhöhtem Diskordanzrisiko identifizieren und sorgfältige diagnostische Neubewertung unterstützen.</w:t>
      </w:r>
    </w:p>
    <w:p>
      <w:r>
        <w:rPr>
          <w:b/>
          <w:sz w:val="19"/>
        </w:rPr>
        <w:t xml:space="preserve">Übertragbarkeit: </w:t>
      </w:r>
      <w:r>
        <w:rPr>
          <w:sz w:val="19"/>
        </w:rPr>
        <w:t>Niederlande, Radboud UMC, direkt auf deutsches Versorgungssystem übertragbar</w:t>
      </w:r>
    </w:p>
    <w:p>
      <w:r>
        <w:rPr>
          <w:color w:val="5A7D3A"/>
          <w:sz w:val="18"/>
        </w:rPr>
        <w:t>https://pubmed.ncbi.nlm.nih.gov/42492833/</w:t>
      </w:r>
    </w:p>
    <w:p>
      <w:pPr>
        <w:pStyle w:val="Heading1"/>
      </w:pPr>
      <w:r>
        <w:t>Aufgenommen am 29.09.2026</w:t>
      </w:r>
    </w:p>
    <w:p>
      <w:pPr>
        <w:pStyle w:val="Heading2"/>
      </w:pPr>
      <w:r>
        <w:t>Funktionsfähigkeit und Frailty-Screening bei älteren Patienten mit Lungenkrebs: Prädiktion von Pflegeabhängigkeit</w:t>
      </w:r>
    </w:p>
    <w:p>
      <w:r>
        <w:rPr>
          <w:i/>
          <w:color w:val="666666"/>
          <w:sz w:val="18"/>
        </w:rPr>
        <w:t>Bulut H et al.  ·  Cancer Causes Control  ·  28.09.2026  ·  PMID 42802193</w:t>
      </w:r>
    </w:p>
    <w:p>
      <w:r>
        <w:t>Querschnittsstudie an 410 älteren Patienten mit Lungenkrebs (Durchschnittsalter 70,8 Jahre) zur Vorhersage von Pflegeabhängigkeit durch Alltagsfunktionsfähigkeit (ADL) und Frailty.</w:t>
      </w:r>
    </w:p>
    <w:p>
      <w:r>
        <w:rPr>
          <w:b/>
        </w:rPr>
        <w:t xml:space="preserve">Ergebnis: </w:t>
      </w:r>
      <w:r>
        <w:t>Funktionsfähigkeit und Frailty erklärten 81,5% der Varianz in Pflegeabhängigkeit (adjustiertes R² = 0,815; p &lt; 0,001). Höhere ADL-Werte waren mit höherer Pflegeabhängigkeit assoziiert (B = 2,344, β = 0,309, p &lt; 0,001), höhere Frailty-Werte mit niedrigerer Pflegeabhängigkeit (B = −2,391, β = −0,652, p &lt; 0,001). Frailty-Screening und funktionales Assessment können hochrisiko-Patienten früh identifizieren.</w:t>
      </w:r>
    </w:p>
    <w:p>
      <w:r>
        <w:rPr>
          <w:b/>
          <w:sz w:val="19"/>
        </w:rPr>
        <w:t xml:space="preserve">Übertragbarkeit: </w:t>
      </w:r>
      <w:r>
        <w:rPr>
          <w:sz w:val="19"/>
        </w:rPr>
        <w:t>Türkei, ähnliche geriatrische Versorgungsherausforderungen wie Deutschland</w:t>
      </w:r>
    </w:p>
    <w:p>
      <w:r>
        <w:rPr>
          <w:color w:val="5A7D3A"/>
          <w:sz w:val="18"/>
        </w:rPr>
        <w:t>https://pubmed.ncbi.nlm.nih.gov/42802193/</w:t>
      </w:r>
    </w:p>
    <w:p>
      <w:pPr>
        <w:pStyle w:val="Heading2"/>
      </w:pPr>
      <w:r>
        <w:t>Urinkontinenz bei älteren Frauen: Unterbehandlung sinkt bei Symptom-Fokus, nicht mit steigendem Alter</w:t>
      </w:r>
    </w:p>
    <w:p>
      <w:r>
        <w:rPr>
          <w:i/>
          <w:color w:val="666666"/>
          <w:sz w:val="18"/>
        </w:rPr>
        <w:t>Uğur DN et al.  ·  Medicina (Kaunas)  ·  16.09.2026  ·  PMID 42796384</w:t>
      </w:r>
    </w:p>
    <w:p>
      <w:r>
        <w:t>Beobachtungsstudie an 480 Frauen (≥ 65 Jahre) in drei Altersgruppen zur Behandlungslücke bei Stress- und gemischter Harninkontinenz und zur Rolle von Frailty und Symptom-Schweregrad.</w:t>
      </w:r>
    </w:p>
    <w:p>
      <w:r>
        <w:rPr>
          <w:b/>
        </w:rPr>
        <w:t xml:space="preserve">Ergebnis: </w:t>
      </w:r>
      <w:r>
        <w:t>Behandlungslücken-Prävalenz stieg von 33,8% (65–74 Jahre) auf 44,4% (75–84 Jahre) und 55,0% (≥85 Jahre). Nach Adjustierung war Alter nicht unabhängig assoziiert. Höhere ICIQ-UI-SF-Werte (adjustiertes Odds Ratio 1,10 pro Punkt; 95%CI 1,02–1,19) und Stress-Mischinkontinenz (aOR 1,53; 95%CI 1,03–2,25) blieben assoziiert. Symptom-Schweregrad erklärt Unterbehandlung besser als Chronologie.</w:t>
      </w:r>
    </w:p>
    <w:p>
      <w:r>
        <w:rPr>
          <w:b/>
          <w:sz w:val="19"/>
        </w:rPr>
        <w:t xml:space="preserve">Übertragbarkeit: </w:t>
      </w:r>
      <w:r>
        <w:rPr>
          <w:sz w:val="19"/>
        </w:rPr>
        <w:t>Türkei, gyn. Versorgungsstrukturen vergleichbar mit Mitteleuropa</w:t>
      </w:r>
    </w:p>
    <w:p>
      <w:r>
        <w:rPr>
          <w:color w:val="5A7D3A"/>
          <w:sz w:val="18"/>
        </w:rPr>
        <w:t>https://pubmed.ncbi.nlm.nih.gov/42796384/</w:t>
      </w:r>
    </w:p>
    <w:p>
      <w:pPr>
        <w:pStyle w:val="Heading2"/>
      </w:pPr>
      <w:r>
        <w:t>Skelettmuskelreaktion auf kombiniertes Training bei älteren Erwachsenen: RNA-Sequenzierung und Polyphenole</w:t>
      </w:r>
    </w:p>
    <w:p>
      <w:r>
        <w:rPr>
          <w:i/>
          <w:color w:val="666666"/>
          <w:sz w:val="18"/>
        </w:rPr>
        <w:t>Guadalupe-Grau A et al.  ·  J Cachexia Sarcopenia Muscle  ·  Okt. 2026  ·  PMID 42788414</w:t>
      </w:r>
    </w:p>
    <w:p>
      <w:r>
        <w:t>Randomisierte Doppelblindstudie mit 38 älteren Erwachsenen (55–70 Jahre) zur Wirkung von 12 Wochen kombiniertem Widerstands- und High-Intensity-Intervalltraining auf die Skelettmuskel-Transkriptomik mit oder ohne Polyphenol-Supplementation.</w:t>
      </w:r>
    </w:p>
    <w:p>
      <w:r>
        <w:rPr>
          <w:b/>
        </w:rPr>
        <w:t xml:space="preserve">Ergebnis: </w:t>
      </w:r>
      <w:r>
        <w:t>RT + HIIT induzierte überwiegend gering-ausgeprägte transkriptomische Veränderungen. Sieben von 60 FDR-signifikanten Transkripten überschritten die Effektgrößen-Schwelle (|log2FC| &gt; 1), einschließlich Hochregulation von CLLU1 (log2FC = 3,10; FDR = 0,0155) und PRND (log2FC = 2,60; FDR = 0,02). Polyphenol-Supplementation beeinlusste die transkriptomische Reaktion nicht bedeutsam. Robuste Pathway-Adaptationen waren nicht erkennbar.</w:t>
      </w:r>
    </w:p>
    <w:p>
      <w:r>
        <w:rPr>
          <w:b/>
          <w:sz w:val="19"/>
        </w:rPr>
        <w:t xml:space="preserve">Übertragbarkeit: </w:t>
      </w:r>
      <w:r>
        <w:rPr>
          <w:sz w:val="19"/>
        </w:rPr>
        <w:t>Europäische Kohorten, methodisch vergleichbar mit deutschen Fitness-Studien</w:t>
      </w:r>
    </w:p>
    <w:p>
      <w:r>
        <w:rPr>
          <w:color w:val="5A7D3A"/>
          <w:sz w:val="18"/>
        </w:rPr>
        <w:t>https://pubmed.ncbi.nlm.nih.gov/42788414/</w:t>
      </w:r>
    </w:p>
    <w:p>
      <w:pPr>
        <w:pStyle w:val="Heading2"/>
      </w:pPr>
      <w:r>
        <w:t>Altersgerechte smartphone-gestützte kognitive Fernbeurteilung: generationsspezifische Unterschiede in Adhärenz und Zuverlässigkeit</w:t>
      </w:r>
    </w:p>
    <w:p>
      <w:r>
        <w:rPr>
          <w:i/>
          <w:color w:val="666666"/>
          <w:sz w:val="18"/>
        </w:rPr>
        <w:t>Katteri S et al.  ·  Alzheimers Dement  ·  Sept. 2026  ·  PMID 42781715</w:t>
      </w:r>
    </w:p>
    <w:p>
      <w:r>
        <w:t>Vergleichende Studie bei 444 älteren Erwachsenen und 113 jüngeren/mittelalten Probanden zur Machbarkeit smartphone-basierter kognitiver Tests bis zu viermal täglich über 7 Tage und zum Vergleich mit standardisierter Klinik-Batterie.</w:t>
      </w:r>
    </w:p>
    <w:p>
      <w:r>
        <w:rPr>
          <w:b/>
        </w:rPr>
        <w:t xml:space="preserve">Ergebnis: </w:t>
      </w:r>
      <w:r>
        <w:t>Ältere Erwachsene zeigten höhere Adhärenz als jüngere (78 % vs. 59 %). Jüngere erreichten höhere Zuverlässigkeit mit weniger Sitzungen und zeigten viel kleinere Lerneffekte. Smartphone-zu-Klinik-Korrelationen waren in beiden Altersgruppen stark. Generationelle Unterschiede beeinflussen Design und Umsetzung smartphone-gestützter Studien wesentlich.</w:t>
      </w:r>
    </w:p>
    <w:p>
      <w:r>
        <w:rPr>
          <w:b/>
          <w:sz w:val="19"/>
        </w:rPr>
        <w:t xml:space="preserve">Übertragbarkeit: </w:t>
      </w:r>
      <w:r>
        <w:rPr>
          <w:sz w:val="19"/>
        </w:rPr>
        <w:t>USA, aber Methodologie zur Remote-Kognition altersunabhängig übertragbar</w:t>
      </w:r>
    </w:p>
    <w:p>
      <w:r>
        <w:rPr>
          <w:color w:val="5A7D3A"/>
          <w:sz w:val="18"/>
        </w:rPr>
        <w:t>https://pubmed.ncbi.nlm.nih.gov/42781715/</w:t>
      </w:r>
    </w:p>
    <w:p>
      <w:pPr>
        <w:pStyle w:val="Heading2"/>
      </w:pPr>
      <w:r>
        <w:t>Proteinbasierte Inflammaging-Signaturen zur Mortalitätsvorhersage: C-Index 0,758 für alle Ursachen</w:t>
      </w:r>
    </w:p>
    <w:p>
      <w:r>
        <w:rPr>
          <w:i/>
          <w:color w:val="666666"/>
          <w:sz w:val="18"/>
        </w:rPr>
        <w:t>Jiang Z et al.  ·  Exp Gerontol  ·  15.10.2026  ·  PMID 42731645</w:t>
      </w:r>
    </w:p>
    <w:p>
      <w:r>
        <w:t>Große UK-Biobank-Studie (n = 40.471) zur Entwicklung eines proteingestützten Inflammaging-Scores aus 1.112 Proteinen, assoziiert mit Mortalität und Multimorbidität.</w:t>
      </w:r>
    </w:p>
    <w:p>
      <w:r>
        <w:rPr>
          <w:b/>
        </w:rPr>
        <w:t xml:space="preserve">Ergebnis: </w:t>
      </w:r>
      <w:r>
        <w:t>Proteinbasierter Inflammaging-Score war positiv mit allen-Ursachen-Sterblichkeit assoziiert (HR = 1,88; 95%CI: 1,79–1,98). Vereinfachte Version (93 Proteine) erreichte gleichwertig HR = 1,88 (95%CI: 1,79–1,97). C-Index für Sterblichkeit mit klinischen Indizes plus vereinfachtem Score: 0,758 (95%CI: 0,752–0,765). ProteinBasierter Score outperformte konventionelle Inflammations- und Alternsbiomarker signifikant.</w:t>
      </w:r>
    </w:p>
    <w:p>
      <w:r>
        <w:rPr>
          <w:b/>
          <w:sz w:val="19"/>
        </w:rPr>
        <w:t xml:space="preserve">Übertragbarkeit: </w:t>
      </w:r>
      <w:r>
        <w:rPr>
          <w:sz w:val="19"/>
        </w:rPr>
        <w:t>UK Biobank, aber Proteinmarker-Verband mit Mortalität biologisch universell</w:t>
      </w:r>
    </w:p>
    <w:p>
      <w:r>
        <w:rPr>
          <w:color w:val="5A7D3A"/>
          <w:sz w:val="18"/>
        </w:rPr>
        <w:t>https://pubmed.ncbi.nlm.nih.gov/42731645/</w:t>
      </w:r>
    </w:p>
    <w:p>
      <w:pPr>
        <w:pStyle w:val="Heading2"/>
      </w:pPr>
      <w:r>
        <w:t>Kognitive Effizienz und Lebenszufriedenheit bei älteren Sarden: digitales Screening und Freizeit-Aktivitäten</w:t>
      </w:r>
    </w:p>
    <w:p>
      <w:r>
        <w:rPr>
          <w:i/>
          <w:color w:val="666666"/>
          <w:sz w:val="18"/>
        </w:rPr>
        <w:t>Fastame MC et al.  ·  Exp Gerontol  ·  15.10.2026  ·  PMID 42685868</w:t>
      </w:r>
    </w:p>
    <w:p>
      <w:r>
        <w:t>Querschnittsstudie an 127 älteren Erwachsenen (Durchschnittsalter 73,1 Jahre) auf Sardinien zu Korrelaten der Lebenszufriedenheit mittels digital-gestützter kognitiver Screening (DIGICOG-MS).</w:t>
      </w:r>
    </w:p>
    <w:p>
      <w:r>
        <w:rPr>
          <w:b/>
        </w:rPr>
        <w:t xml:space="preserve">Ergebnis: </w:t>
      </w:r>
      <w:r>
        <w:t>Nach Kontrolle für Alter, Bildung und globale kognitive Effizienz waren wahrgenommene Gesundheit, Freizeitzeit, verbale semantische Flüssigkeit, auditives verbales Lernen und unmittelbare Erinnerung signifikant mit Lebenszufriedenheit assoziiert (adjustiertes R² = 0,198, F(8,117) = 4,860, p &lt; 0,001). DIGICOG-MS-Benutzerfreundlichkeit war höher bei niedrigerer Bildung; Tool erwies sich als intuitiv und abbaut Bildungsgrenzen ab.</w:t>
      </w:r>
    </w:p>
    <w:p>
      <w:r>
        <w:rPr>
          <w:b/>
          <w:sz w:val="19"/>
        </w:rPr>
        <w:t xml:space="preserve">Übertragbarkeit: </w:t>
      </w:r>
      <w:r>
        <w:rPr>
          <w:sz w:val="19"/>
        </w:rPr>
        <w:t>Italien, Mittelmeerraum – ähnliche Bevölkerungsstruktur wie südliches Europa</w:t>
      </w:r>
    </w:p>
    <w:p>
      <w:r>
        <w:rPr>
          <w:color w:val="5A7D3A"/>
          <w:sz w:val="18"/>
        </w:rPr>
        <w:t>https://pubmed.ncbi.nlm.nih.gov/42685868/</w:t>
      </w:r>
    </w:p>
    <w:p>
      <w:pPr>
        <w:pStyle w:val="Heading1"/>
      </w:pPr>
      <w:r>
        <w:t>Aufgenommen am 28.09.2026</w:t>
      </w:r>
    </w:p>
    <w:p>
      <w:pPr>
        <w:pStyle w:val="Heading2"/>
      </w:pPr>
      <w:r>
        <w:t>Alzheimer-Therapien im geriatrischen Alter: Implementierungsherausforderungen und Chancen</w:t>
      </w:r>
    </w:p>
    <w:p>
      <w:r>
        <w:rPr>
          <w:i/>
          <w:color w:val="666666"/>
          <w:sz w:val="18"/>
        </w:rPr>
        <w:t>Zrineh A et al.  ·  Clin Interv Aging  ·  22.09.2026  ·  PMID 42801246</w:t>
      </w:r>
    </w:p>
    <w:p>
      <w:r>
        <w:t>Narratives Review der Alzheimer-Pathophysiologie, diagnostischer Biomarker und Therapien (Cholinesterase-Inhibitoren, Lecanemab, Donanemab) mit Fokus auf geriatrische Versorgung und Integration in Kliniken.</w:t>
      </w:r>
    </w:p>
    <w:p>
      <w:r>
        <w:rPr>
          <w:b/>
        </w:rPr>
        <w:t xml:space="preserve">Ergebnis: </w:t>
      </w:r>
      <w:r>
        <w:t>Neue monoklonale Anti-Amyloid-Antikörper zeigen klinisch signifikante, aber moderate Verzögerung des Rückgangs. Risiken: Amyloid-related imaging abnormalities, hohe Kosten, ungelöste Fragen zur langfristigen Aussagekraft. Integrierung in geriatrische Praxis erfordert Biomarker-gesteuertes Screening, Sicherheitsüberwachung, Polypharmazie-Management.</w:t>
      </w:r>
    </w:p>
    <w:p>
      <w:r>
        <w:rPr>
          <w:b/>
          <w:sz w:val="19"/>
        </w:rPr>
        <w:t xml:space="preserve">Übertragbarkeit: </w:t>
      </w:r>
      <w:r>
        <w:rPr>
          <w:sz w:val="19"/>
        </w:rPr>
        <w:t>USA und international; praktische Empfehlungen für Versorgung gelten über Länder hinweg, aber Zugänglichkeit und Finanzierung unterscheiden sich</w:t>
      </w:r>
    </w:p>
    <w:p>
      <w:r>
        <w:rPr>
          <w:color w:val="5A7D3A"/>
          <w:sz w:val="18"/>
        </w:rPr>
        <w:t>https://pubmed.ncbi.nlm.nih.gov/42801246/</w:t>
      </w:r>
    </w:p>
    <w:p>
      <w:pPr>
        <w:pStyle w:val="Heading2"/>
      </w:pPr>
      <w:r>
        <w:t>Mittelmeerdiät bei älteren Menschen mit HIV: Körperzusammensetzung und klinisches Profil</w:t>
      </w:r>
    </w:p>
    <w:p>
      <w:r>
        <w:rPr>
          <w:i/>
          <w:color w:val="666666"/>
          <w:sz w:val="18"/>
        </w:rPr>
        <w:t>Mazzitelli M et al.  ·  Viruses  ·  25.08.2026  ·  PMID 42797764</w:t>
      </w:r>
    </w:p>
    <w:p>
      <w:r>
        <w:t>Querschnittsstudie an 130 italienischen erwachsenen Menschen mit HIV im Median 57 Jahren: Mediterrane Diät-Adhärenz anhand MedDiet Score gemessen, Körperzusammensetzung mittels DXA analysiert.</w:t>
      </w:r>
    </w:p>
    <w:p>
      <w:r>
        <w:rPr>
          <w:b/>
        </w:rPr>
        <w:t xml:space="preserve">Ergebnis: </w:t>
      </w:r>
      <w:r>
        <w:t>80,8% zeigten hohe Adhärenz. Hohe Adhärenz assoziiert mit niedrigerem BMI (β −5,3, 95%-KI −7,3 bis −3,4, p&lt;0,001), niedrigerer totaler und Rumpf-Fettmasse und höherer Knochenmineraldichte der LWS. Günstigeres klinisches Profil mit höherer CD4-Zahl.</w:t>
      </w:r>
    </w:p>
    <w:p>
      <w:r>
        <w:rPr>
          <w:b/>
          <w:sz w:val="19"/>
        </w:rPr>
        <w:t xml:space="preserve">Übertragbarkeit: </w:t>
      </w:r>
      <w:r>
        <w:rPr>
          <w:sz w:val="19"/>
        </w:rPr>
        <w:t>Italien, spezialisierte HIV-Kliniken; Übertragbarkeit auf deutsche Versorgung begrenzt durch HIV-Fokus</w:t>
      </w:r>
    </w:p>
    <w:p>
      <w:r>
        <w:rPr>
          <w:color w:val="5A7D3A"/>
          <w:sz w:val="18"/>
        </w:rPr>
        <w:t>https://pubmed.ncbi.nlm.nih.gov/42797764/</w:t>
      </w:r>
    </w:p>
    <w:p>
      <w:pPr>
        <w:pStyle w:val="Heading2"/>
      </w:pPr>
      <w:r>
        <w:t>Ernährung im höchsten Alter: Milchprodukte und Hühnchen assoziiert mit längerer Überlebensdauer</w:t>
      </w:r>
    </w:p>
    <w:p>
      <w:r>
        <w:rPr>
          <w:i/>
          <w:color w:val="666666"/>
          <w:sz w:val="18"/>
        </w:rPr>
        <w:t>Errigo A et al.  ·  Nutrients  ·  20.09.2026  ·  PMID 42797055</w:t>
      </w:r>
    </w:p>
    <w:p>
      <w:r>
        <w:t>Prospektive Kohorte von 200 sardischen Bewohnern über 90 Jahren: Ernährungsmuster wurden erhoben, Überleben über bis zu 7 Jahre verfolgt.</w:t>
      </w:r>
    </w:p>
    <w:p>
      <w:r>
        <w:rPr>
          <w:b/>
        </w:rPr>
        <w:t xml:space="preserve">Ergebnis: </w:t>
      </w:r>
      <w:r>
        <w:t>Höherer Konsum von Milch, Käse und Hühnchen war mit niedrigerer Sterblichkeit assoziiert (HR 0,839 pro SD-Anstieg des Dairy-Traditional-Fat-Musters, 95%-KI 0,727–0,969, p=0,017); Wein-Konsum positiv mit Mortalität assoziiert. Assoziationen bei Einzellebensmitteln blieben nach Korrektion für multiples Testen signifikant.</w:t>
      </w:r>
    </w:p>
    <w:p>
      <w:r>
        <w:rPr>
          <w:b/>
          <w:sz w:val="19"/>
        </w:rPr>
        <w:t xml:space="preserve">Übertragbarkeit: </w:t>
      </w:r>
      <w:r>
        <w:rPr>
          <w:sz w:val="19"/>
        </w:rPr>
        <w:t>Italien, Blue Zone; begrenzte direkte Übertragbarkeit auf Deutsche, aber Ernährungsmuster in extremem Alter untersucht</w:t>
      </w:r>
    </w:p>
    <w:p>
      <w:r>
        <w:rPr>
          <w:color w:val="5A7D3A"/>
          <w:sz w:val="18"/>
        </w:rPr>
        <w:t>https://pubmed.ncbi.nlm.nih.gov/42797055/</w:t>
      </w:r>
    </w:p>
    <w:p>
      <w:pPr>
        <w:pStyle w:val="Heading2"/>
      </w:pPr>
      <w:r>
        <w:t>Ernährungsqualität und Blutmarker des Alterns: Proteomarker-Studie an älteren Schweden</w:t>
      </w:r>
    </w:p>
    <w:p>
      <w:r>
        <w:rPr>
          <w:i/>
          <w:color w:val="666666"/>
          <w:sz w:val="18"/>
        </w:rPr>
        <w:t>DaCosta RA et al.  ·  BMC Med  ·  15.09.2026  ·  PMID 42791570</w:t>
      </w:r>
    </w:p>
    <w:p>
      <w:r>
        <w:t>Bevölkerungsbasierte Querschnittsanalyse von 1.769 schwedischen Personen ≥60 Jahren: Ernährungsqualität mittels AMED, AHEI und rEDII gemessen, 54 Blutbiomarker analysiert.</w:t>
      </w:r>
    </w:p>
    <w:p>
      <w:r>
        <w:rPr>
          <w:b/>
        </w:rPr>
        <w:t xml:space="preserve">Ergebnis: </w:t>
      </w:r>
      <w:r>
        <w:t>Höhere AMED-Adhärenz assoziiert mit höheren Folsäure-Spiegeln (β 0,066, 95%-KI 0,033–0,099) und niedrigerem GFAP (β −0,018, 95%-KI −0,030 bis −0,006, p=0,003). Höhere rEDII-Adhärenz mit niedrigerem Leptin, Insulin, GDF15, alkalischer Phosphatase und TNF-Rezeptor. Biomarker in metabolischen und inflammatorischen Domänen betroffen.</w:t>
      </w:r>
    </w:p>
    <w:p>
      <w:r>
        <w:rPr>
          <w:b/>
          <w:sz w:val="19"/>
        </w:rPr>
        <w:t xml:space="preserve">Übertragbarkeit: </w:t>
      </w:r>
      <w:r>
        <w:rPr>
          <w:sz w:val="19"/>
        </w:rPr>
        <w:t>Skandinavien, nationale Längsschnittstudie; vergleichbare Gesundheitssysteme, gute Datenqualität</w:t>
      </w:r>
    </w:p>
    <w:p>
      <w:r>
        <w:rPr>
          <w:color w:val="5A7D3A"/>
          <w:sz w:val="18"/>
        </w:rPr>
        <w:t>https://pubmed.ncbi.nlm.nih.gov/42791570/</w:t>
      </w:r>
    </w:p>
    <w:p>
      <w:pPr>
        <w:pStyle w:val="Heading2"/>
      </w:pPr>
      <w:r>
        <w:t>Wearable-Autonomie-Komponente und kardiometabolische Gesundheit im Alter</w:t>
      </w:r>
    </w:p>
    <w:p>
      <w:r>
        <w:rPr>
          <w:i/>
          <w:color w:val="666666"/>
          <w:sz w:val="18"/>
        </w:rPr>
        <w:t>Calvani R et al.  ·  Med Sci (Basel)  ·  02.09.2026  ·  PMID 42783415</w:t>
      </w:r>
    </w:p>
    <w:p>
      <w:r>
        <w:t>Querschnitt von 97 italienischen Erwachsenen (Durchschnittsalter 51,3 Jahre): 24-h Wearable-Geräte-Messung, Hauptkomponentenanalyse der ECG- und Bewegungsvariablen, Assoziation mit 8-Domänen-Gesundheits-Screening.</w:t>
      </w:r>
    </w:p>
    <w:p>
      <w:r>
        <w:rPr>
          <w:b/>
        </w:rPr>
        <w:t xml:space="preserve">Ergebnis: </w:t>
      </w:r>
      <w:r>
        <w:t>Prinzipalkomponente PC1 (gekennzeichnet durch hohes SDNN, hohes RMSSD, niedrige nächtliche Herzfrequenz) unabhängig assoziiert mit Gesamt-Gesundheit (B=+0,402, 95%-KI [+0,103, +0,700], p=0,009). Nach Benjamini-Hochberg-Korrektur in Einzeldomänen nur Glukose-Gesundheit signifikant (95%-KI [1,32, 4,62], p=0,039).</w:t>
      </w:r>
    </w:p>
    <w:p>
      <w:r>
        <w:rPr>
          <w:b/>
          <w:sz w:val="19"/>
        </w:rPr>
        <w:t xml:space="preserve">Übertragbarkeit: </w:t>
      </w:r>
      <w:r>
        <w:rPr>
          <w:sz w:val="19"/>
        </w:rPr>
        <w:t>Italien, Community-Setting; Wearable-Technologie relevant für deutsche Präventivmedizin, aber Stichprobe klein</w:t>
      </w:r>
    </w:p>
    <w:p>
      <w:r>
        <w:rPr>
          <w:color w:val="5A7D3A"/>
          <w:sz w:val="18"/>
        </w:rPr>
        <w:t>https://pubmed.ncbi.nlm.nih.gov/42783415/</w:t>
      </w:r>
    </w:p>
    <w:p>
      <w:pPr>
        <w:pStyle w:val="Heading2"/>
      </w:pPr>
      <w:r>
        <w:t>Gewichteter Alterungspace als Prädiktor: sterblichkeitsinformiertes Biomarker-Modell</w:t>
      </w:r>
    </w:p>
    <w:p>
      <w:r>
        <w:rPr>
          <w:i/>
          <w:color w:val="666666"/>
          <w:sz w:val="18"/>
        </w:rPr>
        <w:t>Sluiskes MH et al.  ·  J Gerontol A Biol Sci Med Sci  ·  05.09.2026  ·  PMID 42625435</w:t>
      </w:r>
    </w:p>
    <w:p>
      <w:r>
        <w:t>Längsschnittstudie schwedischer älterer Paare (SATSA): Gewichteter Pace of Aging (wPoA) aus 10 Biomarkern berechnet, anhand Sterblichkeit gewichtet, gegen etablierte Alterungs-Prädiktoren validiert.</w:t>
      </w:r>
    </w:p>
    <w:p>
      <w:r>
        <w:rPr>
          <w:b/>
        </w:rPr>
        <w:t xml:space="preserve">Ergebnis: </w:t>
      </w:r>
      <w:r>
        <w:t>wPoA korreliert mit biologischen Alterungs-Prädiktoren und stärker mit Functional Aging Index (FAA) und Frailty Index (FI). Moderate Korrelationen über alle Prädiktoren deuten darauf hin, dass jedes Maß unterschiedliche Aspekte des biologischen Alterns erfasst; wPoA eignet sich für Kohorten mit reichen Längsdaten.</w:t>
      </w:r>
    </w:p>
    <w:p>
      <w:r>
        <w:rPr>
          <w:b/>
          <w:sz w:val="19"/>
        </w:rPr>
        <w:t xml:space="preserve">Übertragbarkeit: </w:t>
      </w:r>
      <w:r>
        <w:rPr>
          <w:sz w:val="19"/>
        </w:rPr>
        <w:t>Schweden, nationale Adoptions-/Zwillingsstudie; europäisches Gesundheitssystem, methodisch robust</w:t>
      </w:r>
    </w:p>
    <w:p>
      <w:r>
        <w:rPr>
          <w:color w:val="5A7D3A"/>
          <w:sz w:val="18"/>
        </w:rPr>
        <w:t>https://pubmed.ncbi.nlm.nih.gov/42625435/</w:t>
      </w:r>
    </w:p>
    <w:p>
      <w:pPr>
        <w:pStyle w:val="Heading1"/>
      </w:pPr>
      <w:r>
        <w:t>Aufgenommen am 27.09.2026</w:t>
      </w:r>
    </w:p>
    <w:p>
      <w:pPr>
        <w:pStyle w:val="Heading2"/>
      </w:pPr>
      <w:r>
        <w:t>Vorhersagemodell für postoperative Frailty bei Brustkrebspatienten</w:t>
      </w:r>
    </w:p>
    <w:p>
      <w:r>
        <w:rPr>
          <w:i/>
          <w:color w:val="666666"/>
          <w:sz w:val="18"/>
        </w:rPr>
        <w:t>Zhou Y et al.  ·  PeerJ  ·  22.09.2026  ·  PMID 42799450</w:t>
      </w:r>
    </w:p>
    <w:p>
      <w:r>
        <w:t>Querschnittsstudie mit 286 Brustkrebspatienten nach Operation; Frailty erfasst mit Tilburg Frailty Indicator (TFI), Schlafqualität mit Pittsburgh Sleep Quality Index (PSQI); logistische Regressionsmodellierung mit ROC-Kurven-Validierung.</w:t>
      </w:r>
    </w:p>
    <w:p>
      <w:r>
        <w:rPr>
          <w:b/>
        </w:rPr>
        <w:t xml:space="preserve">Ergebnis: </w:t>
      </w:r>
      <w:r>
        <w:t>Postoperative Frailty-Prävalenz: 29,37 %. Signifikante Einflussfaktoren waren Diabetes-Vorgeschichte, schlechte Schlafqualität, Cholesterin und BMI, Kinder als Hauptpflegeperson und Krankenversicherungstyp. Das Modell erzielte eine AUC von 0,813 nach interner 10-fach-Kreuzvalidierung. Hosmer-Lemeshow χ² = 4,436, p = 0,816.</w:t>
      </w:r>
    </w:p>
    <w:p>
      <w:r>
        <w:rPr>
          <w:b/>
          <w:sz w:val="19"/>
        </w:rPr>
        <w:t xml:space="preserve">Übertragbarkeit: </w:t>
      </w:r>
      <w:r>
        <w:rPr>
          <w:sz w:val="19"/>
        </w:rPr>
        <w:t>China, anderes Gesundheitssystem; nur Frailty-Identifikation ist übertragbar.</w:t>
      </w:r>
    </w:p>
    <w:p>
      <w:r>
        <w:rPr>
          <w:color w:val="5A7D3A"/>
          <w:sz w:val="18"/>
        </w:rPr>
        <w:t>https://pubmed.ncbi.nlm.nih.gov/42799450/</w:t>
      </w:r>
    </w:p>
    <w:p>
      <w:pPr>
        <w:pStyle w:val="Heading2"/>
      </w:pPr>
      <w:r>
        <w:t>Ernährungsadäquanz in der Gemeinschaft: Ältere vs. jüngere Deutsche im BASE-II-Vergleich</w:t>
      </w:r>
    </w:p>
    <w:p>
      <w:r>
        <w:rPr>
          <w:i/>
          <w:color w:val="666666"/>
          <w:sz w:val="18"/>
        </w:rPr>
        <w:t>Heimberg K et al.  ·  Nutrients  ·  20.09.2026  ·  PMID 42797060</w:t>
      </w:r>
    </w:p>
    <w:p>
      <w:r>
        <w:t>Querschnittsstudie zur Nährstoffaufnahme bei 1.671 Personen im Alter von 60–84 Jahren aus der Berliner Altersstudie II (BASE-II), verglichen mit 500 jüngeren Erwachsenen (22–36 Jahre).</w:t>
      </w:r>
    </w:p>
    <w:p>
      <w:r>
        <w:rPr>
          <w:b/>
        </w:rPr>
        <w:t xml:space="preserve">Ergebnis: </w:t>
      </w:r>
      <w:r>
        <w:t>Ältere Erwachsene hatten kein generell schlechteres Nährstoffprofil als Jüngere. Jedoch lag das Osteoporoserisiko durch Calciummangel bei älteren Personen höher (34 % vs. 26 %). Vitamin-D-Mangel betraf über 15 % in beiden Altersgruppen. Supplementnutzung war bei Älteren häufiger (47,3 % vs. 43,0 %), unterschied sich aber nicht signifikant.</w:t>
      </w:r>
    </w:p>
    <w:p>
      <w:r>
        <w:rPr>
          <w:b/>
          <w:sz w:val="19"/>
        </w:rPr>
        <w:t xml:space="preserve">Übertragbarkeit: </w:t>
      </w:r>
      <w:r>
        <w:rPr>
          <w:sz w:val="19"/>
        </w:rPr>
        <w:t>Deutsche Kohortendaten (BASE-II), vergleichbare Bevölkerungsstruktur und Ernährungsrichtlinien.</w:t>
      </w:r>
    </w:p>
    <w:p>
      <w:r>
        <w:rPr>
          <w:color w:val="5A7D3A"/>
          <w:sz w:val="18"/>
        </w:rPr>
        <w:t>https://pubmed.ncbi.nlm.nih.gov/42797060/</w:t>
      </w:r>
    </w:p>
    <w:p>
      <w:pPr>
        <w:pStyle w:val="Heading2"/>
      </w:pPr>
      <w:r>
        <w:t>Ganggeschwindigkeit als Prognostischer Marker für Überleben bei älteren Krebspatienten</w:t>
      </w:r>
    </w:p>
    <w:p>
      <w:r>
        <w:rPr>
          <w:i/>
          <w:color w:val="666666"/>
          <w:sz w:val="18"/>
        </w:rPr>
        <w:t>Ünlü B et al.  ·  Medicina (Kaunas)  ·  21.09.2026  ·  PMID 42796422</w:t>
      </w:r>
    </w:p>
    <w:p>
      <w:r>
        <w:t>Prospektive Studie bei 102 chemotherapie-naiven Patienten ≥65 Jahre mit Gangtests vor Behandlung und Nachverfolgung von Überleben, Therapieansprechen und Toxizität.</w:t>
      </w:r>
    </w:p>
    <w:p>
      <w:r>
        <w:rPr>
          <w:b/>
        </w:rPr>
        <w:t xml:space="preserve">Ergebnis: </w:t>
      </w:r>
      <w:r>
        <w:t>Mittlere Ganggeschwindigkeit 0,481 ± 0,176 m/s. Bei metastasierten Patienten war höhere Ganggeschwindigkeit mit niedrigerer Mortalität assoziiert (univariat HR = 0,752, 95%-KI 0,605–0,934, p = 0,010; adjustiert HR = 0,647, 95%-KI 0,490–0,853, p = 0,002). Keine signifikanten Assoziationen mit progressionsfreiem Überleben oder Grad-≥3-Toxizität.</w:t>
      </w:r>
    </w:p>
    <w:p>
      <w:r>
        <w:rPr>
          <w:b/>
          <w:sz w:val="19"/>
        </w:rPr>
        <w:t xml:space="preserve">Übertragbarkeit: </w:t>
      </w:r>
      <w:r>
        <w:rPr>
          <w:sz w:val="19"/>
        </w:rPr>
        <w:t>Türkei; funktionelle Messung übertragbar, aber Kohorte klein und explorativ.</w:t>
      </w:r>
    </w:p>
    <w:p>
      <w:r>
        <w:rPr>
          <w:color w:val="5A7D3A"/>
          <w:sz w:val="18"/>
        </w:rPr>
        <w:t>https://pubmed.ncbi.nlm.nih.gov/42796422/</w:t>
      </w:r>
    </w:p>
    <w:p>
      <w:pPr>
        <w:pStyle w:val="Heading2"/>
      </w:pPr>
      <w:r>
        <w:t>Frailty-assoziierte Lungenfunktionstrajektor nach Lungentransplantation</w:t>
      </w:r>
    </w:p>
    <w:p>
      <w:r>
        <w:rPr>
          <w:i/>
          <w:color w:val="666666"/>
          <w:sz w:val="18"/>
        </w:rPr>
        <w:t>Ceolin C et al.  ·  Respir Res  ·  25.09.2026  ·  PMID 42791578</w:t>
      </w:r>
    </w:p>
    <w:p>
      <w:r>
        <w:t>Prospektive Longitudinalstudie über zwei Jahre bei 155 Lungentransplantationsempfänger (Durchschnittsalter 48,7 Jahre); Fried-Phänotyp zur Frailty-Erfassung und spirometrische Parameter als Lungenfunktionsergebnis.</w:t>
      </w:r>
    </w:p>
    <w:p>
      <w:r>
        <w:rPr>
          <w:b/>
        </w:rPr>
        <w:t xml:space="preserve">Ergebnis: </w:t>
      </w:r>
      <w:r>
        <w:t>43,7 % waren robust, 40,4 % pre-frail, 15,9 % frail. Höhere Frailty-Last war mit niedrigeren Baseline-FVC-Werten assoziiert. Signifikante Frailty-by-time-Wechselwirkungen zeigten steilere longitudinale Verbesserungen bei Vital Capacity (VC, β = 2,03, p = 0,010) und FVC (β = 2,20, p = 0,003) bei Personen mit höherer Baseline-Frailty.</w:t>
      </w:r>
    </w:p>
    <w:p>
      <w:r>
        <w:rPr>
          <w:b/>
          <w:sz w:val="19"/>
        </w:rPr>
        <w:t xml:space="preserve">Übertragbarkeit: </w:t>
      </w:r>
      <w:r>
        <w:rPr>
          <w:sz w:val="19"/>
        </w:rPr>
        <w:t>Italien (Padua), europäisches Versorgungssystem, ähnliche Transplantationsprotokolle.</w:t>
      </w:r>
    </w:p>
    <w:p>
      <w:r>
        <w:rPr>
          <w:color w:val="5A7D3A"/>
          <w:sz w:val="18"/>
        </w:rPr>
        <w:t>https://pubmed.ncbi.nlm.nih.gov/42791578/</w:t>
      </w:r>
    </w:p>
    <w:p>
      <w:pPr>
        <w:pStyle w:val="Heading2"/>
      </w:pPr>
      <w:r>
        <w:t>Heidelbeeren, Protein und Bewegung gegen Frailty: STRONG-Studie Studienprotokoll</w:t>
      </w:r>
    </w:p>
    <w:p>
      <w:r>
        <w:rPr>
          <w:i/>
          <w:color w:val="666666"/>
          <w:sz w:val="18"/>
        </w:rPr>
        <w:t>Cahill LE et al.  ·  BMJ Open  ·  25.09.2026  ·  PMID 42790922</w:t>
      </w:r>
    </w:p>
    <w:p>
      <w:r>
        <w:t>Pragmatische RCT über 12 Monate mit 240 Personen ≥65 Jahren (120w/120m) in Nova Scotia; Intervention: 1 Cup Heidelbeeren/Tag, 30 g Proteinpulver/Tag und drei 60-Minuten-Multimodal-Trainingseinheiten/Woche; Kontrolle: Standardversorgung.</w:t>
      </w:r>
    </w:p>
    <w:p>
      <w:r>
        <w:rPr>
          <w:b/>
        </w:rPr>
        <w:t xml:space="preserve">Ergebnis: </w:t>
      </w:r>
      <w:r>
        <w:t>Studie noch laufend (Protokoll publiziert). Geplante Outcomes: Frailty-Scores, Balance, Sturzhäufigkeit, Lebensraum, kardiovaskuläre Risikofaktoren, 6-Minuten-Gehtest, Entzündungsmarker, Lebensqualität mit Messungen bei Baseline, 3, 6, 9, 12 und 24 Monaten.</w:t>
      </w:r>
    </w:p>
    <w:p>
      <w:r>
        <w:rPr>
          <w:b/>
          <w:sz w:val="19"/>
        </w:rPr>
        <w:t xml:space="preserve">Übertragbarkeit: </w:t>
      </w:r>
      <w:r>
        <w:rPr>
          <w:sz w:val="19"/>
        </w:rPr>
        <w:t>Kanada (Nova Scotia), ähnliche Versorgungssysteme und Lebenserwartung wie deutschsprachiger Raum.</w:t>
      </w:r>
    </w:p>
    <w:p>
      <w:r>
        <w:rPr>
          <w:color w:val="5A7D3A"/>
          <w:sz w:val="18"/>
        </w:rPr>
        <w:t>https://pubmed.ncbi.nlm.nih.gov/42790922/</w:t>
      </w:r>
    </w:p>
    <w:p>
      <w:pPr>
        <w:pStyle w:val="Heading2"/>
      </w:pPr>
      <w:r>
        <w:t>Schlafstörungen und Depression als gemeinsames Risiko für Arthrose bei Älteren</w:t>
      </w:r>
    </w:p>
    <w:p>
      <w:r>
        <w:rPr>
          <w:i/>
          <w:color w:val="666666"/>
          <w:sz w:val="18"/>
        </w:rPr>
        <w:t>Deng S et al.  ·  Brain Behav  ·  Sept. 2026  ·  PMID 42779173</w:t>
      </w:r>
    </w:p>
    <w:p>
      <w:r>
        <w:t>Prospektive Kohortenstudie mit 3.604 Personen ab 50 Jahren aus der English Longitudinal Study of Ageing; Erfassung von Schlafstörung und depressiver Symptomatik über acht Jahre mittels gruppengestützter Multi-Trajektorien-Analyse.</w:t>
      </w:r>
    </w:p>
    <w:p>
      <w:r>
        <w:rPr>
          <w:b/>
        </w:rPr>
        <w:t xml:space="preserve">Ergebnis: </w:t>
      </w:r>
      <w:r>
        <w:t>Vier Trajektoriengruppen wurden identifiziert. Im Vergleich zu persistierend gutem Schlaf und keinen depressiven Symptomen zeigten Personen mit persistierend schlechtem Schlaf und hoher depressiver Symptomatik ein OR von 2,85 (95%-KI 1,90–4,28) für Arthrose-Neuauftreten; diejenigen mit schlechtem Schlaf und moderater Depression: OR 2,14 (95%-KI 1,52–3,02); moderate Schlafstörung mit niedriger Depression: OR 1,56 (95%-KI 1,20–2,03).</w:t>
      </w:r>
    </w:p>
    <w:p>
      <w:r>
        <w:rPr>
          <w:b/>
          <w:sz w:val="19"/>
        </w:rPr>
        <w:t xml:space="preserve">Übertragbarkeit: </w:t>
      </w:r>
      <w:r>
        <w:rPr>
          <w:sz w:val="19"/>
        </w:rPr>
        <w:t>England, vergleichbares nationales Gesundheitssystem und Altersstruktur.</w:t>
      </w:r>
    </w:p>
    <w:p>
      <w:r>
        <w:rPr>
          <w:color w:val="5A7D3A"/>
          <w:sz w:val="18"/>
        </w:rPr>
        <w:t>https://pubmed.ncbi.nlm.nih.gov/42779173/</w:t>
      </w:r>
    </w:p>
    <w:p>
      <w:pPr>
        <w:pStyle w:val="Heading1"/>
      </w:pPr>
      <w:r>
        <w:t>Aufgenommen am 26.09.2026</w:t>
      </w:r>
    </w:p>
    <w:p>
      <w:pPr>
        <w:pStyle w:val="Heading2"/>
      </w:pPr>
      <w:r>
        <w:t>Soziale Kontakte und körperliche Frailty entwickeln sich parallel: Langzeitprofil aus Japan</w:t>
      </w:r>
    </w:p>
    <w:p>
      <w:r>
        <w:rPr>
          <w:i/>
          <w:color w:val="666666"/>
          <w:sz w:val="18"/>
        </w:rPr>
        <w:t>Gao H et al.  ·  Front Public Health  ·  09.09.2026  ·  PMID 42787745</w:t>
      </w:r>
    </w:p>
    <w:p>
      <w:r>
        <w:t>Japanische Kohortenstudie an 307 älteren Gemeindemitgliedern mit Messungen 2014, 2017 und 2020 zu sozialen Kontakten, körperlicher Frailty (Kihon Checklist-Motor) und subjektiven kognitiven Beschwerden (Kihon Checklist-Kognitiv).</w:t>
      </w:r>
    </w:p>
    <w:p>
      <w:r>
        <w:rPr>
          <w:b/>
        </w:rPr>
        <w:t xml:space="preserve">Ergebnis: </w:t>
      </w:r>
      <w:r>
        <w:t>Soziale Kontakte sanken von 16,82 auf 16,09, körperliche Frailty stieg von 8,8 % auf 19,5 %, subjektive kognitive Beschwerden von 31,3 % auf 62,9 %. Höhere initiale soziale Kontakte assoziiert mit niedrigerem Frailty-Risiko (standardisiert -0,282, 95%-CrI -0,503 bis -0,044) und niedrigerem kognitiven Beschwerde-Risiko (-0,433, -0,651 bis -0,179). Inverse Assoziation zwischen Kontakt- und Frailty-Änderungsraten.</w:t>
      </w:r>
    </w:p>
    <w:p>
      <w:r>
        <w:rPr>
          <w:b/>
          <w:sz w:val="19"/>
        </w:rPr>
        <w:t xml:space="preserve">Übertragbarkeit: </w:t>
      </w:r>
      <w:r>
        <w:rPr>
          <w:sz w:val="19"/>
        </w:rPr>
        <w:t>Japan, aber Befunde zu Multidomain-Assessment übertragbar auf deutsche Altenhilfe</w:t>
      </w:r>
    </w:p>
    <w:p>
      <w:r>
        <w:rPr>
          <w:color w:val="5A7D3A"/>
          <w:sz w:val="18"/>
        </w:rPr>
        <w:t>https://pubmed.ncbi.nlm.nih.gov/42787745/</w:t>
      </w:r>
    </w:p>
    <w:p>
      <w:pPr>
        <w:pStyle w:val="Heading2"/>
      </w:pPr>
      <w:r>
        <w:t>Kardiovaskuläre Multimorbidität und kognitive Funktionalität: internationale Kohorten-Analyse</w:t>
      </w:r>
    </w:p>
    <w:p>
      <w:r>
        <w:rPr>
          <w:i/>
          <w:color w:val="666666"/>
          <w:sz w:val="18"/>
        </w:rPr>
        <w:t>Li M et al.  ·  Front Public Health  ·  10.09.2026  ·  PMID 42787285</w:t>
      </w:r>
    </w:p>
    <w:p>
      <w:r>
        <w:t>Internationale Harmonisierung von 236.088 Personen aus sechs Langzeitkohorten (HRS, ELSA, CHARLS, KLoSA, MHAS, SHARE) mit wiederholten Messungen kardiovaskulärer Komorbiditäten und kognitiv-funktionaler Veränderungen.</w:t>
      </w:r>
    </w:p>
    <w:p>
      <w:r>
        <w:rPr>
          <w:b/>
        </w:rPr>
        <w:t xml:space="preserve">Ergebnis: </w:t>
      </w:r>
      <w:r>
        <w:t>Jede zusätzliche kardiovaskuläre Erkrankung korreliert mit kognitiven Verschlechterung (β=0,0459, 95%-KI 0,0243–0,0675) und funktionalen Verschlechterung (β=0,0960, 95%-KI 0,0809–0,1111). Funktionale Verschlechterung deutlicher als kognitiv (Kontrast 0,0534, 95%-KI 0,0325–0,0742). Bei 266.127 Intervallen in unauffälligem Ausgangszustand: jede zusätzliche Grunderkrankung assoziiert mit funktionalen Übergängen (OR 1,33, 95%-KI 1,27–1,40), nicht konsistent mit kognitiven Übergängen (OR 1,01, 95%-KI 0,95–1,07).</w:t>
      </w:r>
    </w:p>
    <w:p>
      <w:r>
        <w:rPr>
          <w:b/>
          <w:sz w:val="19"/>
        </w:rPr>
        <w:t xml:space="preserve">Übertragbarkeit: </w:t>
      </w:r>
      <w:r>
        <w:rPr>
          <w:sz w:val="19"/>
        </w:rPr>
        <w:t>Europa, Kanada, USA, große internationale Datenharmonisierung relevant für Deutschland</w:t>
      </w:r>
    </w:p>
    <w:p>
      <w:r>
        <w:rPr>
          <w:color w:val="5A7D3A"/>
          <w:sz w:val="18"/>
        </w:rPr>
        <w:t>https://pubmed.ncbi.nlm.nih.gov/42787285/</w:t>
      </w:r>
    </w:p>
    <w:p>
      <w:pPr>
        <w:pStyle w:val="Heading2"/>
      </w:pPr>
      <w:r>
        <w:t>Frailty bei älteren COPD-Patienten: unabhängiger Prädiktor für COPD-Exazerbationen</w:t>
      </w:r>
    </w:p>
    <w:p>
      <w:r>
        <w:rPr>
          <w:i/>
          <w:color w:val="666666"/>
          <w:sz w:val="18"/>
        </w:rPr>
        <w:t>Li T et al.  ·  J Cachexia Sarcopenia Muscle  ·  Okt. 2026  ·  PMID 42786423</w:t>
      </w:r>
    </w:p>
    <w:p>
      <w:r>
        <w:t>Chinesische Kohortenstudie an 466 älteren COPD-Patienten (Mittel 71,2±4,5 Jahre) mit Fried-Frailty-Phänotyp-Assessment und Nachverfolgung über 12 Monate für moderate bis schwere Exazerbationen und Sterblichkeit.</w:t>
      </w:r>
    </w:p>
    <w:p>
      <w:r>
        <w:rPr>
          <w:b/>
        </w:rPr>
        <w:t xml:space="preserve">Ergebnis: </w:t>
      </w:r>
      <w:r>
        <w:t>54,7 % pre-frail, 28,3 % frail. Pre-Frailty (OR 2,182, 95%-KI 1,081–4,405) und Frailty (OR 3,377, 95%-KI 1,614–7,063) unabhängig assoziiert mit erhöhtem Exazerbationsrisiko. ROC-AUC für Frailty-Vorhersage 0,607. Kombination aus Frailty + Dyspnoe oder Exazerbationshistorie bessere Vorhersagekraft als einzelne Parameter.</w:t>
      </w:r>
    </w:p>
    <w:p>
      <w:r>
        <w:rPr>
          <w:b/>
          <w:sz w:val="19"/>
        </w:rPr>
        <w:t xml:space="preserve">Übertragbarkeit: </w:t>
      </w:r>
      <w:r>
        <w:rPr>
          <w:sz w:val="19"/>
        </w:rPr>
        <w:t>China, aber Frailty-Assessment-Konzepte etabliert in deutscher Geriatrie</w:t>
      </w:r>
    </w:p>
    <w:p>
      <w:r>
        <w:rPr>
          <w:color w:val="5A7D3A"/>
          <w:sz w:val="18"/>
        </w:rPr>
        <w:t>https://pubmed.ncbi.nlm.nih.gov/42786423/</w:t>
      </w:r>
    </w:p>
    <w:p>
      <w:pPr>
        <w:pStyle w:val="Heading2"/>
      </w:pPr>
      <w:r>
        <w:t>Prävention funktioneller Abhängigkeit im höheren Alter: Screening geriatrischer Syndrome</w:t>
      </w:r>
    </w:p>
    <w:p>
      <w:r>
        <w:rPr>
          <w:i/>
          <w:color w:val="666666"/>
          <w:sz w:val="18"/>
        </w:rPr>
        <w:t>Stornelli S et al.  ·  Rev Med Suisse  ·  23.09.2026  ·  PMID 42779326</w:t>
      </w:r>
    </w:p>
    <w:p>
      <w:r>
        <w:t>Schweizer Übersicht für ambulante Grundversorgung zu frühzeitiger Erkennung älterer Patienten mit Risiko funktioneller Abhängigkeit und Autonomieverlust, basierend auf WHO-ICOPE-Ansatz.</w:t>
      </w:r>
    </w:p>
    <w:p>
      <w:r>
        <w:rPr>
          <w:b/>
        </w:rPr>
        <w:t xml:space="preserve">Ergebnis: </w:t>
      </w:r>
      <w:r>
        <w:t>Kernempfehlung: Ärzte sollten hauptsächliche geriatrische Syndrome systematisch screenen, modifizierbare Risikofaktoren identifizieren und Maßnahmen zur Bewahrung intrinsischer Kapazität und Lebensqualität implementieren. Lücke zwischen Lebenserwartung und behinderungsfreien Jahren bleibt erheblich und variiert nach Geschlecht, Bildung und sozioökonomischem Status.</w:t>
      </w:r>
    </w:p>
    <w:p>
      <w:r>
        <w:rPr>
          <w:b/>
          <w:sz w:val="19"/>
        </w:rPr>
        <w:t xml:space="preserve">Übertragbarkeit: </w:t>
      </w:r>
      <w:r>
        <w:rPr>
          <w:sz w:val="19"/>
        </w:rPr>
        <w:t>Schweiz (DACH-Region), direkt übertragbar auf deutsche Primärversorgung</w:t>
      </w:r>
    </w:p>
    <w:p>
      <w:r>
        <w:rPr>
          <w:color w:val="5A7D3A"/>
          <w:sz w:val="18"/>
        </w:rPr>
        <w:t>https://pubmed.ncbi.nlm.nih.gov/42779326/</w:t>
      </w:r>
    </w:p>
    <w:p>
      <w:pPr>
        <w:pStyle w:val="Heading2"/>
      </w:pPr>
      <w:r>
        <w:t>Funktionale Limitierungen bei Depression im Alter folgen eigenen Trajektorien</w:t>
      </w:r>
    </w:p>
    <w:p>
      <w:r>
        <w:rPr>
          <w:i/>
          <w:color w:val="666666"/>
          <w:sz w:val="18"/>
        </w:rPr>
        <w:t>Fredriksen KH et al.  ·  J Affect Disord  ·  15.12.2026  ·  PMID 42716343</w:t>
      </w:r>
    </w:p>
    <w:p>
      <w:r>
        <w:t>Niederländische Langzeitstudie an 355 älteren depressiven Patienten über sechs Jahre mit wiederholten Messungen in sechs Funktionsbereichen (Kognition, Mobilität, Selbstversorgung, soziale Beziehungen, Haushaltsaktivitäten, gesellschaftliche Partizipation).</w:t>
      </w:r>
    </w:p>
    <w:p>
      <w:r>
        <w:rPr>
          <w:b/>
        </w:rPr>
        <w:t xml:space="preserve">Ergebnis: </w:t>
      </w:r>
      <w:r>
        <w:t>Funktionale Einschränkungen zeigten überwiegend stabile hohe oder niedrige Trajektorien über beide Domänen. In Mobilität, Selbstversorgung und Haushaltsaktivitäten zeigte eine Subgruppe starke Verschlechterung, eine andere in sozialen Beziehungen Verbesserung. Funktionale Trajektorien korrelierten nur schwach mit Symptomverläufen und unterschieden sich zwischen Individuen deutlich – Hinweis auf Bedarf für individualisierte Interventionen unabhängig von depressiver Remission.</w:t>
      </w:r>
    </w:p>
    <w:p>
      <w:r>
        <w:rPr>
          <w:b/>
          <w:sz w:val="19"/>
        </w:rPr>
        <w:t xml:space="preserve">Übertragbarkeit: </w:t>
      </w:r>
      <w:r>
        <w:rPr>
          <w:sz w:val="19"/>
        </w:rPr>
        <w:t>Niederlande, Sozialversicherungssystem vergleichbar mit Deutschland</w:t>
      </w:r>
    </w:p>
    <w:p>
      <w:r>
        <w:rPr>
          <w:color w:val="5A7D3A"/>
          <w:sz w:val="18"/>
        </w:rPr>
        <w:t>https://pubmed.ncbi.nlm.nih.gov/42716343/</w:t>
      </w:r>
    </w:p>
    <w:p>
      <w:pPr>
        <w:pStyle w:val="Heading2"/>
      </w:pPr>
      <w:r>
        <w:t>Bipolares Störung im höheren Alter: Sterblichkeit erhöht, nicht Überleberkohorten-Effekt</w:t>
      </w:r>
    </w:p>
    <w:p>
      <w:r>
        <w:rPr>
          <w:i/>
          <w:color w:val="666666"/>
          <w:sz w:val="18"/>
        </w:rPr>
        <w:t>Bayat N et al.  ·  Am J Geriatr Psychiatry  ·  21.07.2026  ·  PMID 42567731</w:t>
      </w:r>
    </w:p>
    <w:p>
      <w:r>
        <w:t>Niederländische Prospektivkohortenstudie mit 227 Patienten ≥50 Jahren mit bipolarer Störung (DOBi-Studie) verglichen mit 681 alternativen Kontrollpersonen (LASA) über 8 Jahre Nachverfolgung.</w:t>
      </w:r>
    </w:p>
    <w:p>
      <w:r>
        <w:rPr>
          <w:b/>
        </w:rPr>
        <w:t xml:space="preserve">Ergebnis: </w:t>
      </w:r>
      <w:r>
        <w:t>Von 227 Patienten mit bipolarer Störung starben 37 (16,3 %), von Kontrollen 138/681 (20,3 %). Eingeschränkte mittlere Überlebenszeit 2.500,7 Tage (95%-KI 2.419,9–2.581,5) versus 2.607,2 Tage (95%-KI 2.572,3–2.642,0) – Differenz 106,4 Tage (3,5 Monate, p=0,018). Hazard Ratio 1,72 (95%-KI 1,17–2,54, p=0,006). Erhöhte Sterblichkeit persistent, nicht nur Überleberkohorten-Effekt.</w:t>
      </w:r>
    </w:p>
    <w:p>
      <w:r>
        <w:rPr>
          <w:b/>
          <w:sz w:val="19"/>
        </w:rPr>
        <w:t xml:space="preserve">Übertragbarkeit: </w:t>
      </w:r>
      <w:r>
        <w:rPr>
          <w:sz w:val="19"/>
        </w:rPr>
        <w:t>Niederlande, vergleichbares Gesundheitssystem und Sozialversicherung</w:t>
      </w:r>
    </w:p>
    <w:p>
      <w:r>
        <w:rPr>
          <w:color w:val="5A7D3A"/>
          <w:sz w:val="18"/>
        </w:rPr>
        <w:t>https://pubmed.ncbi.nlm.nih.gov/42567731/</w:t>
      </w:r>
    </w:p>
    <w:p>
      <w:pPr>
        <w:pStyle w:val="Heading1"/>
      </w:pPr>
      <w:r>
        <w:t>Aufgenommen am 25.09.2026</w:t>
      </w:r>
    </w:p>
    <w:p>
      <w:pPr>
        <w:pStyle w:val="Heading2"/>
      </w:pPr>
      <w:r>
        <w:t>Klinische Entscheidungsmuster von Physiotherapeuten bei Frailty in der Krankenpflege</w:t>
      </w:r>
    </w:p>
    <w:p>
      <w:r>
        <w:rPr>
          <w:i/>
          <w:color w:val="666666"/>
          <w:sz w:val="18"/>
        </w:rPr>
        <w:t>Bloch T et al.  ·  Age Ageing  ·  04.09.2026  ·  PMID 42784539</w:t>
      </w:r>
    </w:p>
    <w:p>
      <w:r>
        <w:t>Delphi-Studie mit 44 US-amerikanischen und kanadischen Therapeuten zu klinischen Reasoning-Strategien bei der Intervention für gebrechliche ältere Menschen in Pflegeheimen.</w:t>
      </w:r>
    </w:p>
    <w:p>
      <w:r>
        <w:rPr>
          <w:b/>
        </w:rPr>
        <w:t xml:space="preserve">Ergebnis: </w:t>
      </w:r>
      <w:r>
        <w:t>Fünf Konsensthemen erreichten ≥75%-Zustimmung: (i) Therapie-Engagement durch patientenzentrierte Aktivitäten, (ii) Mobilität und Bewegungssicherheit, (iii) funktionale Ergebnisse und Belastung, (iv) Schmerzmanagement und kognitive Variabilität, (v) aufgabenspezifische duale Interventionen für ADL-Transfer. 39 von 44 Teilnehmern (89%-Retentionsquote) schlossen alle Runden ab.</w:t>
      </w:r>
    </w:p>
    <w:p>
      <w:r>
        <w:rPr>
          <w:b/>
          <w:sz w:val="19"/>
        </w:rPr>
        <w:t xml:space="preserve">Übertragbarkeit: </w:t>
      </w:r>
      <w:r>
        <w:rPr>
          <w:sz w:val="19"/>
        </w:rPr>
        <w:t>USA/Kanada – Qualitative Evidenz zur Praxis in SNF; Adaptierbarkeit auf deutsches Versorgungssystem mit Anpassungen an Dokumentation und Ressourcen.</w:t>
      </w:r>
    </w:p>
    <w:p>
      <w:r>
        <w:rPr>
          <w:color w:val="5A7D3A"/>
          <w:sz w:val="18"/>
        </w:rPr>
        <w:t>https://pubmed.ncbi.nlm.nih.gov/42784539/</w:t>
      </w:r>
    </w:p>
    <w:p>
      <w:pPr>
        <w:pStyle w:val="Heading2"/>
      </w:pPr>
      <w:r>
        <w:t>Thorakale Muskelattenuation prägt Geschlechts-spezifische Mortalität nach Bypasschirurgie im Alter</w:t>
      </w:r>
    </w:p>
    <w:p>
      <w:r>
        <w:rPr>
          <w:i/>
          <w:color w:val="666666"/>
          <w:sz w:val="18"/>
        </w:rPr>
        <w:t>Krombholz-Reindl P et al.  ·  Med Sci (Basel)  ·  14.09.2026  ·  PMID 42783442</w:t>
      </w:r>
    </w:p>
    <w:p>
      <w:r>
        <w:t>Retrospektive Studie an 479 Patienten (382 Männer, 97 Frauen) untersucht, ob die Muskelqualität (gemessen als Hounsfield Units aus Routinen-CT) die Mortalität nach Koronarer Bypasschirurgie unabhängig vom EuroSCORE II vorhersagt – mit geschlechtsspezifischen Unterschieden.</w:t>
      </w:r>
    </w:p>
    <w:p>
      <w:r>
        <w:rPr>
          <w:b/>
        </w:rPr>
        <w:t xml:space="preserve">Ergebnis: </w:t>
      </w:r>
      <w:r>
        <w:t>Bei Frauen mit niedriger Muskelattenuation (TH4) betrugen die Hazard Ratios für Mortalität 6,6 (1 Jahr), 9,5 (3 Jahre), 6,4 (5 Jahre; alle p≤0,03). Bei Männern zeigte sich ein schwächerer Effekt, der nach Gewichtungsanpassung insignifikant wurde. Hinzufügen von niedriger Muskelattenuation zu EuroSCORE II erhöhte C-Statistik um 0,046 bei Frauen insgesamt (p&lt;0,001).</w:t>
      </w:r>
    </w:p>
    <w:p>
      <w:r>
        <w:rPr>
          <w:b/>
          <w:sz w:val="19"/>
        </w:rPr>
        <w:t xml:space="preserve">Übertragbarkeit: </w:t>
      </w:r>
      <w:r>
        <w:rPr>
          <w:sz w:val="19"/>
        </w:rPr>
        <w:t>Österreich/Deutschland – Universitätszentren; Aussage unabhängig von Versorgungssystem.</w:t>
      </w:r>
    </w:p>
    <w:p>
      <w:r>
        <w:rPr>
          <w:color w:val="5A7D3A"/>
          <w:sz w:val="18"/>
        </w:rPr>
        <w:t>https://pubmed.ncbi.nlm.nih.gov/42783442/</w:t>
      </w:r>
    </w:p>
    <w:p>
      <w:pPr>
        <w:pStyle w:val="Heading2"/>
      </w:pPr>
      <w:r>
        <w:t>Feinstaub und Luftfeuchte verstärken Sturzrisiko und Schlaganfall im Alter durch Frailty</w:t>
      </w:r>
    </w:p>
    <w:p>
      <w:r>
        <w:rPr>
          <w:i/>
          <w:color w:val="666666"/>
          <w:sz w:val="18"/>
        </w:rPr>
        <w:t>Sun M et al.  ·  Front Public Health  ·  09.09.2026  ·  PMID 42780893</w:t>
      </w:r>
    </w:p>
    <w:p>
      <w:r>
        <w:t>Prospektive Kohortenstudie (CHARLS, n=17.197) und Krankenhaus-Stichprobe (n=782) zum Zusammenhang von PM2.5-Exposition, relativer Luftfeuchte und Schlaganfallrisiko, mit Frailty Index als potenzieller Mediator.</w:t>
      </w:r>
    </w:p>
    <w:p>
      <w:r>
        <w:rPr>
          <w:b/>
        </w:rPr>
        <w:t xml:space="preserve">Ergebnis: </w:t>
      </w:r>
      <w:r>
        <w:t>Hohes PM2.5 mit Schlaganfall-Hazard Ratio 1,184 (95% KI 1,083–1,295) in CHARLS. Hohe Luftfeuchte: HR 1,112 (95% KI 1,021–1,212). Beide Expositionen zusammen: HR 1,361 (95% KI 1,171–1,582). Frailty mediierte 18,1 % der PM2.5-Assoziation und 22,3 % der Feuchte-Assoziation.</w:t>
      </w:r>
    </w:p>
    <w:p>
      <w:r>
        <w:rPr>
          <w:b/>
          <w:sz w:val="19"/>
        </w:rPr>
        <w:t xml:space="preserve">Übertragbarkeit: </w:t>
      </w:r>
      <w:r>
        <w:rPr>
          <w:sz w:val="19"/>
        </w:rPr>
        <w:t>China – CHARLS-Kohortendaten; Luftqualität und Klimavariablen sind in Deutschland unterschiedlich, aber Frailty-Pathway-Mechanismus ist übertragbar.</w:t>
      </w:r>
    </w:p>
    <w:p>
      <w:r>
        <w:rPr>
          <w:color w:val="5A7D3A"/>
          <w:sz w:val="18"/>
        </w:rPr>
        <w:t>https://pubmed.ncbi.nlm.nih.gov/42780893/</w:t>
      </w:r>
    </w:p>
    <w:p>
      <w:pPr>
        <w:pStyle w:val="Heading2"/>
      </w:pPr>
      <w:r>
        <w:t>Umfassende Frailty-Erfassung vorhersagt Mortalität nach Herzchirurgie besser als das Fried-Phänotyp allein</w:t>
      </w:r>
    </w:p>
    <w:p>
      <w:r>
        <w:rPr>
          <w:i/>
          <w:color w:val="666666"/>
          <w:sz w:val="18"/>
        </w:rPr>
        <w:t>Silva VBMD et al.  ·  Braz J Cardiovasc Surg  ·  21.09.2026  ·  PMID 42776132</w:t>
      </w:r>
    </w:p>
    <w:p>
      <w:r>
        <w:t>Prospektive Beobachtungsstudie mit 218 Herzchirurgie-Patienten (Klappenchirurgie oder CABG) zur Validierung von Frailty-Definitionen neben dem klassischen Fried-Kriterium durch zusätzliche ernährungsmedizinische, psychologische und funktionelle Variablen.</w:t>
      </w:r>
    </w:p>
    <w:p>
      <w:r>
        <w:rPr>
          <w:b/>
        </w:rPr>
        <w:t xml:space="preserve">Ergebnis: </w:t>
      </w:r>
      <w:r>
        <w:t>Nach Fried: 43,6 % frail, 49,6 % pre-frail. Fried-Phänotyp zeigte keine Assoziation mit Mortalität. Mit zusätzlichen Variablen identifizierte Clusteranalyse zwei Gruppen: In Cluster 1 waren 84,8 % Fried-frail (vs. 27,4 % in Cluster 2, p&lt;0,001), postoperative Infektionsrate 24,2 % vs. 7,1 % (p=0,022), Krankenhausmortalität 27,3 % vs. 9,5 % (p=0,020).</w:t>
      </w:r>
    </w:p>
    <w:p>
      <w:r>
        <w:rPr>
          <w:b/>
          <w:sz w:val="19"/>
        </w:rPr>
        <w:t xml:space="preserve">Übertragbarkeit: </w:t>
      </w:r>
      <w:r>
        <w:rPr>
          <w:sz w:val="19"/>
        </w:rPr>
        <w:t>Brasilien – herzchirurgische Versorgung vergleichbar; Frailty-Assessment-Prinzipien übertragbar auf deutsche Kliniken.</w:t>
      </w:r>
    </w:p>
    <w:p>
      <w:r>
        <w:rPr>
          <w:color w:val="5A7D3A"/>
          <w:sz w:val="18"/>
        </w:rPr>
        <w:t>https://pubmed.ncbi.nlm.nih.gov/42776132/</w:t>
      </w:r>
    </w:p>
    <w:p>
      <w:pPr>
        <w:pStyle w:val="Heading2"/>
      </w:pPr>
      <w:r>
        <w:t>Geriatrische Versorgungskonzepte bei trochantären Femurfrakturen senken Komplikationen und Mortalität</w:t>
      </w:r>
    </w:p>
    <w:p>
      <w:r>
        <w:rPr>
          <w:i/>
          <w:color w:val="666666"/>
          <w:sz w:val="18"/>
        </w:rPr>
        <w:t>Smolka V et al.  ·  Unfallchirurgie (Heidelb)  ·  24.08.2026  ·  PMID 42637918</w:t>
      </w:r>
    </w:p>
    <w:p>
      <w:r>
        <w:t>Übersichtsartikel zur interdisziplinären, multidimensionalen Betreuung geriatrischer Hüftfrakturen nach deutschen Richtlinien mit Fokus auf Schmerzmanagement, Frühmobilisation, Delir- und Ernährungsmanagement, Deprescribing und Sturzprophylaxe.</w:t>
      </w:r>
    </w:p>
    <w:p>
      <w:r>
        <w:rPr>
          <w:b/>
        </w:rPr>
        <w:t xml:space="preserve">Ergebnis: </w:t>
      </w:r>
      <w:r>
        <w:t>Multidimensionale Betreuung reduziert nachweislich die Mortalität, vermeidet Komplikationen durch adäquate Perioperativbetreuung, Frühmobilisation und Entlassungsplanung. Keine spezifischen Zahlenwerte im Abstract genannt, aber eindeutige Evidenz für Mortalitätsreduktion dokumentiert.</w:t>
      </w:r>
    </w:p>
    <w:p>
      <w:r>
        <w:rPr>
          <w:b/>
          <w:sz w:val="19"/>
        </w:rPr>
        <w:t xml:space="preserve">Übertragbarkeit: </w:t>
      </w:r>
      <w:r>
        <w:rPr>
          <w:sz w:val="19"/>
        </w:rPr>
        <w:t>Deutschland – nationale Richtlinien des Gemeinsamen Bundesausschusses seit 2021.</w:t>
      </w:r>
    </w:p>
    <w:p>
      <w:r>
        <w:rPr>
          <w:color w:val="5A7D3A"/>
          <w:sz w:val="18"/>
        </w:rPr>
        <w:t>https://pubmed.ncbi.nlm.nih.gov/42637918/</w:t>
      </w:r>
    </w:p>
    <w:p>
      <w:pPr>
        <w:pStyle w:val="Heading2"/>
      </w:pPr>
      <w:r>
        <w:t>Produktivitäts-angepasste Lebenserwartung in Finnland: Normwerte für bezahlte und unbezahlte Arbeit</w:t>
      </w:r>
    </w:p>
    <w:p>
      <w:r>
        <w:rPr>
          <w:i/>
          <w:color w:val="666666"/>
          <w:sz w:val="18"/>
        </w:rPr>
        <w:t>Lavikainen P et al.  ·  Soc Sci Med  ·  20.08.2026  ·  PMID 42632184</w:t>
      </w:r>
    </w:p>
    <w:p>
      <w:r>
        <w:t>Bevölkerungssurvey von 3.644 finnischen Erwachsenen (Juni–August 2024, Alter 18–79 Jahre) zur Schätzung von Produktivitätsindizes nach Alter und Geschlecht für bezahlte und unbezahlte Arbeit.</w:t>
      </w:r>
    </w:p>
    <w:p>
      <w:r>
        <w:rPr>
          <w:b/>
        </w:rPr>
        <w:t xml:space="preserve">Ergebnis: </w:t>
      </w:r>
      <w:r>
        <w:t>Gewichteter Produktivitätsindex für Gesamtpopulation: 0,770 (Männer 0,780; Frauen 0,760). Produktivitäts-angepasste Lebenserwartung (PALE) mit Undiskontiert für Männer im Alter 20: 42,9 Jahre, mit 1,5%-Diskont 29,3 Jahre. Für Frauen: 46,1, 30,4 Jahre entsprechend. Erste bevölkerungsrepräsentative Normwerte für nordische Länder.</w:t>
      </w:r>
    </w:p>
    <w:p>
      <w:r>
        <w:rPr>
          <w:b/>
          <w:sz w:val="19"/>
        </w:rPr>
        <w:t xml:space="preserve">Übertragbarkeit: </w:t>
      </w:r>
      <w:r>
        <w:rPr>
          <w:sz w:val="19"/>
        </w:rPr>
        <w:t>Finnland – Nordeuropa mit vergleichbarem Sozialsystem; für Deutschland übertragbar auf Struktur, Finanzierung unterscheidet sich.</w:t>
      </w:r>
    </w:p>
    <w:p>
      <w:r>
        <w:rPr>
          <w:color w:val="5A7D3A"/>
          <w:sz w:val="18"/>
        </w:rPr>
        <w:t>https://pubmed.ncbi.nlm.nih.gov/42632184/</w:t>
      </w:r>
    </w:p>
    <w:p>
      <w:pPr>
        <w:pStyle w:val="Heading1"/>
      </w:pPr>
      <w:r>
        <w:t>Aufgenommen am 24.09.2026</w:t>
      </w:r>
    </w:p>
    <w:p>
      <w:pPr>
        <w:pStyle w:val="Heading2"/>
      </w:pPr>
      <w:r>
        <w:t>Mitochondriale Dynamik im Altern: Ansätze zur Prävention von Herz- und Hirnerkrankungen</w:t>
      </w:r>
    </w:p>
    <w:p>
      <w:r>
        <w:rPr>
          <w:i/>
          <w:color w:val="666666"/>
          <w:sz w:val="18"/>
        </w:rPr>
        <w:t>Yin Y et al.  ·  Aging Cell  ·  Okt. 2026  ·  PMID 42775668</w:t>
      </w:r>
    </w:p>
    <w:p>
      <w:r>
        <w:t>Narrativer Übersichtsartikel zu Rolle der Mitochondrialen Fusion und Fission bei altersbezogenen Herz- und Hirnerkrankungen (Alzheimer, Parkinson, atheroskleroische kardiozerebrovale Erkrankungen) und therapeutischen Strategien (Ausdauertraining, Metformin, Dapagliflozin, Irbesartan, TCM-Komponenten).</w:t>
      </w:r>
    </w:p>
    <w:p>
      <w:r>
        <w:rPr>
          <w:b/>
        </w:rPr>
        <w:t xml:space="preserve">Ergebnis: </w:t>
      </w:r>
      <w:r>
        <w:t>Beeinträchtigte mitochondriale Dynamik liegt vielen altersassoziierten Krankheiten zugrunde; verschiedene Trainings- und Medikamentenansätze zeigen Potenzial zur Verbesserung von Herzgesundheit und Hirngesundheit durch Wiederherstellung mitochondrialer Plastizität; Mechanismen umfassen Verbesserung von Energiestoffwechsel und Reduktion von Entzündung und Seneszenz.</w:t>
      </w:r>
    </w:p>
    <w:p>
      <w:r>
        <w:rPr>
          <w:b/>
          <w:sz w:val="19"/>
        </w:rPr>
        <w:t xml:space="preserve">Übertragbarkeit: </w:t>
      </w:r>
      <w:r>
        <w:rPr>
          <w:sz w:val="19"/>
        </w:rPr>
        <w:t>Überwiegend präklinische und Tiermodelle; klinische Übertragbarkeit für ausgewählte Interventionen (Training, Metformin) gegeben.</w:t>
      </w:r>
    </w:p>
    <w:p>
      <w:r>
        <w:rPr>
          <w:color w:val="5A7D3A"/>
          <w:sz w:val="18"/>
        </w:rPr>
        <w:t>https://pubmed.ncbi.nlm.nih.gov/42775668/</w:t>
      </w:r>
    </w:p>
    <w:p>
      <w:pPr>
        <w:pStyle w:val="Heading2"/>
      </w:pPr>
      <w:r>
        <w:t>Einbindung Älterer in Versorgungsforschung: Praktische Erfolgsfaktoren aus Australien</w:t>
      </w:r>
    </w:p>
    <w:p>
      <w:r>
        <w:rPr>
          <w:i/>
          <w:color w:val="666666"/>
          <w:sz w:val="18"/>
        </w:rPr>
        <w:t>Thillainadesan J et al.  ·  Public Health Res Pract  ·  24.09.2026  ·  PMID 42767663</w:t>
      </w:r>
    </w:p>
    <w:p>
      <w:r>
        <w:t>Qualitative Studie zur Etablierung einer konsumentengesteuerten Forschungsberatungsgruppe in einem Altersbetreuungszentrum mit 8 älteren Teilnehmern (Australien); Dokumentation von Rekrutierungs-, Unterstützungs- und Beteiligungsprozessen.</w:t>
      </w:r>
    </w:p>
    <w:p>
      <w:r>
        <w:rPr>
          <w:b/>
        </w:rPr>
        <w:t xml:space="preserve">Ergebnis: </w:t>
      </w:r>
      <w:r>
        <w:t>Erfolgsfaktoren: Inklusives Auswahlverfahren, Honorierung, Barrierefreiheit, sensibilisierte Kommunikation, vertrauensvolle Umgebung, orientierungsgerichtete Einführung und Training; Teilnehmer berichtet positive Erfahrungen und waren motiviert durch Wunsch, ihre Lebenserfahrung zum Nutzen anderer einzubringen; Machbarkeit und Förderfähigkeit von Älteren-Einbindung demonstriert.</w:t>
      </w:r>
    </w:p>
    <w:p>
      <w:r>
        <w:rPr>
          <w:b/>
          <w:sz w:val="19"/>
        </w:rPr>
        <w:t xml:space="preserve">Übertragbarkeit: </w:t>
      </w:r>
      <w:r>
        <w:rPr>
          <w:sz w:val="19"/>
        </w:rPr>
        <w:t>Australische Versorgungsforschung, methodisch auf deutschsprachige Settings übertragbar.</w:t>
      </w:r>
    </w:p>
    <w:p>
      <w:r>
        <w:rPr>
          <w:color w:val="5A7D3A"/>
          <w:sz w:val="18"/>
        </w:rPr>
        <w:t>https://pubmed.ncbi.nlm.nih.gov/42767663/</w:t>
      </w:r>
    </w:p>
    <w:p>
      <w:pPr>
        <w:pStyle w:val="Heading2"/>
      </w:pPr>
      <w:r>
        <w:t>Grippe-Impfstoff höherer Dosierung senkt Hospitalisierungen bei gebrechlichen Älteren stärker</w:t>
      </w:r>
    </w:p>
    <w:p>
      <w:r>
        <w:rPr>
          <w:i/>
          <w:color w:val="666666"/>
          <w:sz w:val="18"/>
        </w:rPr>
        <w:t>Espersen C et al.  ·  Lancet Healthy Longev  ·  17.09.2026  ·  PMID 42753782</w:t>
      </w:r>
    </w:p>
    <w:p>
      <w:r>
        <w:t>Dänische randomisierte Studie zu Wirksamkeit hochdosierter versus Standarddosis-Influenzaimpfung bei 332.438 älteren Personen (≥65 Jahre), stratifiziert nach Gebrechlichkeitsrisiko mittels Hospital Frailty Risk Score.</w:t>
      </w:r>
    </w:p>
    <w:p>
      <w:r>
        <w:rPr>
          <w:b/>
        </w:rPr>
        <w:t xml:space="preserve">Ergebnis: </w:t>
      </w:r>
      <w:r>
        <w:t>Bei Personen mit hohem Gebrechlichkeitsrisiko zeigte die hochdosierte Impfung eine relative Wirksamkeit von 19,9 % (95%-KI −10,3 bis 42,1) gegen Hospitalisierungen durch Influenza/Lungenentzündung versus 0,2 % (−10,8 bis 10,2) bei niedrigem Risiko; die Interaktion war jedoch nicht signifikant kategorisch (p=0,17), sodass die Autoren die Ergebnisse als explorativ einstufen.</w:t>
      </w:r>
    </w:p>
    <w:p>
      <w:r>
        <w:rPr>
          <w:b/>
          <w:sz w:val="19"/>
        </w:rPr>
        <w:t xml:space="preserve">Übertragbarkeit: </w:t>
      </w:r>
      <w:r>
        <w:rPr>
          <w:sz w:val="19"/>
        </w:rPr>
        <w:t>Dänische Gesundheitsdaten, europäisches System mit vergleichbarer Impfstoffverfügbarkeit.</w:t>
      </w:r>
    </w:p>
    <w:p>
      <w:r>
        <w:rPr>
          <w:color w:val="5A7D3A"/>
          <w:sz w:val="18"/>
        </w:rPr>
        <w:t>https://pubmed.ncbi.nlm.nih.gov/42753782/</w:t>
      </w:r>
    </w:p>
    <w:p>
      <w:pPr>
        <w:pStyle w:val="Heading2"/>
      </w:pPr>
      <w:r>
        <w:t>Kurzzeitige Prehabilitation vor elektiver Operation senkt Pflegebedürftigkeit bei gebrechlichen Älteren nicht</w:t>
      </w:r>
    </w:p>
    <w:p>
      <w:r>
        <w:rPr>
          <w:i/>
          <w:color w:val="666666"/>
          <w:sz w:val="18"/>
        </w:rPr>
        <w:t>Spies C et al.  ·  Lancet Healthy Longev  ·  15.09.2026  ·  PMID 42743945</w:t>
      </w:r>
    </w:p>
    <w:p>
      <w:r>
        <w:t>Deutschlandweite randomisierte Studie an 1.199 Personen (Alter ≥70 Jahre) mit Frailty oder Prefrailty zu Effekt einer 3-wöchigen supervidierten multimodalen Prehabilitation auf Pflegabhängigkeit 12 Monate postoperativ.</w:t>
      </w:r>
    </w:p>
    <w:p>
      <w:r>
        <w:rPr>
          <w:b/>
        </w:rPr>
        <w:t xml:space="preserve">Ergebnis: </w:t>
      </w:r>
      <w:r>
        <w:t>Keine signifikanten Unterschiede zwischen Prehabilitation und Standard-Care in der Veränderung der Langzeitpflegeabhängigkeit (ordinale Skala 0–5): mittlere Differenz −0,1 (95%-KI −0,25 bis 0,07; p=0,26); 32 Sicherheitsereignisse in der Interventionsgruppe, meist nicht kausal bezogen.</w:t>
      </w:r>
    </w:p>
    <w:p>
      <w:r>
        <w:rPr>
          <w:b/>
          <w:sz w:val="19"/>
        </w:rPr>
        <w:t xml:space="preserve">Übertragbarkeit: </w:t>
      </w:r>
      <w:r>
        <w:rPr>
          <w:sz w:val="19"/>
        </w:rPr>
        <w:t>Deutsche Klinikdaten, G-BA-finanziert, direkt auf deutsches Gesundheitssystem übertragbar.</w:t>
      </w:r>
    </w:p>
    <w:p>
      <w:r>
        <w:rPr>
          <w:color w:val="5A7D3A"/>
          <w:sz w:val="18"/>
        </w:rPr>
        <w:t>https://pubmed.ncbi.nlm.nih.gov/42743945/</w:t>
      </w:r>
    </w:p>
    <w:p>
      <w:pPr>
        <w:pStyle w:val="Heading2"/>
      </w:pPr>
      <w:r>
        <w:t>Wissenslücken in geriatrischen Kompetenzen im DACH-Raum: Demenz, Depression, Sarkopenie prioritär</w:t>
      </w:r>
    </w:p>
    <w:p>
      <w:r>
        <w:rPr>
          <w:i/>
          <w:color w:val="666666"/>
          <w:sz w:val="18"/>
        </w:rPr>
        <w:t>Honegger M et al.  ·  Z Gerontol Geriatr  ·  07.09.2026  ·  PMID 42704433</w:t>
      </w:r>
    </w:p>
    <w:p>
      <w:r>
        <w:t>Sekundäranalyse einer europäischen Online-Befragung: 291 Gesundheitsfachkräfte aus Deutschland, Österreich und der Schweiz wurden zu Selbsteinschätzung geriatrischer Kompetenz und Fortbildungsbedarf befragt und mit 5.134 Fachkräften aus übrigen europäischen Ländern verglichen.</w:t>
      </w:r>
    </w:p>
    <w:p>
      <w:r>
        <w:rPr>
          <w:b/>
        </w:rPr>
        <w:t xml:space="preserve">Ergebnis: </w:t>
      </w:r>
      <w:r>
        <w:t>DACH-Fachkräfte schätzten ihre geriatrischen Kenntnisse höher ein als Kollegen anderswo, zeigten aber substantielle Lücken in Demenz, Depression, chronischen Schmerzen, kognitiven Screenings und Sarkopenie; Fortbildungsbedarf überstieg selbst eingeschätzte Kompetenz in allen Ländern.</w:t>
      </w:r>
    </w:p>
    <w:p>
      <w:r>
        <w:rPr>
          <w:b/>
          <w:sz w:val="19"/>
        </w:rPr>
        <w:t xml:space="preserve">Übertragbarkeit: </w:t>
      </w:r>
      <w:r>
        <w:rPr>
          <w:sz w:val="19"/>
        </w:rPr>
        <w:t>DACH-Umfrage mit direktem Bezug zu deutschem, österreichischem und Schweizer Gesundheitswesen.</w:t>
      </w:r>
    </w:p>
    <w:p>
      <w:r>
        <w:rPr>
          <w:color w:val="5A7D3A"/>
          <w:sz w:val="18"/>
        </w:rPr>
        <w:t>https://pubmed.ncbi.nlm.nih.gov/42704433/</w:t>
      </w:r>
    </w:p>
    <w:p>
      <w:pPr>
        <w:pStyle w:val="Heading2"/>
      </w:pPr>
      <w:r>
        <w:t>Multikomponenten-Delirprogramme reduzieren Delirinzidenz um 44 % – Evidenzbasis und Implementierung</w:t>
      </w:r>
    </w:p>
    <w:p>
      <w:r>
        <w:rPr>
          <w:i/>
          <w:color w:val="666666"/>
          <w:sz w:val="18"/>
        </w:rPr>
        <w:t>Thomas C et al.  ·  Z Gerontol Geriatr  ·  25.08.2026  ·  PMID 42640287</w:t>
      </w:r>
    </w:p>
    <w:p>
      <w:r>
        <w:t>Narrativer Übersichtsartikel mit Darstellung der Evidenz zu nichtpharmakologischen Multikomponenten-Interventionen (HELP, ABCDE-Bundle, CHOPS, AKTIVER) in der Delirprävention und des Delirmanagements bei älteren Patienten.</w:t>
      </w:r>
    </w:p>
    <w:p>
      <w:r>
        <w:rPr>
          <w:b/>
        </w:rPr>
        <w:t xml:space="preserve">Ergebnis: </w:t>
      </w:r>
      <w:r>
        <w:t>Zwei 2026 publizierte Metaanalysen zeigen, dass multikomponentale nichtpharmakologische Programme die Delirinzidenz um 44 % reduzierten und Dauer bestehender Delire signifikant verkürzten; pharmakologische Strategien zeigten keinen konsistenten Nutzen außer Dexmedetomidin in ausgewählten perioperativen Settings; S3-Leitlinie empfiehlt strukturierte, interprofessionelle, personenzentrierte Delirprogramme als Standard.</w:t>
      </w:r>
    </w:p>
    <w:p>
      <w:r>
        <w:rPr>
          <w:b/>
          <w:sz w:val="19"/>
        </w:rPr>
        <w:t xml:space="preserve">Übertragbarkeit: </w:t>
      </w:r>
      <w:r>
        <w:rPr>
          <w:sz w:val="19"/>
        </w:rPr>
        <w:t>Deutsche S3-Leitlinie und deutsche Studienprogramme (AKTIVER), direkt übertragbar auf deutsches Versorgungssystem.</w:t>
      </w:r>
    </w:p>
    <w:p>
      <w:r>
        <w:rPr>
          <w:color w:val="5A7D3A"/>
          <w:sz w:val="18"/>
        </w:rPr>
        <w:t>https://pubmed.ncbi.nlm.nih.gov/42640287/</w:t>
      </w:r>
    </w:p>
    <w:p>
      <w:pPr>
        <w:pStyle w:val="Heading1"/>
      </w:pPr>
      <w:r>
        <w:t>Aufgenommen am 23.09.2026</w:t>
      </w:r>
    </w:p>
    <w:p>
      <w:pPr>
        <w:pStyle w:val="Heading2"/>
      </w:pPr>
      <w:r>
        <w:t>Todesursachen im Lebensverlauf in Südostasien: regionale Ungleichgewichte 2023</w:t>
      </w:r>
    </w:p>
    <w:p>
      <w:r>
        <w:rPr>
          <w:i/>
          <w:color w:val="666666"/>
          <w:sz w:val="18"/>
        </w:rPr>
        <w:t>GBD 2023 ASEAN Causes of Death Collaborators  ·  Lancet Public Health  ·  Okt. 2026  ·  PMID 42772298</w:t>
      </w:r>
    </w:p>
    <w:p>
      <w:r>
        <w:t>GBD-2023-Analyse der Todesursachen und Lebenserwartung von Geburt bis 70 Jahre in elf ASEAN-Ländern, stratifiziert nach Alter und Geschlecht.</w:t>
      </w:r>
    </w:p>
    <w:p>
      <w:r>
        <w:rPr>
          <w:b/>
        </w:rPr>
        <w:t xml:space="preserve">Ergebnis: </w:t>
      </w:r>
      <w:r>
        <w:t>Regionale Lebenserwartung 2023: 70,1 Jahre Männer (95%-UI 69,6–70,7), 76,2 Jahre Frauen (75,7–76,7); Range 62,1 Jahre (Myanmar, Männer) bis 87,5 Jahre (Singapur, Frauen). Unfallverletzungen führend in Adoleszenz/frühem Erwachsenenalter; nicht-übertragbare Krankheiten dominant in mittlerem Alter. Tabakkonsum dominierender Risikofaktor bei Männern, Hypertonie bei Frauen.</w:t>
      </w:r>
    </w:p>
    <w:p>
      <w:r>
        <w:rPr>
          <w:b/>
          <w:sz w:val="19"/>
        </w:rPr>
        <w:t xml:space="preserve">Übertragbarkeit: </w:t>
      </w:r>
      <w:r>
        <w:rPr>
          <w:sz w:val="19"/>
        </w:rPr>
        <w:t>Südostasien, breite Systeme mit unterschiedlicher Infrastruktur – Befunde zu Risiken und Disparitäten sind relevant</w:t>
      </w:r>
    </w:p>
    <w:p>
      <w:r>
        <w:rPr>
          <w:color w:val="5A7D3A"/>
          <w:sz w:val="18"/>
        </w:rPr>
        <w:t>https://pubmed.ncbi.nlm.nih.gov/42772298/</w:t>
      </w:r>
    </w:p>
    <w:p>
      <w:pPr>
        <w:pStyle w:val="Heading2"/>
      </w:pPr>
      <w:r>
        <w:t>Institutionelles geriatrisches Versorgungsmodell in Mexiko: GeriatrIMSS-Struktur und Ergebnisse</w:t>
      </w:r>
    </w:p>
    <w:p>
      <w:r>
        <w:rPr>
          <w:i/>
          <w:color w:val="666666"/>
          <w:sz w:val="18"/>
        </w:rPr>
        <w:t>Medina-Chávez JH et al.  ·  Rev Med Inst Mex Seguro Soc  ·  02.09.2026  ·  PMID 42771824</w:t>
      </w:r>
    </w:p>
    <w:p>
      <w:r>
        <w:t>Beschreibung des mexikanischen GeriatrIMSS-Modells, eines umfassenden institutionellen Plans der Seguridad Social zur Reaktion auf Alterung, Multimorbidität und nicht-übertragbare Krankheiten bei älteren Versicherten.</w:t>
      </w:r>
    </w:p>
    <w:p>
      <w:r>
        <w:rPr>
          <w:b/>
        </w:rPr>
        <w:t xml:space="preserve">Ergebnis: </w:t>
      </w:r>
      <w:r>
        <w:t>GeriatrIMSS beruht auf vier Säulen: Prävention (PREVENIMSS), umfassende geriatrische Versorgung, Bildung und Forschung. Modell stärkt operative Kapazitäten, reorientiert Prozesse und Services für ältere Menschen, verbessert Versorgungsqualität und Zufriedenheit bei Nutzern und Angehörigen – positioniert Mexiko international an Vorderfront der Altenpflege.</w:t>
      </w:r>
    </w:p>
    <w:p>
      <w:r>
        <w:rPr>
          <w:b/>
          <w:sz w:val="19"/>
        </w:rPr>
        <w:t xml:space="preserve">Übertragbarkeit: </w:t>
      </w:r>
      <w:r>
        <w:rPr>
          <w:sz w:val="19"/>
        </w:rPr>
        <w:t>Mexiko, Sozialversicherungssystem nicht direkt vergleichbar – Strukturideen zu sektorenübergreifender Integration sind relevant</w:t>
      </w:r>
    </w:p>
    <w:p>
      <w:r>
        <w:rPr>
          <w:color w:val="5A7D3A"/>
          <w:sz w:val="18"/>
        </w:rPr>
        <w:t>https://pubmed.ncbi.nlm.nih.gov/42771824/</w:t>
      </w:r>
    </w:p>
    <w:p>
      <w:pPr>
        <w:pStyle w:val="Heading2"/>
      </w:pPr>
      <w:r>
        <w:t>Stärkenorientierte Geriatrische Assessments: Reserve statt nur Defizite dokumentieren</w:t>
      </w:r>
    </w:p>
    <w:p>
      <w:r>
        <w:rPr>
          <w:i/>
          <w:color w:val="666666"/>
          <w:sz w:val="18"/>
        </w:rPr>
        <w:t>Cooke J et al.  ·  Age Ageing  ·  04.09.2026  ·  PMID 42771779</w:t>
      </w:r>
    </w:p>
    <w:p>
      <w:r>
        <w:t>Konzeptionelle Analyse zur Geriatrischen Comprehensive Assessment (CGA) und Frailty-Modellen in der britischen Geriatrie, die Möglichkeit einer reserve-fokussierten Ergänzung zu defizitorientierten Assessments.</w:t>
      </w:r>
    </w:p>
    <w:p>
      <w:r>
        <w:rPr>
          <w:b/>
        </w:rPr>
        <w:t xml:space="preserve">Ergebnis: </w:t>
      </w:r>
      <w:r>
        <w:t>CGA dokumentiert vorwiegend Beeinträchtigungen, nicht Kapazität und Reserve. Diese Fokussierung auf Defizite prägt Patientenidentität negativ. Stärkenorientierte Ansätze können Prognostizierung verbessern, Interventionen personalisieren und Patientenagentur unterstützen – ohne Risikoaufmerksamkeit aufzugeben.</w:t>
      </w:r>
    </w:p>
    <w:p>
      <w:r>
        <w:rPr>
          <w:b/>
          <w:sz w:val="19"/>
        </w:rPr>
        <w:t xml:space="preserve">Übertragbarkeit: </w:t>
      </w:r>
      <w:r>
        <w:rPr>
          <w:sz w:val="19"/>
        </w:rPr>
        <w:t>Großbritannien, konzeptuell auf alle europäischen Systeme übertragbar</w:t>
      </w:r>
    </w:p>
    <w:p>
      <w:r>
        <w:rPr>
          <w:color w:val="5A7D3A"/>
          <w:sz w:val="18"/>
        </w:rPr>
        <w:t>https://pubmed.ncbi.nlm.nih.gov/42771779/</w:t>
      </w:r>
    </w:p>
    <w:p>
      <w:pPr>
        <w:pStyle w:val="Heading2"/>
      </w:pPr>
      <w:r>
        <w:t>Benzolexposition und Psychische Störungen: Biologisches Altern als Vermittler</w:t>
      </w:r>
    </w:p>
    <w:p>
      <w:r>
        <w:rPr>
          <w:i/>
          <w:color w:val="666666"/>
          <w:sz w:val="18"/>
        </w:rPr>
        <w:t>Wu Y et al.  ·  Ecotoxicol Environ Saf  ·  15.09.2026  ·  PMID 42705027</w:t>
      </w:r>
    </w:p>
    <w:p>
      <w:r>
        <w:t>UK-Biobank-Kohortenstudie an 410.207 Personen zur Assoziation zwischen langjähriger Benzolexposition und psychiatrischen Störungen, mit beschleunigtem Altern (PhenoAge) als potenzieller Mediator.</w:t>
      </w:r>
    </w:p>
    <w:p>
      <w:r>
        <w:rPr>
          <w:b/>
        </w:rPr>
        <w:t xml:space="preserve">Ergebnis: </w:t>
      </w:r>
      <w:r>
        <w:t>Über 14,8 Jahre Nachbeobachtung: 64.270 Personen entwickelten psychiatrische Störungen. Jede Interquartilbereichs-Steigerung Benzol assoziiert mit erhöhtem Risiko für jede psychiatrische Störung (HR 1,040, 95%-KI 1,028–1,053) und multiple psychiatrische Störungen (HR 1,062, 1,039–1,086). Beschleunigtes PhenoAge vermittelte 7,85% (95%-KI 5,57–11,12%) der Assoziation bei jeder psychiatrischen Störung, 17,26% (9,01–80,54%) bei multiplen Störungen.</w:t>
      </w:r>
    </w:p>
    <w:p>
      <w:r>
        <w:rPr>
          <w:b/>
          <w:sz w:val="19"/>
        </w:rPr>
        <w:t xml:space="preserve">Übertragbarkeit: </w:t>
      </w:r>
      <w:r>
        <w:rPr>
          <w:sz w:val="19"/>
        </w:rPr>
        <w:t>UK-Biobank, Umweltdatenverfügbarkeit und Versicherungssystem nicht direkt übertragbar – Expositions-Gesundheitsmechanismus ist relevant</w:t>
      </w:r>
    </w:p>
    <w:p>
      <w:r>
        <w:rPr>
          <w:color w:val="5A7D3A"/>
          <w:sz w:val="18"/>
        </w:rPr>
        <w:t>https://pubmed.ncbi.nlm.nih.gov/42705027/</w:t>
      </w:r>
    </w:p>
    <w:p>
      <w:pPr>
        <w:pStyle w:val="Heading2"/>
      </w:pPr>
      <w:r>
        <w:t>Mobilitätsverlust und Einsamkeit im Alter: Lebenslange Folgen trotz Erholung</w:t>
      </w:r>
    </w:p>
    <w:p>
      <w:r>
        <w:rPr>
          <w:i/>
          <w:color w:val="666666"/>
          <w:sz w:val="18"/>
        </w:rPr>
        <w:t>Augustsson E et al.  ·  J Gerontol B Psychol Sci Soc Sci  ·  04.09.2026  ·  PMID 42554850</w:t>
      </w:r>
    </w:p>
    <w:p>
      <w:r>
        <w:t>Europäische Längsschnitt-Kohortenstudie (SHARE) an 4.109 Personen ab 65 Jahren mit neu aufgetretenen Mobilitätseinschränkungen, wovon 2.018 innerhalb von 2 Jahren genasen, zum Verlauf von Einsamkeit bis 4 Jahre später.</w:t>
      </w:r>
    </w:p>
    <w:p>
      <w:r>
        <w:rPr>
          <w:b/>
        </w:rPr>
        <w:t xml:space="preserve">Ergebnis: </w:t>
      </w:r>
      <w:r>
        <w:t>Einsamkeit stieg nach Mobilitätsverlust an. Personen mit anhaltenden Einschränkungen zeigten Weiterzunahme; genesene Personen stabilisierten sich, kehrten aber nicht zu Vorniveaus zurück. Frühe Interventionen zur Begrenzung von Mobilitätseinschränkungen könnten nachfolgende Einsamkeit reduzieren.</w:t>
      </w:r>
    </w:p>
    <w:p>
      <w:r>
        <w:rPr>
          <w:b/>
          <w:sz w:val="19"/>
        </w:rPr>
        <w:t xml:space="preserve">Übertragbarkeit: </w:t>
      </w:r>
      <w:r>
        <w:rPr>
          <w:sz w:val="19"/>
        </w:rPr>
        <w:t>Schweden/SHARE-Daten, vergleichbare europäische Gesundheitssysteme</w:t>
      </w:r>
    </w:p>
    <w:p>
      <w:r>
        <w:rPr>
          <w:color w:val="5A7D3A"/>
          <w:sz w:val="18"/>
        </w:rPr>
        <w:t>https://pubmed.ncbi.nlm.nih.gov/42554850/</w:t>
      </w:r>
    </w:p>
    <w:p>
      <w:pPr>
        <w:pStyle w:val="Heading2"/>
      </w:pPr>
      <w:r>
        <w:t>Europäische Sozialversicherung unter Druck: Versorgungskapazität statt Finanzierung als Engpass</w:t>
      </w:r>
    </w:p>
    <w:p>
      <w:r>
        <w:rPr>
          <w:i/>
          <w:color w:val="666666"/>
          <w:sz w:val="18"/>
        </w:rPr>
        <w:t>Jones CH et al.  ·  Drug Discov Today  ·  20.07.2026  ·  PMID 42476293</w:t>
      </w:r>
    </w:p>
    <w:p>
      <w:r>
        <w:t>Perspektivartikel zu Herausforderungen der europäischen Sozialversicherung durch demografische Alterung, Multimorbidität und Polypharmazie, mit 24–36-Monats-Agenda für Systemreformen.</w:t>
      </w:r>
    </w:p>
    <w:p>
      <w:r>
        <w:rPr>
          <w:b/>
        </w:rPr>
        <w:t xml:space="preserve">Ergebnis: </w:t>
      </w:r>
      <w:r>
        <w:t>Längeres Leben führt zu Multimorbidität, Polypharmazie, Demenz, Mobilitätsverlust – Versorgungskapazität wird zum Engpass statt Finanzierbarkeit. Vier zentrale Reformmaßnahmen: (1) Professionalisierung der Langzeitpflegekräfte, (2) Apotheker-geführte Medikamentenüberprüfung, (3) Ausbau von Heim- und Übergangspflege, (4) integrierte Entlassungszusammenfassungen und Medikamentenlisten über Sektoren hinweg als Routine.</w:t>
      </w:r>
    </w:p>
    <w:p>
      <w:r>
        <w:rPr>
          <w:b/>
          <w:sz w:val="19"/>
        </w:rPr>
        <w:t xml:space="preserve">Übertragbarkeit: </w:t>
      </w:r>
      <w:r>
        <w:rPr>
          <w:sz w:val="19"/>
        </w:rPr>
        <w:t>Europa, konzeptuell auf deutsche Sozialversicherung direkt übertragbar</w:t>
      </w:r>
    </w:p>
    <w:p>
      <w:r>
        <w:rPr>
          <w:color w:val="5A7D3A"/>
          <w:sz w:val="18"/>
        </w:rPr>
        <w:t>https://pubmed.ncbi.nlm.nih.gov/42476293/</w:t>
      </w:r>
    </w:p>
    <w:p>
      <w:pPr>
        <w:pStyle w:val="Heading1"/>
      </w:pPr>
      <w:r>
        <w:t>Aufgenommen am 22.09.2026</w:t>
      </w:r>
    </w:p>
    <w:p>
      <w:pPr>
        <w:pStyle w:val="Heading2"/>
      </w:pPr>
      <w:r>
        <w:t>Instrumente zur Erfassung der intrinsic capacity im Alter: Scoping Review und Bewertung</w:t>
      </w:r>
    </w:p>
    <w:p>
      <w:r>
        <w:rPr>
          <w:i/>
          <w:color w:val="666666"/>
          <w:sz w:val="18"/>
        </w:rPr>
        <w:t>Henrotin Y et al.  ·  Age Ageing  ·  04.09.2026  ·  PMID 42765723</w:t>
      </w:r>
    </w:p>
    <w:p>
      <w:r>
        <w:t>Scoping Review identifizierte 61 validierte Instrumente zur Messung der intrinsic capacity (körperliche und mentale Fähigkeiten) älterer Erwachsener über fünf Domänen (kognitiv, kardiopulmonal, lokomotorerisch, psychisch, sensorisch).</w:t>
      </w:r>
    </w:p>
    <w:p>
      <w:r>
        <w:rPr>
          <w:b/>
        </w:rPr>
        <w:t xml:space="preserve">Ergebnis: </w:t>
      </w:r>
      <w:r>
        <w:t>Nur zwei Instrumente (GAD-7, EUROQOL-5D) erreichten maximale Expertenratings. Erhebliche Lücken bei der Erfassung sensorischer Fähigkeiten. Sehr wenige Instrumente waren für Erwachsene unter 60 Jahren geeignet. Heterogenität in Gültigkeit und Anwendbarkeit deutet auf Bedarf für entwicklung eines umfassenden, standardisierten Assessment-Tools hin.</w:t>
      </w:r>
    </w:p>
    <w:p>
      <w:r>
        <w:rPr>
          <w:b/>
          <w:sz w:val="19"/>
        </w:rPr>
        <w:t xml:space="preserve">Übertragbarkeit: </w:t>
      </w:r>
      <w:r>
        <w:rPr>
          <w:sz w:val="19"/>
        </w:rPr>
        <w:t>Europäische und nordamerikanische Kohorten; transferierbar auf deutschsprachige Versorgung</w:t>
      </w:r>
    </w:p>
    <w:p>
      <w:r>
        <w:rPr>
          <w:color w:val="5A7D3A"/>
          <w:sz w:val="18"/>
        </w:rPr>
        <w:t>https://pubmed.ncbi.nlm.nih.gov/42765723/</w:t>
      </w:r>
    </w:p>
    <w:p>
      <w:pPr>
        <w:pStyle w:val="Heading2"/>
      </w:pPr>
      <w:r>
        <w:t>Gefäßalterung: Funktionsmarker vorhersagen kardiovaskuläres Risiko unabhängig vom Alter</w:t>
      </w:r>
    </w:p>
    <w:p>
      <w:r>
        <w:rPr>
          <w:i/>
          <w:color w:val="666666"/>
          <w:sz w:val="18"/>
        </w:rPr>
        <w:t>Yang L et al.  ·  J Clin Hypertens (Greenwich)  ·  Sept. 2026  ·  PMID 42730543</w:t>
      </w:r>
    </w:p>
    <w:p>
      <w:r>
        <w:t>Querschnittsstudie an 3.354 chinesischen Erwachsenen (18–80 Jahre) untersuchte, ob Pulsdruckanalyse-Parameter (SEVR, Augmentationsdruck, Augmentationsindex) mit dem 10-Jahres-ASCVD-Risiko assoziiert sind.</w:t>
      </w:r>
    </w:p>
    <w:p>
      <w:r>
        <w:rPr>
          <w:b/>
        </w:rPr>
        <w:t xml:space="preserve">Ergebnis: </w:t>
      </w:r>
      <w:r>
        <w:t>SEVR, AP und Aix@75 korrelierten unabhängig mit geschätztem 10-Jahres-ASCVD-Risiko (alle p&lt;0,001). Das Modell erklärte zusätzliche Varianz über traditionelle Risikofaktoren hinaus. Funktionale hämodynamische Marker könnten Risikoschichtung in der Praxis verbessern.</w:t>
      </w:r>
    </w:p>
    <w:p>
      <w:r>
        <w:rPr>
          <w:b/>
          <w:sz w:val="19"/>
        </w:rPr>
        <w:t xml:space="preserve">Übertragbarkeit: </w:t>
      </w:r>
      <w:r>
        <w:rPr>
          <w:sz w:val="19"/>
        </w:rPr>
        <w:t>Chinesische Bevölkerungsdaten; Validierung in europäischen Kohorten notwendig vor Übernahme</w:t>
      </w:r>
    </w:p>
    <w:p>
      <w:r>
        <w:rPr>
          <w:color w:val="5A7D3A"/>
          <w:sz w:val="18"/>
        </w:rPr>
        <w:t>https://pubmed.ncbi.nlm.nih.gov/42730543/</w:t>
      </w:r>
    </w:p>
    <w:p>
      <w:pPr>
        <w:pStyle w:val="Heading2"/>
      </w:pPr>
      <w:r>
        <w:t>Regulierung kognitiver Kompetenz älterer Ärzte: Versorgungspolitische Analyse G7-Länder</w:t>
      </w:r>
    </w:p>
    <w:p>
      <w:r>
        <w:rPr>
          <w:i/>
          <w:color w:val="666666"/>
          <w:sz w:val="18"/>
        </w:rPr>
        <w:t>Potter M et al.  ·  JAMA Health Forum  ·  04.09.2026  ·  PMID 42726493</w:t>
      </w:r>
    </w:p>
    <w:p>
      <w:r>
        <w:t>Vergleichende Analyse von Regulierungsrichtlinien für altersbedingte kognitive Beeinträchtigung bei Ärzten in USA, Kanada und fünf anderen G7-Ländern.</w:t>
      </w:r>
    </w:p>
    <w:p>
      <w:r>
        <w:rPr>
          <w:b/>
        </w:rPr>
        <w:t xml:space="preserve">Ergebnis: </w:t>
      </w:r>
      <w:r>
        <w:t>Kein G7-Land hat standardisierte nationale Verfahren zur kognitiven Screening älterer Ärzte. Meisten Länder verlassen sich auf Selbstregulation und kollegiale Aufsicht. Ausnahmen in USA mit einzelnen Gesundheitssystemen mit obligatorischen altersabhängigen kognitiven Bewertungen. Im Kontrast: Richter, Piloten und Flugsicherung in allen G7-Ländern haben Altersgrenzen oder verpflichtende Tests. Keine empirischen Standards etabliert.</w:t>
      </w:r>
    </w:p>
    <w:p>
      <w:r>
        <w:rPr>
          <w:b/>
          <w:sz w:val="19"/>
        </w:rPr>
        <w:t xml:space="preserve">Übertragbarkeit: </w:t>
      </w:r>
      <w:r>
        <w:rPr>
          <w:sz w:val="19"/>
        </w:rPr>
        <w:t>Alle G7-Länder untersucht; direkt auf Deutschland übertragbar</w:t>
      </w:r>
    </w:p>
    <w:p>
      <w:r>
        <w:rPr>
          <w:color w:val="5A7D3A"/>
          <w:sz w:val="18"/>
        </w:rPr>
        <w:t>https://pubmed.ncbi.nlm.nih.gov/42726493/</w:t>
      </w:r>
    </w:p>
    <w:p>
      <w:pPr>
        <w:pStyle w:val="Heading2"/>
      </w:pPr>
      <w:r>
        <w:t>Blutdruckveränderungen in der Menopause: vergleichbare Muster zwischen Industrieländern und traditionellen Gesellschaften</w:t>
      </w:r>
    </w:p>
    <w:p>
      <w:r>
        <w:rPr>
          <w:i/>
          <w:color w:val="666666"/>
          <w:sz w:val="18"/>
        </w:rPr>
        <w:t>Getz MJ et al.  ·  Am J Biol Anthropol  ·  Juli 2026  ·  PMID 42482412</w:t>
      </w:r>
    </w:p>
    <w:p>
      <w:r>
        <w:t>Vergleich von Blutdrucktrends rund um die Menopause bei 5.570 Tsimane-Frauen (Bolivien) mit 6.861 US-Frauen aus NHANES.</w:t>
      </w:r>
    </w:p>
    <w:p>
      <w:r>
        <w:rPr>
          <w:b/>
        </w:rPr>
        <w:t xml:space="preserve">Ergebnis: </w:t>
      </w:r>
      <w:r>
        <w:t>Systolischer Blutdruck nach Menopause erhöht sich in beiden Populationen ähnlich (b=0,002, p&lt;0,001). Tsimane-Frauen zeigten schnelleren Anstieg mit Alter und weniger dramatischen diastolischen Rückgang. Östrogenkonzentrationen mediierten Effekte nicht. Blutdruckveränderungen in der Menopause sind trotz unterschiedlicher Risikoprofile universal.</w:t>
      </w:r>
    </w:p>
    <w:p>
      <w:r>
        <w:rPr>
          <w:b/>
          <w:sz w:val="19"/>
        </w:rPr>
        <w:t xml:space="preserve">Übertragbarkeit: </w:t>
      </w:r>
      <w:r>
        <w:rPr>
          <w:sz w:val="19"/>
        </w:rPr>
        <w:t>USA und Südamerika, aber universales biologisches Phänomen; epidemiologische Unterschiede relevant</w:t>
      </w:r>
    </w:p>
    <w:p>
      <w:r>
        <w:rPr>
          <w:color w:val="5A7D3A"/>
          <w:sz w:val="18"/>
        </w:rPr>
        <w:t>https://pubmed.ncbi.nlm.nih.gov/42482412/</w:t>
      </w:r>
    </w:p>
    <w:p>
      <w:pPr>
        <w:pStyle w:val="Heading2"/>
      </w:pPr>
      <w:r>
        <w:t>Auditorische Codierung mit Altern: Cochleäre Synaptopathie führt zu Diskriminationsverlust bei Hörstörung</w:t>
      </w:r>
    </w:p>
    <w:p>
      <w:r>
        <w:rPr>
          <w:i/>
          <w:color w:val="666666"/>
          <w:sz w:val="18"/>
        </w:rPr>
        <w:t>Wouters M et al.  ·  Hear Res  ·  18.07.2026  ·  PMID 42475780</w:t>
      </w:r>
    </w:p>
    <w:p>
      <w:r>
        <w:t>EEG-Studie an jüngeren und älteren Erwachsenen mit und ohne Hörstörung untersucht Phonem-Diskrimination und elektrophysiologische Marker der peripheren Codierung (Envelope-Following Responses).</w:t>
      </w:r>
    </w:p>
    <w:p>
      <w:r>
        <w:rPr>
          <w:b/>
        </w:rPr>
        <w:t xml:space="preserve">Ergebnis: </w:t>
      </w:r>
      <w:r>
        <w:t>RAM-EFR-Amplituden nahmen graduell mit Alter ab (konsistent mit Synaptopathie). Phonem-Kontrastdiskrimination verschlechterte sich bei hochfrequenter Codierung mit OHC-Verlust und Alter (p&lt;0,05), nicht aber bei niederfrequenter Codierung. EFR-Rückgang bei hochfrequenten Hinweisen ohne Wahrnehmungsverlust erklärt divergente Muster zwischen Elektrophysiologie und Verhalten. Frühere Diagnose versteckter Hörverluste möglich.</w:t>
      </w:r>
    </w:p>
    <w:p>
      <w:r>
        <w:rPr>
          <w:b/>
          <w:sz w:val="19"/>
        </w:rPr>
        <w:t xml:space="preserve">Übertragbarkeit: </w:t>
      </w:r>
      <w:r>
        <w:rPr>
          <w:sz w:val="19"/>
        </w:rPr>
        <w:t>Belgien und Deutschland; validierte psychophysiologische Methoden übertragbar</w:t>
      </w:r>
    </w:p>
    <w:p>
      <w:r>
        <w:rPr>
          <w:color w:val="5A7D3A"/>
          <w:sz w:val="18"/>
        </w:rPr>
        <w:t>https://pubmed.ncbi.nlm.nih.gov/42475780/</w:t>
      </w:r>
    </w:p>
    <w:p>
      <w:pPr>
        <w:pStyle w:val="Heading2"/>
      </w:pPr>
      <w:r>
        <w:t>Netzhautalterung: OCT-Biomarker zeigen oxidativen Stress in der Makula älterer Menschen</w:t>
      </w:r>
    </w:p>
    <w:p>
      <w:r>
        <w:rPr>
          <w:i/>
          <w:color w:val="666666"/>
          <w:sz w:val="18"/>
        </w:rPr>
        <w:t>Berkowitz BA et al.  ·  Invest Ophthalmol Vis Sci  ·  01.07.2026  ·  PMID 42474423</w:t>
      </w:r>
    </w:p>
    <w:p>
      <w:r>
        <w:t>Querschnittsstudie bei 25 jungen (20–30 Jahre) und 13 älteren (70–90 Jahre) Erwachsenen verglich OCT-basierte Metabolismus-Biomarker (ELM-RPE-Dicke, Band-2-Profilform) als Proxy für Retina-Alterung.</w:t>
      </w:r>
    </w:p>
    <w:p>
      <w:r>
        <w:rPr>
          <w:b/>
        </w:rPr>
        <w:t xml:space="preserve">Ergebnis: </w:t>
      </w:r>
      <w:r>
        <w:t>Ältere Erwachsene zeigten ELM-RPE-Kontraktion in Fovea und Parafovea (konsistent mit oxidativem Stress und verzögerter Dunkeladaptation aus vorherigen Studien). Band-2-Profilform unterschied sich nicht zwischen Altersgruppen. ELM-RPE-Kontraktion ist konsistent mit subretinalem oxidativen Stress und gestörter Retinoid-Signalisierung. Translationaler Ansatz OCT-Biomarker könnte nicht-invasive Überwachung der Netzhautalterung ermöglichen.</w:t>
      </w:r>
    </w:p>
    <w:p>
      <w:r>
        <w:rPr>
          <w:b/>
          <w:sz w:val="19"/>
        </w:rPr>
        <w:t xml:space="preserve">Übertragbarkeit: </w:t>
      </w:r>
      <w:r>
        <w:rPr>
          <w:sz w:val="19"/>
        </w:rPr>
        <w:t>USA; methodisch auf deutsche Augenkliniken übertragbar, aber klinische Validierung notwendig</w:t>
      </w:r>
    </w:p>
    <w:p>
      <w:r>
        <w:rPr>
          <w:color w:val="5A7D3A"/>
          <w:sz w:val="18"/>
        </w:rPr>
        <w:t>https://pubmed.ncbi.nlm.nih.gov/42474423/</w:t>
      </w:r>
    </w:p>
    <w:p>
      <w:pPr>
        <w:pStyle w:val="Heading1"/>
      </w:pPr>
      <w:r>
        <w:t>Aufgenommen am 21.09.2026</w:t>
      </w:r>
    </w:p>
    <w:p>
      <w:pPr>
        <w:pStyle w:val="Heading2"/>
      </w:pPr>
      <w:r>
        <w:t>Hörtechnik und Lebensqualität im höheren Alter nach Cochlea-Implantat</w:t>
      </w:r>
    </w:p>
    <w:p>
      <w:r>
        <w:rPr>
          <w:i/>
          <w:color w:val="666666"/>
          <w:sz w:val="18"/>
        </w:rPr>
        <w:t>Deniz H  ·  J Am Acad Audiol  ·  01.07.2026  ·  PMID 42763618</w:t>
      </w:r>
    </w:p>
    <w:p>
      <w:r>
        <w:t>Vergleichsstudie jüngerer (40–59 J.) und älterer (≥60 J.) Patienten mit Cochlea-Implantaten zu Hörtauglichkeit und Lebensqualität.</w:t>
      </w:r>
    </w:p>
    <w:p>
      <w:r>
        <w:rPr>
          <w:b/>
        </w:rPr>
        <w:t xml:space="preserve">Ergebnis: </w:t>
      </w:r>
      <w:r>
        <w:t>Ältere Patienten zeigten signifikant schlechtere Hörtests (p&lt;0,05) und niedrigere Werte in allen WHOQOL-BREF-Dimensionen (p&lt;0,05); keine Unterschiede in Depression (p=0,198). Depressionsebenen unterschieden sich nicht, was darauf hindeutet, dass psychische Anpassung dem Hörverlust voraus ist.</w:t>
      </w:r>
    </w:p>
    <w:p>
      <w:r>
        <w:rPr>
          <w:b/>
          <w:sz w:val="19"/>
        </w:rPr>
        <w:t xml:space="preserve">Übertragbarkeit: </w:t>
      </w:r>
      <w:r>
        <w:rPr>
          <w:sz w:val="19"/>
        </w:rPr>
        <w:t>Türkei – vergleichbares Audiologen-System, aber Implantationsrichtlinien können regional variieren; Versorgungsansatz übertragbar.</w:t>
      </w:r>
    </w:p>
    <w:p>
      <w:r>
        <w:rPr>
          <w:color w:val="5A7D3A"/>
          <w:sz w:val="18"/>
        </w:rPr>
        <w:t>https://pubmed.ncbi.nlm.nih.gov/42763618/</w:t>
      </w:r>
    </w:p>
    <w:p>
      <w:pPr>
        <w:pStyle w:val="Heading2"/>
      </w:pPr>
      <w:r>
        <w:t>Frailty bei Kindern mit chronischer Nierenerkrankung – Reversibilität als klinisches Fenster</w:t>
      </w:r>
    </w:p>
    <w:p>
      <w:r>
        <w:rPr>
          <w:i/>
          <w:color w:val="666666"/>
          <w:sz w:val="18"/>
        </w:rPr>
        <w:t>Chan EY et al.  ·  Kidney Int  ·  Okt. 2026  ·  PMID 42760017</w:t>
      </w:r>
    </w:p>
    <w:p>
      <w:r>
        <w:t>Kommentar zur Unterscheidung pädiatrischer Frailty von adulter Gebrechlichkeit und zum Potenzial, durch frühe Erkennung und multidisziplinäre Intervention die Entwicklung wiederherzustellen.</w:t>
      </w:r>
    </w:p>
    <w:p>
      <w:r>
        <w:rPr>
          <w:b/>
        </w:rPr>
        <w:t xml:space="preserve">Ergebnis: </w:t>
      </w:r>
      <w:r>
        <w:t>Im Gegensatz zu Erwachsenen kann Frailty bei Kindern mit chronischer Nierenerkrankung reversibel sein und sollte als Verlust von Entwicklungspotenzial statt Funktionsverlust verstanden werden. Frühe standardisierte Screening und Intervention können Wachstum und Resilienz wiederherstellen.</w:t>
      </w:r>
    </w:p>
    <w:p>
      <w:r>
        <w:rPr>
          <w:b/>
          <w:sz w:val="19"/>
        </w:rPr>
        <w:t xml:space="preserve">Übertragbarkeit: </w:t>
      </w:r>
      <w:r>
        <w:rPr>
          <w:sz w:val="19"/>
        </w:rPr>
        <w:t>Grundlegende Konzepte übertragbar; Altersadaptation notwendig – deutsche Pädiatrie und Nephrologie relevant.</w:t>
      </w:r>
    </w:p>
    <w:p>
      <w:r>
        <w:rPr>
          <w:color w:val="5A7D3A"/>
          <w:sz w:val="18"/>
        </w:rPr>
        <w:t>https://pubmed.ncbi.nlm.nih.gov/42760017/</w:t>
      </w:r>
    </w:p>
    <w:p>
      <w:pPr>
        <w:pStyle w:val="Heading2"/>
      </w:pPr>
      <w:r>
        <w:t>Selbstmitgefühl und Selbstwirksamkeit als Prädiktoren für Gesundheitsverhalten und Lebensqualität im Alter</w:t>
      </w:r>
    </w:p>
    <w:p>
      <w:r>
        <w:rPr>
          <w:i/>
          <w:color w:val="666666"/>
          <w:sz w:val="18"/>
        </w:rPr>
        <w:t>Alaca N et al.  ·  PLoS One  ·  16.09.2026  ·  PMID 42748085</w:t>
      </w:r>
    </w:p>
    <w:p>
      <w:r>
        <w:t>Querschnittstudie an 179 älteren Türken (≥65 J.) zu Assoziationen von Selbstmitgefühl, Selbstwirksamkeit mit Schmerz, Bewegungsachtsamkeit, Gesundheitsverhalten und Lebensqualität.</w:t>
      </w:r>
    </w:p>
    <w:p>
      <w:r>
        <w:rPr>
          <w:b/>
        </w:rPr>
        <w:t xml:space="preserve">Ergebnis: </w:t>
      </w:r>
      <w:r>
        <w:t>Selbstwirksamkeit sagte konsistent über alle Ergebnisse voraus: Im finalen Modell für Lebensqualität (R²=0,614) waren Selbstwirksamkeit (β=0,340), Schmerz (β=−0,346), Gesundheitsverantwortung (β=0,328) signifikant. Selbstmitgefühl war stärkster Prädiktor für Ernährung (β=0,436), Bewegungsachtsamkeit für Stressabbau (β=0,300).</w:t>
      </w:r>
    </w:p>
    <w:p>
      <w:r>
        <w:rPr>
          <w:b/>
          <w:sz w:val="19"/>
        </w:rPr>
        <w:t xml:space="preserve">Übertragbarkeit: </w:t>
      </w:r>
      <w:r>
        <w:rPr>
          <w:sz w:val="19"/>
        </w:rPr>
        <w:t>Türkei – Kultur und Versorgungsstruktur unterscheiden sich von Deutschland; psychosoziale Faktoren sind universell.</w:t>
      </w:r>
    </w:p>
    <w:p>
      <w:r>
        <w:rPr>
          <w:color w:val="5A7D3A"/>
          <w:sz w:val="18"/>
        </w:rPr>
        <w:t>https://pubmed.ncbi.nlm.nih.gov/42748085/</w:t>
      </w:r>
    </w:p>
    <w:p>
      <w:pPr>
        <w:pStyle w:val="Heading2"/>
      </w:pPr>
      <w:r>
        <w:t>Frailty-Dynamik und Herzinfarktrisiko bei älteren Diabetikern</w:t>
      </w:r>
    </w:p>
    <w:p>
      <w:r>
        <w:rPr>
          <w:i/>
          <w:color w:val="666666"/>
          <w:sz w:val="18"/>
        </w:rPr>
        <w:t>Li Y et al.  ·  Zhonghua Yu Fang Yi Xue Za Zhi  ·  06.09.2026  ·  PMID 42736150</w:t>
      </w:r>
    </w:p>
    <w:p>
      <w:r>
        <w:t>Zwei-Kohorten-Studie (China, England) zur Assoziation von Frailty-Übergängen mit kardiovaskulärem Risiko bei älteren Menschen mit Diabetes.</w:t>
      </w:r>
    </w:p>
    <w:p>
      <w:r>
        <w:rPr>
          <w:b/>
        </w:rPr>
        <w:t xml:space="preserve">Ergebnis: </w:t>
      </w:r>
      <w:r>
        <w:t>Im Vergleich zur Gruppe "robust→robust" zeigten "präfrail→frail" (HR 2,04; 95%CI 1,66–2,51) und "frail→frail" (HR 2,03; 95%CI 1,63–2,53) signifikant erhöhte Herzinfarktrisiken (p&lt;0,001). Assoziationen blieben unter Konkurrenzrisiko-Modellen robust. Frailty-Verschlechterung war unabhängig von Altersgruppe prädiktiv.</w:t>
      </w:r>
    </w:p>
    <w:p>
      <w:r>
        <w:rPr>
          <w:b/>
          <w:sz w:val="19"/>
        </w:rPr>
        <w:t xml:space="preserve">Übertragbarkeit: </w:t>
      </w:r>
      <w:r>
        <w:rPr>
          <w:sz w:val="19"/>
        </w:rPr>
        <w:t>Zwei-Länder-Meta-Analyse (China, UK), aber Diabetes-Prävalenz und Management unterscheiden sich; Frailty-Messung ist system-übertragbar.</w:t>
      </w:r>
    </w:p>
    <w:p>
      <w:r>
        <w:rPr>
          <w:color w:val="5A7D3A"/>
          <w:sz w:val="18"/>
        </w:rPr>
        <w:t>https://pubmed.ncbi.nlm.nih.gov/42736150/</w:t>
      </w:r>
    </w:p>
    <w:p>
      <w:pPr>
        <w:pStyle w:val="Heading2"/>
      </w:pPr>
      <w:r>
        <w:t>Immunseneszenz modifiziert strahleninduzierte Antitumorimmunität im älteren Alter</w:t>
      </w:r>
    </w:p>
    <w:p>
      <w:r>
        <w:rPr>
          <w:i/>
          <w:color w:val="666666"/>
          <w:sz w:val="18"/>
        </w:rPr>
        <w:t>Arnold CR et al.  ·  Front Immunol  ·  10.07.2026  ·  PMID 42500670</w:t>
      </w:r>
    </w:p>
    <w:p>
      <w:r>
        <w:t>Narrative Übersicht zur Rolle von Immunseneszenz bei der Abschwächung strahleninduzierter Anti-Tumor-Effekte im höheren Alter.</w:t>
      </w:r>
    </w:p>
    <w:p>
      <w:r>
        <w:rPr>
          <w:b/>
        </w:rPr>
        <w:t xml:space="preserve">Ergebnis: </w:t>
      </w:r>
      <w:r>
        <w:t>Immunseneszenz – charakterisiert durch reduzierte T-Zell-Responsivität, chronische Entzündung und schlechtere Koordination zwischen Immuneffektoren – vermindert wahrscheinlich die Anti-Tumor-Potenz der Strahlentherapie bei älteren Patienten. Die Autoren betonen, dass Biomarker der Immunseneszenz in die Therapieplanung integriert werden sollten.</w:t>
      </w:r>
    </w:p>
    <w:p>
      <w:r>
        <w:rPr>
          <w:b/>
          <w:sz w:val="19"/>
        </w:rPr>
        <w:t xml:space="preserve">Übertragbarkeit: </w:t>
      </w:r>
      <w:r>
        <w:rPr>
          <w:sz w:val="19"/>
        </w:rPr>
        <w:t>Europäische Perspektive (Austria, Germany); Immunseneszenz ist universell, aber Therapiezugang variiert mit Gesundheitssystem.</w:t>
      </w:r>
    </w:p>
    <w:p>
      <w:r>
        <w:rPr>
          <w:color w:val="5A7D3A"/>
          <w:sz w:val="18"/>
        </w:rPr>
        <w:t>https://pubmed.ncbi.nlm.nih.gov/42500670/</w:t>
      </w:r>
    </w:p>
    <w:p>
      <w:pPr>
        <w:pStyle w:val="Heading2"/>
      </w:pPr>
      <w:r>
        <w:t>Wachstumsmindset und Ausdauer als psychologische Ressourcen im Alter – soziale Muster in England</w:t>
      </w:r>
    </w:p>
    <w:p>
      <w:r>
        <w:rPr>
          <w:i/>
          <w:color w:val="666666"/>
          <w:sz w:val="18"/>
        </w:rPr>
        <w:t>Zaninotto P et al.  ·  J Gerontol B Psychol Sci Soc Sci  ·  04.09.2026  ·  PMID 42438156</w:t>
      </w:r>
    </w:p>
    <w:p>
      <w:r>
        <w:t>Analyse von Proxy-Indikatoren für Wachstumsmindset und Ausdauer (Grit) in der English Longitudinal Study of Ageing (n≥6000) zu Verteilung nach Alter, Sozioökonomie und Gesundheit.</w:t>
      </w:r>
    </w:p>
    <w:p>
      <w:r>
        <w:rPr>
          <w:b/>
        </w:rPr>
        <w:t xml:space="preserve">Ergebnis: </w:t>
      </w:r>
      <w:r>
        <w:t>Älteres Alter war mit niedrigerem Wachstumsmindset assoziiert, besonders in Bildungs- und Überzeugungsdomänen. Höhere Bildung, Beschäftigung und Vermögen waren mit günstigeren Profilen assoziiert. Einsamkeit und chronische Krankheit waren konsistent mit ungünstigeren Profilen verbunden; die Effekte waren domänenspezifisch, nicht universal.</w:t>
      </w:r>
    </w:p>
    <w:p>
      <w:r>
        <w:rPr>
          <w:b/>
          <w:sz w:val="19"/>
        </w:rPr>
        <w:t xml:space="preserve">Übertragbarkeit: </w:t>
      </w:r>
      <w:r>
        <w:rPr>
          <w:sz w:val="19"/>
        </w:rPr>
        <w:t>England – englischsprachige Gesellschaft, aber Sozialstruktur und Sicherungssystem unterscheiden; psychologische Konstrukte sind übertragbar.</w:t>
      </w:r>
    </w:p>
    <w:p>
      <w:r>
        <w:rPr>
          <w:color w:val="5A7D3A"/>
          <w:sz w:val="18"/>
        </w:rPr>
        <w:t>https://pubmed.ncbi.nlm.nih.gov/42438156/</w:t>
      </w:r>
    </w:p>
    <w:p>
      <w:pPr>
        <w:pStyle w:val="Heading2"/>
      </w:pPr>
      <w:r>
        <w:t>Xanthophyll-Carotenoid-Aufnahme und Netzhautgesundheit im Alter und Makuladegeneration</w:t>
      </w:r>
    </w:p>
    <w:p>
      <w:r>
        <w:rPr>
          <w:i/>
          <w:color w:val="666666"/>
          <w:sz w:val="18"/>
        </w:rPr>
        <w:t>Curcio CA et al.  ·  Invest Ophthalmol Vis Sci  ·  01.07.2026  ·  PMID 42411867</w:t>
      </w:r>
    </w:p>
    <w:p>
      <w:r>
        <w:t>Querschnittstudie an 369 Personen (≥63 J.) zur Assoziation von Lutein- und Zeaxanthin-Aufnahme (Diät + Supplemente), Plasmaspiegel und retinaler Pigmentdichte mit Alter und altersbedingter Makuladegeneration.</w:t>
      </w:r>
    </w:p>
    <w:p>
      <w:r>
        <w:rPr>
          <w:b/>
        </w:rPr>
        <w:t xml:space="preserve">Ergebnis: </w:t>
      </w:r>
      <w:r>
        <w:t>Zwischen Plasmaspiegel und macularem Pigment-Optischem-Volumen (MPOV) zeigten sich starke Korrelationen (r=0,41–0,67, p&lt;0,01). Patienten mit intermediärer AMD hatten höhere Supplementnutzung (56% vs. 10%), höhere Gesamtaufnahme (11,0±8,3 vs. 5,3±6,4 mg/d, p&lt;0,01) und MPOV (1,33±0,61 vs. 1,04±0,46). Diätaufnahme unterschied sich nicht zwischen Gruppen.</w:t>
      </w:r>
    </w:p>
    <w:p>
      <w:r>
        <w:rPr>
          <w:b/>
          <w:sz w:val="19"/>
        </w:rPr>
        <w:t xml:space="preserve">Übertragbarkeit: </w:t>
      </w:r>
      <w:r>
        <w:rPr>
          <w:sz w:val="19"/>
        </w:rPr>
        <w:t>USA – Nahrungsverfügbarkeit und Supplementierungskultur unterscheiden; aber Optik und Physiologie sind universal.</w:t>
      </w:r>
    </w:p>
    <w:p>
      <w:r>
        <w:rPr>
          <w:color w:val="5A7D3A"/>
          <w:sz w:val="18"/>
        </w:rPr>
        <w:t>https://pubmed.ncbi.nlm.nih.gov/42411867/</w:t>
      </w:r>
    </w:p>
    <w:p>
      <w:pPr>
        <w:pStyle w:val="Heading1"/>
      </w:pPr>
      <w:r>
        <w:t>Aufgenommen am 20.09.2026</w:t>
      </w:r>
    </w:p>
    <w:p>
      <w:pPr>
        <w:pStyle w:val="Heading2"/>
      </w:pPr>
      <w:r>
        <w:t>Exergaming mit Widerstandstraining verbessert Selbstwirksamkeit und Aktivität bei kognitiver Gebrechlichkeit</w:t>
      </w:r>
    </w:p>
    <w:p>
      <w:r>
        <w:rPr>
          <w:i/>
          <w:color w:val="666666"/>
          <w:sz w:val="18"/>
        </w:rPr>
        <w:t>Ning H et al.  ·  Zhong Nan Da Xue Xue Bao Yi Xue Ban  ·  28.07.2026  ·  PMID 42763302</w:t>
      </w:r>
    </w:p>
    <w:p>
      <w:r>
        <w:t>Randomisierte Studie zu 12-wöchigem Exergaming mit Elastikband-Training bei 79 älteren Erwachsenen mit kognitiver Frailty zur Verbesserung von Selbstwirksamkeit und körperlicher Aktivität.</w:t>
      </w:r>
    </w:p>
    <w:p>
      <w:r>
        <w:rPr>
          <w:b/>
        </w:rPr>
        <w:t xml:space="preserve">Ergebnis: </w:t>
      </w:r>
      <w:r>
        <w:t>Interventionsgruppe zeigte signifikant höhere Verbesserungen bei IPAQ-SF-Scores (MD=586,1 MET-min/Woche, 95%-KI 454,5–717,7) und Selbsteffektivität (MD=3,3, 95%-KI 2,4–4,2) vs. Kontrolle (beide p&lt;0,001). Trainingsadhärenz 86,5%. Qualitative Analyse identifizierte erhöhte Trainierbarkeit, positive Gesundheitswahrnehmung und verbesserte Sozialinteraktion.</w:t>
      </w:r>
    </w:p>
    <w:p>
      <w:r>
        <w:rPr>
          <w:b/>
          <w:sz w:val="19"/>
        </w:rPr>
        <w:t xml:space="preserve">Übertragbarkeit: </w:t>
      </w:r>
      <w:r>
        <w:rPr>
          <w:sz w:val="19"/>
        </w:rPr>
        <w:t>Chinesische Primar- und sekundäre Datenquellen; Design auf deutschsprachigen Kontext übertragbar.</w:t>
      </w:r>
    </w:p>
    <w:p>
      <w:r>
        <w:rPr>
          <w:color w:val="5A7D3A"/>
          <w:sz w:val="18"/>
        </w:rPr>
        <w:t>https://pubmed.ncbi.nlm.nih.gov/42763302/</w:t>
      </w:r>
    </w:p>
    <w:p>
      <w:pPr>
        <w:pStyle w:val="Heading2"/>
      </w:pPr>
      <w:r>
        <w:t>Luftfeuchte, Frailty und Schlaganfallrisiko im Alter: 7-Jahres-Kohortenstudie China</w:t>
      </w:r>
    </w:p>
    <w:p>
      <w:r>
        <w:rPr>
          <w:i/>
          <w:color w:val="666666"/>
          <w:sz w:val="18"/>
        </w:rPr>
        <w:t>Zhou Y et al.  ·  Zhong Nan Da Xue Xue Bao Yi Xue Ban  ·  28.07.2026  ·  PMID 42763297</w:t>
      </w:r>
    </w:p>
    <w:p>
      <w:r>
        <w:t>Prospektive Kohortenstudie (CHARLS) mit 19.582 chinesischen Älteren zum Zusammenhang zwischen Umgebungsfeuchte und Schlaganfallrisiko mit Frailty als Mediator.</w:t>
      </w:r>
    </w:p>
    <w:p>
      <w:r>
        <w:rPr>
          <w:b/>
        </w:rPr>
        <w:t xml:space="preserve">Ergebnis: </w:t>
      </w:r>
      <w:r>
        <w:t>Gegenüber niedriger Feuchte: mittlere Feuchte HR=1,119 (95%-KI 1,033–1,213), hohe Feuchte HR=1,279 (95%-KI 1,227–1,331) für neuen Schlaganfall (beide p&lt;0,01). Bei Männern ausgeprägter (hohe Feuchte: HR=1,352, 95%-KI 1,268–1,442). Frailty vermittelte 22,0% der Assoziation. Mediane Nachbeobachtung 7 Jahre, 1.235 Schlaganfälle (6,31%).</w:t>
      </w:r>
    </w:p>
    <w:p>
      <w:r>
        <w:rPr>
          <w:b/>
          <w:sz w:val="19"/>
        </w:rPr>
        <w:t xml:space="preserve">Übertragbarkeit: </w:t>
      </w:r>
      <w:r>
        <w:rPr>
          <w:sz w:val="19"/>
        </w:rPr>
        <w:t>CHARLS-Langzeitdaten aus China; Umwelt-Gebrechlichkeits-Pathomechanismus übertragbar.</w:t>
      </w:r>
    </w:p>
    <w:p>
      <w:r>
        <w:rPr>
          <w:color w:val="5A7D3A"/>
          <w:sz w:val="18"/>
        </w:rPr>
        <w:t>https://pubmed.ncbi.nlm.nih.gov/42763297/</w:t>
      </w:r>
    </w:p>
    <w:p>
      <w:pPr>
        <w:pStyle w:val="Heading2"/>
      </w:pPr>
      <w:r>
        <w:t>Fragmentierte Sedentarität und kardiovaskuläre Sterblichkeit: Gewonnene Lebensjahre durch Bewegungspausen</w:t>
      </w:r>
    </w:p>
    <w:p>
      <w:r>
        <w:rPr>
          <w:i/>
          <w:color w:val="666666"/>
          <w:sz w:val="18"/>
        </w:rPr>
        <w:t>Xing T et al.  ·  Zhong Nan Da Xue Xue Bao Yi Xue Ban  ·  28.07.2026  ·  PMID 42763296</w:t>
      </w:r>
    </w:p>
    <w:p>
      <w:r>
        <w:t>Prospektive Kohorte mit 89.010 UK-Biobank-Teilnehmern zum Zusammenhang zwischen Sedentärdauer/-fragmentierung und Sterblichkeit sowie Lebenserwartung.</w:t>
      </w:r>
    </w:p>
    <w:p>
      <w:r>
        <w:rPr>
          <w:b/>
        </w:rPr>
        <w:t xml:space="preserve">Ergebnis: </w:t>
      </w:r>
      <w:r>
        <w:t>Gegenüber geringster Sedentarität: ≥10 h/Tag Sitzen + wenig Pausen (Breaks &lt;12/Tag) mit HR=1,515 (95%-KI 1,380–1,663) für Gesamtsterblichkeit und HR=1,553 (95%-KI 1,325–1,820) für kardiovaskuläre Mortalität. Häufige Sitzpausen reduzierten Sterblichkeitsrisiko. Lebenserwartungsverlust im Alter 50: -2,77 Jahre (Männer, 95%-KI -3,39 bis -2,15) und -3,11 Jahre (Frauen, 95%-KI -3,79 bis -2,43) an kardiovaskulär-freien Jahren.</w:t>
      </w:r>
    </w:p>
    <w:p>
      <w:r>
        <w:rPr>
          <w:b/>
          <w:sz w:val="19"/>
        </w:rPr>
        <w:t xml:space="preserve">Übertragbarkeit: </w:t>
      </w:r>
      <w:r>
        <w:rPr>
          <w:sz w:val="19"/>
        </w:rPr>
        <w:t>UK-Daten mit wearables gemessen; Befund zur Bewegungsunterbrechung international anwendbar.</w:t>
      </w:r>
    </w:p>
    <w:p>
      <w:r>
        <w:rPr>
          <w:color w:val="5A7D3A"/>
          <w:sz w:val="18"/>
        </w:rPr>
        <w:t>https://pubmed.ncbi.nlm.nih.gov/42763296/</w:t>
      </w:r>
    </w:p>
    <w:p>
      <w:pPr>
        <w:pStyle w:val="Heading2"/>
      </w:pPr>
      <w:r>
        <w:t>Feinstaub und Frailty: PM₂,₅-Komponenten erhöhen Gebrechlichkeitsrisiko im Alter</w:t>
      </w:r>
    </w:p>
    <w:p>
      <w:r>
        <w:rPr>
          <w:i/>
          <w:color w:val="666666"/>
          <w:sz w:val="18"/>
        </w:rPr>
        <w:t>Liu Q et al.  ·  Zhonghua Liu Xing Bing Xue Za Zhi  ·  10.09.2026  ·  PMID 42763185</w:t>
      </w:r>
    </w:p>
    <w:p>
      <w:r>
        <w:t>Querschnittsstudie mit 1.875 älteren Personen in der Jing-Jin-Ji-Region zum Zusammenhang zwischen PM₂,₅-Exposition und Frailty-Index.</w:t>
      </w:r>
    </w:p>
    <w:p>
      <w:r>
        <w:rPr>
          <w:b/>
        </w:rPr>
        <w:t xml:space="preserve">Ergebnis: </w:t>
      </w:r>
      <w:r>
        <w:t>PM₂,₅ bei 90-Tage-Mittelung (lag090 d) assoziiert mit erhöhtem Frailty-Risiko: +1,30% pro IQR-Anstieg (95%-KI 0,29–2,31). Organische Kohlenstoffe (OC): +3,63% (95%-KI 1,17–6,09%), Elementares Kohlenstoff: +0,83% (95%-KI 0,45–1,21%), Kupfer: +1,50% (95%-KI 0,76–2,24%) pro IQR-Anstieg. Keine signifikanten Unterschiede nach Geschlecht, Alter oder Lebensstil.</w:t>
      </w:r>
    </w:p>
    <w:p>
      <w:r>
        <w:rPr>
          <w:b/>
          <w:sz w:val="19"/>
        </w:rPr>
        <w:t xml:space="preserve">Übertragbarkeit: </w:t>
      </w:r>
      <w:r>
        <w:rPr>
          <w:sz w:val="19"/>
        </w:rPr>
        <w:t>Chinesische Luftqualitätsdaten; Umweltbelastung-Gebrechlichkeits-Zusammenhang universal relevant.</w:t>
      </w:r>
    </w:p>
    <w:p>
      <w:r>
        <w:rPr>
          <w:color w:val="5A7D3A"/>
          <w:sz w:val="18"/>
        </w:rPr>
        <w:t>https://pubmed.ncbi.nlm.nih.gov/42763185/</w:t>
      </w:r>
    </w:p>
    <w:p>
      <w:pPr>
        <w:pStyle w:val="Heading2"/>
      </w:pPr>
      <w:r>
        <w:t>Ernährungsqualität und biologisches Alter: Zentrale Adiposität als Vermittler</w:t>
      </w:r>
    </w:p>
    <w:p>
      <w:r>
        <w:rPr>
          <w:i/>
          <w:color w:val="666666"/>
          <w:sz w:val="18"/>
        </w:rPr>
        <w:t>Qian Y  ·  Medicine (Baltimore)  ·  18.09.2026  ·  PMID 42760668</w:t>
      </w:r>
    </w:p>
    <w:p>
      <w:r>
        <w:t>Querschnittsstudie mit 12.511 US-Erwachsenen (≥20 Jahre) aus NHANES 2005–2010 zur Assoziation zwischen Ernährungsqualität und phänotypischer Altersbeschleunigung.</w:t>
      </w:r>
    </w:p>
    <w:p>
      <w:r>
        <w:rPr>
          <w:b/>
        </w:rPr>
        <w:t xml:space="preserve">Ergebnis: </w:t>
      </w:r>
      <w:r>
        <w:t>Pro 1-Punkt-Anstieg Healthy-Eating-Index-2015: OR=0,98 (95%-KI 0,97–0,98, p&lt;0,001) für beschleunigtes biologisches Altern. Waist-to-Height Ratio (WHtR) und Body Roundness Index (BRI) zeigten größte Mediationseffekte (29,23% bzw. 28,90%). Sensitivitätsanalysen bestätigten Robustheit.</w:t>
      </w:r>
    </w:p>
    <w:p>
      <w:r>
        <w:rPr>
          <w:b/>
          <w:sz w:val="19"/>
        </w:rPr>
        <w:t xml:space="preserve">Übertragbarkeit: </w:t>
      </w:r>
      <w:r>
        <w:rPr>
          <w:sz w:val="19"/>
        </w:rPr>
        <w:t>NHANES-Daten USA; Ernährungs-Adipositas-Alterungsweg prinzipiell universal.</w:t>
      </w:r>
    </w:p>
    <w:p>
      <w:r>
        <w:rPr>
          <w:color w:val="5A7D3A"/>
          <w:sz w:val="18"/>
        </w:rPr>
        <w:t>https://pubmed.ncbi.nlm.nih.gov/42760668/</w:t>
      </w:r>
    </w:p>
    <w:p>
      <w:pPr>
        <w:pStyle w:val="Heading2"/>
      </w:pPr>
      <w:r>
        <w:t>Risikofaktoren für Frailty bei älteren Krebspatienten: Systematische Übersicht</w:t>
      </w:r>
    </w:p>
    <w:p>
      <w:r>
        <w:rPr>
          <w:i/>
          <w:color w:val="666666"/>
          <w:sz w:val="18"/>
        </w:rPr>
        <w:t>Shubing F et al.  ·  BMC Geriatr  ·  18.09.2026  ·  PMID 42760535</w:t>
      </w:r>
    </w:p>
    <w:p>
      <w:r>
        <w:t>Systematische Übersicht von 30 Studien (2014–2025) zu Determinanten von Frailty bei älteren Krebspatienten, davon 26 Querschnitts- und 4 prospektive Kohortenstudien.</w:t>
      </w:r>
    </w:p>
    <w:p>
      <w:r>
        <w:rPr>
          <w:b/>
        </w:rPr>
        <w:t xml:space="preserve">Ergebnis: </w:t>
      </w:r>
      <w:r>
        <w:t>Risikofaktoren in 6 Kategorien identifiziert: krankheitsbezogen (Krebsart, fortgeschrittenes Stadium), physiologisch (Mangelernährung, Muskelabbau), psychologisch (Depression, kognitiver Verfall), Lebensstil (Bewegungsmangel), soziodemografisch (Isolation), therapiebedingt (Chemotherapie-Toxizität). Prospektive Evidenz limitiert (n=4 Studien); gefordert: stratifizierte Screening- und Interventionsstrategien.</w:t>
      </w:r>
    </w:p>
    <w:p>
      <w:r>
        <w:rPr>
          <w:b/>
          <w:sz w:val="19"/>
        </w:rPr>
        <w:t xml:space="preserve">Übertragbarkeit: </w:t>
      </w:r>
      <w:r>
        <w:rPr>
          <w:sz w:val="19"/>
        </w:rPr>
        <w:t>Überwiegend Hocheinkommensländer; Frailty-Krebsinteraktion im älteren Alter universell.</w:t>
      </w:r>
    </w:p>
    <w:p>
      <w:r>
        <w:rPr>
          <w:color w:val="5A7D3A"/>
          <w:sz w:val="18"/>
        </w:rPr>
        <w:t>https://pubmed.ncbi.nlm.nih.gov/42760535/</w:t>
      </w:r>
    </w:p>
    <w:p>
      <w:pPr>
        <w:pStyle w:val="Heading2"/>
      </w:pPr>
      <w:r>
        <w:t>Mesenchymale Stammzelltherapie bei Frailty: Systematische Übersicht mit Fokus auf Sicherheit und Mobilität</w:t>
      </w:r>
    </w:p>
    <w:p>
      <w:r>
        <w:rPr>
          <w:i/>
          <w:color w:val="666666"/>
          <w:sz w:val="18"/>
        </w:rPr>
        <w:t>Poutouri E et al.  ·  Int J Mol Sci  ·  25.08.2026  ·  PMID 42737497</w:t>
      </w:r>
    </w:p>
    <w:p>
      <w:r>
        <w:t>Systematische Übersicht von 3 randomisierten Studien (208 Teilnehmer, älter mit Frailty) zu Sicherheit und Wirksamkeit der intravenösen Stammzelltherapie auf funktionale Ergebnisse.</w:t>
      </w:r>
    </w:p>
    <w:p>
      <w:r>
        <w:rPr>
          <w:b/>
        </w:rPr>
        <w:t xml:space="preserve">Ergebnis: </w:t>
      </w:r>
      <w:r>
        <w:t>Keine schwerwiegenden behandlungsbezogenen Nebenwirkungen berichtet. Signale für Verbesserung: 6-Minuten-Gehtest nach 9 Monaten dosisabhängig erhöht; SPPB-, TUG- und Griffkraft-Verbesserungen in einzelnen Studien. Zirkulating pro-inflammatorische Zytokine reduziert, Lebensqualität verbessert. Heterogenität Stammzellquelle, Dosis und Follow-up; größere adequat-gepowerte Studien erforderlich.</w:t>
      </w:r>
    </w:p>
    <w:p>
      <w:r>
        <w:rPr>
          <w:b/>
          <w:sz w:val="19"/>
        </w:rPr>
        <w:t xml:space="preserve">Übertragbarkeit: </w:t>
      </w:r>
      <w:r>
        <w:rPr>
          <w:sz w:val="19"/>
        </w:rPr>
        <w:t>Vereinigte Staaten und Schweiz; Stammzelltherapie-Sicherheitsdaten relevant für prospektive europäische Studien.</w:t>
      </w:r>
    </w:p>
    <w:p>
      <w:r>
        <w:rPr>
          <w:color w:val="5A7D3A"/>
          <w:sz w:val="18"/>
        </w:rPr>
        <w:t>https://pubmed.ncbi.nlm.nih.gov/42737497/</w:t>
      </w:r>
    </w:p>
    <w:p>
      <w:pPr>
        <w:pStyle w:val="Heading1"/>
      </w:pPr>
      <w:r>
        <w:t>Aufgenommen am 19.09.2026</w:t>
      </w:r>
    </w:p>
    <w:p>
      <w:pPr>
        <w:pStyle w:val="Heading2"/>
      </w:pPr>
      <w:r>
        <w:t>Geriatrisches Assessment bei chronischer Nierenkrankheit und Frailty</w:t>
      </w:r>
    </w:p>
    <w:p>
      <w:r>
        <w:rPr>
          <w:i/>
          <w:color w:val="666666"/>
          <w:sz w:val="18"/>
        </w:rPr>
        <w:t>Nixon AC  ·  Kidney Int  ·  Okt. 2026  ·  PMID 42760022</w:t>
      </w:r>
    </w:p>
    <w:p>
      <w:r>
        <w:t>Kommentararbeit zur GOAL-Studie, die überprüfte, ob eine einzige geriatrische Konsultation ältere Patienten mit chronischer Nierenkrankheit und Frailty in ihren Behandlungszielen hilft.</w:t>
      </w:r>
    </w:p>
    <w:p>
      <w:r>
        <w:rPr>
          <w:b/>
        </w:rPr>
        <w:t xml:space="preserve">Ergebnis: </w:t>
      </w:r>
      <w:r>
        <w:t>Die Studie fand keine signifikante Verbesserung der Zielerreichung durch ein Konsultationsmodell. Personenzentrierte Versorgungsmodelle außerhalb von Einzelterminen und fortlaufende Neubewertung erfordern weitere Evaluierung.</w:t>
      </w:r>
    </w:p>
    <w:p>
      <w:r>
        <w:rPr>
          <w:b/>
          <w:sz w:val="19"/>
        </w:rPr>
        <w:t xml:space="preserve">Übertragbarkeit: </w:t>
      </w:r>
      <w:r>
        <w:rPr>
          <w:sz w:val="19"/>
        </w:rPr>
        <w:t>UK-Gesundheitssystem, Design auf europäische Versorgungsstrukturen übertragbar</w:t>
      </w:r>
    </w:p>
    <w:p>
      <w:r>
        <w:rPr>
          <w:color w:val="5A7D3A"/>
          <w:sz w:val="18"/>
        </w:rPr>
        <w:t>https://pubmed.ncbi.nlm.nih.gov/42760022/</w:t>
      </w:r>
    </w:p>
    <w:p>
      <w:pPr>
        <w:pStyle w:val="Heading2"/>
      </w:pPr>
      <w:r>
        <w:t>Verständnis von Frailty bei Kindern mit chronischer Nierenkrankheit</w:t>
      </w:r>
    </w:p>
    <w:p>
      <w:r>
        <w:rPr>
          <w:i/>
          <w:color w:val="666666"/>
          <w:sz w:val="18"/>
        </w:rPr>
        <w:t>Guha C et al.  ·  Kidney Int  ·  Okt. 2026  ·  PMID 42760016</w:t>
      </w:r>
    </w:p>
    <w:p>
      <w:r>
        <w:t>Qualitatives Perspektivwerk auf Frailty im Kindesalter bei chronischer Nierenkrankheit – Interpretation als Verlust von Entwicklungspotenzial statt funktionellem Rückgang im Gegensatz zu Frailty bei Älteren.</w:t>
      </w:r>
    </w:p>
    <w:p>
      <w:r>
        <w:rPr>
          <w:b/>
        </w:rPr>
        <w:t xml:space="preserve">Ergebnis: </w:t>
      </w:r>
      <w:r>
        <w:t>Zentrale Befunde: (1) Frailty bei Kindern ist (anders als bei Älteren) oft reversibel; (2) Frühe Identifikation durch altersgerechte Screening ermöglicht multidisziplinäre Intervention; (3) Kritisches Fenster zur Maximierung von Wachstum, Resilienz und Lebensfunktion in der Kindheit.</w:t>
      </w:r>
    </w:p>
    <w:p>
      <w:r>
        <w:rPr>
          <w:b/>
          <w:sz w:val="19"/>
        </w:rPr>
        <w:t xml:space="preserve">Übertragbarkeit: </w:t>
      </w:r>
      <w:r>
        <w:rPr>
          <w:sz w:val="19"/>
        </w:rPr>
        <w:t>Internationale Perspektive auf Frailty-Definition und Versorgungsmodelle, anwendbar auf deutsches Versorgungssystem</w:t>
      </w:r>
    </w:p>
    <w:p>
      <w:r>
        <w:rPr>
          <w:color w:val="5A7D3A"/>
          <w:sz w:val="18"/>
        </w:rPr>
        <w:t>https://pubmed.ncbi.nlm.nih.gov/42760016/</w:t>
      </w:r>
    </w:p>
    <w:p>
      <w:pPr>
        <w:pStyle w:val="Heading2"/>
      </w:pPr>
      <w:r>
        <w:t>Frailty-Index für Mortalitätsprognose nach Schlaganfall in kritischer Versorgung</w:t>
      </w:r>
    </w:p>
    <w:p>
      <w:r>
        <w:rPr>
          <w:i/>
          <w:color w:val="666666"/>
          <w:sz w:val="18"/>
        </w:rPr>
        <w:t>Gu G et al.  ·  Front Neurol  ·  03.09.2026  ·  PMID 42756253</w:t>
      </w:r>
    </w:p>
    <w:p>
      <w:r>
        <w:t>Verwendung eines laborgestützten Frailty-Index (FI-Lab) zur Vorhersage der 90-Tage-Mortalität nach akutem ischämischen Schlaganfall in der Intensivmedizin mit temporaler Validierung.</w:t>
      </w:r>
    </w:p>
    <w:p>
      <w:r>
        <w:rPr>
          <w:b/>
        </w:rPr>
        <w:t xml:space="preserve">Ergebnis: </w:t>
      </w:r>
      <w:r>
        <w:t>3.186 Patienten beim 24-h-Zeitpunkt (559 Todesfälle): FI-Lab verbesserte AUC von 0,774 auf 0,808 (Differenz 0,034, 95% CI 0,022–0,047; p&lt;0,001) und Brier-Score von 0,162 auf 0,152. Beim 72-h-Punkt: 2.918 Patienten (473 Ereignisse), AUC 0,752 → 0,791 mit FI-Lab.</w:t>
      </w:r>
    </w:p>
    <w:p>
      <w:r>
        <w:rPr>
          <w:b/>
          <w:sz w:val="19"/>
        </w:rPr>
        <w:t xml:space="preserve">Übertragbarkeit: </w:t>
      </w:r>
      <w:r>
        <w:rPr>
          <w:sz w:val="19"/>
        </w:rPr>
        <w:t>MIMIC-IV-Datenbank, generalisierbare ICU-Frailty-Messung, externe Validierung ausstehend</w:t>
      </w:r>
    </w:p>
    <w:p>
      <w:r>
        <w:rPr>
          <w:color w:val="5A7D3A"/>
          <w:sz w:val="18"/>
        </w:rPr>
        <w:t>https://pubmed.ncbi.nlm.nih.gov/42756253/</w:t>
      </w:r>
    </w:p>
    <w:p>
      <w:pPr>
        <w:pStyle w:val="Heading2"/>
      </w:pPr>
      <w:r>
        <w:t>Krankheitslast bei Multipler Sklerose in Italien 1990–2023</w:t>
      </w:r>
    </w:p>
    <w:p>
      <w:r>
        <w:rPr>
          <w:i/>
          <w:color w:val="666666"/>
          <w:sz w:val="18"/>
        </w:rPr>
        <w:t>Brigo F et al.  ·  Mult Scler Relat Disord  ·  28.08.2026  ·  PMID 42664643</w:t>
      </w:r>
    </w:p>
    <w:p>
      <w:r>
        <w:t>Analyse der zeitlichen Trends und regionalen Unterschiede in der Morbidität (Behinderung versus Sterblichkeit) von MS in Italien mittels Global-Burden-of-Disease-Daten.</w:t>
      </w:r>
    </w:p>
    <w:p>
      <w:r>
        <w:rPr>
          <w:b/>
        </w:rPr>
        <w:t xml:space="preserve">Ergebnis: </w:t>
      </w:r>
      <w:r>
        <w:t>MS-Krankheitslast stieg in allen Regionen; Verschiebung von Sterblichkeit zu Behinderung: YLL/YLD-Ratio sank überall, mit steilstem Anstieg in Sardinien und Süd+Sizilien. Höhere DALY-Raten in allen Regionen bei Frauen und Männern.</w:t>
      </w:r>
    </w:p>
    <w:p>
      <w:r>
        <w:rPr>
          <w:b/>
          <w:sz w:val="19"/>
        </w:rPr>
        <w:t xml:space="preserve">Übertragbarkeit: </w:t>
      </w:r>
      <w:r>
        <w:rPr>
          <w:sz w:val="19"/>
        </w:rPr>
        <w:t>Italien, vergleichbares europäisches Gesundheitssystem und Versorgungsinfrastruktur</w:t>
      </w:r>
    </w:p>
    <w:p>
      <w:r>
        <w:rPr>
          <w:color w:val="5A7D3A"/>
          <w:sz w:val="18"/>
        </w:rPr>
        <w:t>https://pubmed.ncbi.nlm.nih.gov/42664643/</w:t>
      </w:r>
    </w:p>
    <w:p>
      <w:pPr>
        <w:pStyle w:val="Heading2"/>
      </w:pPr>
      <w:r>
        <w:t>Geschlechtsspezifische Altersuhren und Stoffwechselveränderungen in Bevölkerungsphenome</w:t>
      </w:r>
    </w:p>
    <w:p>
      <w:r>
        <w:rPr>
          <w:i/>
          <w:color w:val="666666"/>
          <w:sz w:val="18"/>
        </w:rPr>
        <w:t>Li J et al.  ·  Nat Aging  ·  25.08.2026  ·  PMID 42642518</w:t>
      </w:r>
    </w:p>
    <w:p>
      <w:r>
        <w:t>Entwicklung und Validierung von Altersuhren (klinische und biologische Marker) in &gt;100.000 Chinesen (18–98 Jahre) mit Analyse von Geschlechtsunterschieden und modifizierbaren metabolischen Faktoren.</w:t>
      </w:r>
    </w:p>
    <w:p>
      <w:r>
        <w:rPr>
          <w:b/>
        </w:rPr>
        <w:t xml:space="preserve">Ergebnis: </w:t>
      </w:r>
      <w:r>
        <w:t>Divergente Alterungstrajektorien Männer vs. Frauen in mittlerem Alter konvergierten später. Akkumulation von Cholesterin, Triglyzeriden, Glukose, Harnsäure und Tumormalkeuren mit dem Altern. High-Fat-Diet-Reversierung zeigte Modifizierbarkeit metabolischer Belastung.</w:t>
      </w:r>
    </w:p>
    <w:p>
      <w:r>
        <w:rPr>
          <w:b/>
          <w:sz w:val="19"/>
        </w:rPr>
        <w:t xml:space="preserve">Übertragbarkeit: </w:t>
      </w:r>
      <w:r>
        <w:rPr>
          <w:sz w:val="19"/>
        </w:rPr>
        <w:t>China, große Kohorte, metabolische Befunde altersunabhängig übertragbar auf deutsches Setting</w:t>
      </w:r>
    </w:p>
    <w:p>
      <w:r>
        <w:rPr>
          <w:color w:val="5A7D3A"/>
          <w:sz w:val="18"/>
        </w:rPr>
        <w:t>https://pubmed.ncbi.nlm.nih.gov/42642518/</w:t>
      </w:r>
    </w:p>
    <w:p>
      <w:pPr>
        <w:pStyle w:val="Heading2"/>
      </w:pPr>
      <w:r>
        <w:t>Gewonnene Lebensjahre bei zufällig entdecktem Prostatakarzinom</w:t>
      </w:r>
    </w:p>
    <w:p>
      <w:r>
        <w:rPr>
          <w:i/>
          <w:color w:val="666666"/>
          <w:sz w:val="18"/>
        </w:rPr>
        <w:t>Falkenbach F et al.  ·  Prostate  ·  08.07.2026  ·  PMID 42418725</w:t>
      </w:r>
    </w:p>
    <w:p>
      <w:r>
        <w:t>Berechnung der verlorenen Lebensjahre (YLL) bei zufällig entdecktem Prostatakarzinom mittels SEER-Daten 2004–2021 und Vergleich mit bevölkerungsgestützten Überlebensstudien.</w:t>
      </w:r>
    </w:p>
    <w:p>
      <w:r>
        <w:rPr>
          <w:b/>
        </w:rPr>
        <w:t xml:space="preserve">Ergebnis: </w:t>
      </w:r>
      <w:r>
        <w:t>7.324 Patienten; Unterschied zu Bevölkerungskontroll: 0,23 verlorene Jahre (p&lt;0,001). Ohne Behandlung: 0,25 YLL; mit Behandlung: 0,18 YLL. Gleason 8–10 + T1b ohne Therapie: 3,02 YLL; Gleason ≤7 + T1a mit Therapie: keine signifikanten YLL.</w:t>
      </w:r>
    </w:p>
    <w:p>
      <w:r>
        <w:rPr>
          <w:b/>
          <w:sz w:val="19"/>
        </w:rPr>
        <w:t xml:space="preserve">Übertragbarkeit: </w:t>
      </w:r>
      <w:r>
        <w:rPr>
          <w:sz w:val="19"/>
        </w:rPr>
        <w:t>USA, SEER-Register, Unterschiede in Lebenserwartung und Behandlungsindikationen beachten</w:t>
      </w:r>
    </w:p>
    <w:p>
      <w:r>
        <w:rPr>
          <w:color w:val="5A7D3A"/>
          <w:sz w:val="18"/>
        </w:rPr>
        <w:t>https://pubmed.ncbi.nlm.nih.gov/42418725/</w:t>
      </w:r>
    </w:p>
    <w:p>
      <w:pPr>
        <w:pStyle w:val="Heading1"/>
      </w:pPr>
      <w:r>
        <w:t>Aufgenommen am 18.09.2026</w:t>
      </w:r>
    </w:p>
    <w:p>
      <w:pPr>
        <w:pStyle w:val="Heading2"/>
      </w:pPr>
      <w:r>
        <w:t>Kontrolltheorie des Alterns beschreibt sichere Dosierung und Sequenzierung geriatrischer Interventionen</w:t>
      </w:r>
    </w:p>
    <w:p>
      <w:r>
        <w:rPr>
          <w:i/>
          <w:color w:val="666666"/>
          <w:sz w:val="18"/>
        </w:rPr>
        <w:t>Zhavoronkov A et al.  ·  Aging (Albany NY)  ·  16.09.2026  ·  PMID 42754269</w:t>
      </w:r>
    </w:p>
    <w:p>
      <w:r>
        <w:t>Theoriearbeit entwickelt kontrolltheoretisches Rahmenwerk, das Altern als Verlust sicherer Kontrollierbarkeit definiert und präskriptive Dosierungs- und Sequenzierungsprotokolle für Geroprotektoren vorhersagt.</w:t>
      </w:r>
    </w:p>
    <w:p>
      <w:r>
        <w:rPr>
          <w:b/>
        </w:rPr>
        <w:t xml:space="preserve">Ergebnis: </w:t>
      </w:r>
      <w:r>
        <w:t>Biologisches Alter = minimale sichere Kontrollkosten für funktionale Wiederherstellung. Lie-Bracket-Analyse von 5-ODE-Modell zeigt Interventionsreihenfolge entscheidend. 20 falsfizierbare Vorhersagen; Kontrollwert-Reduktion prognostiziert translationalen Erfolg besser als Biomarker-Umkehr.</w:t>
      </w:r>
    </w:p>
    <w:p>
      <w:r>
        <w:rPr>
          <w:b/>
          <w:sz w:val="19"/>
        </w:rPr>
        <w:t xml:space="preserve">Übertragbarkeit: </w:t>
      </w:r>
      <w:r>
        <w:rPr>
          <w:sz w:val="19"/>
        </w:rPr>
        <w:t>Konzeptuelle, nicht-empirische Arbeit; Übertragbarkeit hängt von Validierung in Patientenkohorten ab</w:t>
      </w:r>
    </w:p>
    <w:p>
      <w:r>
        <w:rPr>
          <w:color w:val="5A7D3A"/>
          <w:sz w:val="18"/>
        </w:rPr>
        <w:t>https://pubmed.ncbi.nlm.nih.gov/42754269/</w:t>
      </w:r>
    </w:p>
    <w:p>
      <w:pPr>
        <w:pStyle w:val="Heading2"/>
      </w:pPr>
      <w:r>
        <w:t>Computer- und Smartphone-Nutzung reduzieren Frailty bei älteren Erwachsenen</w:t>
      </w:r>
    </w:p>
    <w:p>
      <w:r>
        <w:rPr>
          <w:i/>
          <w:color w:val="666666"/>
          <w:sz w:val="18"/>
        </w:rPr>
        <w:t>Hori N et al.  ·  Geriatr Gerontol Int  ·  Sept. 2026  ·  PMID 42753144</w:t>
      </w:r>
    </w:p>
    <w:p>
      <w:r>
        <w:t>Querschnittsstudie untersuchte, ob Gesundheitsinformationen über Computer und Smartphone mit Frailty assoziiert sind, gemessen durch Mediation über Health Literacy bei 451 älteren Menschen.</w:t>
      </w:r>
    </w:p>
    <w:p>
      <w:r>
        <w:rPr>
          <w:b/>
        </w:rPr>
        <w:t xml:space="preserve">Ergebnis: </w:t>
      </w:r>
      <w:r>
        <w:t>33,8 % nutzten Computer/Smartphone für Gesundheitsinformation. Frailty-Prävalenz 3,5 %. Mediation über Health Literacy signifikant: β = 0,323 (95%-KI: 0,084–0,698). Keine Assoziation mit nur Robustness vs. Präfrailty.</w:t>
      </w:r>
    </w:p>
    <w:p>
      <w:r>
        <w:rPr>
          <w:b/>
          <w:sz w:val="19"/>
        </w:rPr>
        <w:t xml:space="preserve">Übertragbarkeit: </w:t>
      </w:r>
      <w:r>
        <w:rPr>
          <w:sz w:val="19"/>
        </w:rPr>
        <w:t>Japan, vergleichbar mit deutschem Gesundheitswesen; einfacher Screening-Tool</w:t>
      </w:r>
    </w:p>
    <w:p>
      <w:r>
        <w:rPr>
          <w:color w:val="5A7D3A"/>
          <w:sz w:val="18"/>
        </w:rPr>
        <w:t>https://pubmed.ncbi.nlm.nih.gov/42753144/</w:t>
      </w:r>
    </w:p>
    <w:p>
      <w:pPr>
        <w:pStyle w:val="Heading2"/>
      </w:pPr>
      <w:r>
        <w:t>Frailty und Ernährungsstatus prägen Überleben älter Brustkrebspatientinnen</w:t>
      </w:r>
    </w:p>
    <w:p>
      <w:r>
        <w:rPr>
          <w:i/>
          <w:color w:val="666666"/>
          <w:sz w:val="18"/>
        </w:rPr>
        <w:t>Yang X et al.  ·  Cancer Med  ·  Sept. 2026  ·  PMID 42745681</w:t>
      </w:r>
    </w:p>
    <w:p>
      <w:r>
        <w:t>Retrospektive Studie entwickelte FINE Index (Frailty, Immunonutrition, TNM-Stadium) zur Vorhersage des Gesamtüberlebens bei 1.621 älteren Brustkrebspatientinnen (training n=1.132, validation n=489).</w:t>
      </w:r>
    </w:p>
    <w:p>
      <w:r>
        <w:rPr>
          <w:b/>
        </w:rPr>
        <w:t xml:space="preserve">Ergebnis: </w:t>
      </w:r>
      <w:r>
        <w:t>C-Index 0,767 (training), 0,739 (intern validation), 0,731 (extern validation). 3-, 5-, 10-Jahr-AUC &gt;0,7. Unabhängige Prädiktoren: Alter, PNI, TNM, mFI-5, Endokrintherapie. Besser als TNM allein.</w:t>
      </w:r>
    </w:p>
    <w:p>
      <w:r>
        <w:rPr>
          <w:b/>
          <w:sz w:val="19"/>
        </w:rPr>
        <w:t xml:space="preserve">Übertragbarkeit: </w:t>
      </w:r>
      <w:r>
        <w:rPr>
          <w:sz w:val="19"/>
        </w:rPr>
        <w:t>China (West-China Hospital), deutsche Kliniken nutzen ähnliche Frailty-Indices</w:t>
      </w:r>
    </w:p>
    <w:p>
      <w:r>
        <w:rPr>
          <w:color w:val="5A7D3A"/>
          <w:sz w:val="18"/>
        </w:rPr>
        <w:t>https://pubmed.ncbi.nlm.nih.gov/42745681/</w:t>
      </w:r>
    </w:p>
    <w:p>
      <w:pPr>
        <w:pStyle w:val="Heading2"/>
      </w:pPr>
      <w:r>
        <w:t>Orale Frailty korreliert mit BMI nur bei Sarkopenie-Risiko</w:t>
      </w:r>
    </w:p>
    <w:p>
      <w:r>
        <w:rPr>
          <w:i/>
          <w:color w:val="666666"/>
          <w:sz w:val="18"/>
        </w:rPr>
        <w:t>Hayase M et al.  ·  Nutrients  ·  28.08.2026  ·  PMID 42739007</w:t>
      </w:r>
    </w:p>
    <w:p>
      <w:r>
        <w:t>Querschnittstudie mit 3.829 älteren Japanern untersuchte Assoziation zwischen oraler Frailty und BMI-Kategorien, stratifiziert nach Sarkopenie-Status.</w:t>
      </w:r>
    </w:p>
    <w:p>
      <w:r>
        <w:rPr>
          <w:b/>
        </w:rPr>
        <w:t xml:space="preserve">Ergebnis: </w:t>
      </w:r>
      <w:r>
        <w:t>In Sarkopenie-Risikogruppe: Übergewicht OR 1,73 (95%-KI: 1,09–2,73), Untergewicht OR 1,44 (95%-KI: 1,07–1,95). Nicht-Sarkopenie-Gruppe: keine signifikante Assoziation.</w:t>
      </w:r>
    </w:p>
    <w:p>
      <w:r>
        <w:rPr>
          <w:b/>
          <w:sz w:val="19"/>
        </w:rPr>
        <w:t xml:space="preserve">Übertragbarkeit: </w:t>
      </w:r>
      <w:r>
        <w:rPr>
          <w:sz w:val="19"/>
        </w:rPr>
        <w:t>Japan, 80-Jährige; Frailty-Phenotyp mit praktischem Screening-Tool</w:t>
      </w:r>
    </w:p>
    <w:p>
      <w:r>
        <w:rPr>
          <w:color w:val="5A7D3A"/>
          <w:sz w:val="18"/>
        </w:rPr>
        <w:t>https://pubmed.ncbi.nlm.nih.gov/42739007/</w:t>
      </w:r>
    </w:p>
    <w:p>
      <w:pPr>
        <w:pStyle w:val="Heading2"/>
      </w:pPr>
      <w:r>
        <w:t>Funktionales Gehirnalter erfasst Heterogenität in Schizophrenien besser als strukturelle Parameter</w:t>
      </w:r>
    </w:p>
    <w:p>
      <w:r>
        <w:rPr>
          <w:i/>
          <w:color w:val="666666"/>
          <w:sz w:val="18"/>
        </w:rPr>
        <w:t>Volkmer S et al.  ·  Transl Psychiatry  ·  04.09.2026  ·  PMID 42697895</w:t>
      </w:r>
    </w:p>
    <w:p>
      <w:r>
        <w:t>Validierungsstudie untersuchte resting-state funktionales Gehirnalter (brain-age gap, BAG) bei Schizophreniespektrum-Störungen in vier Kohorten; innerhalb SSD assoziiert jüngeres Gehirnalter mit schlechterer Kognition.</w:t>
      </w:r>
    </w:p>
    <w:p>
      <w:r>
        <w:rPr>
          <w:b/>
        </w:rPr>
        <w:t xml:space="preserve">Ergebnis: </w:t>
      </w:r>
      <w:r>
        <w:t>SSD zeigte group-level BAG-Elevation 0,4–0,6. Innerhalb SSD: jüngeres Gehirnalter korreliert mit niedrigerer Kognition, längerer Krankheitsdauer, höheren neurologischen soft signs (NSS). Über 12–24 Wochen: BAG-Zunahme mit NSS-Motor-Reduktion assoziiert.</w:t>
      </w:r>
    </w:p>
    <w:p>
      <w:r>
        <w:rPr>
          <w:b/>
          <w:sz w:val="19"/>
        </w:rPr>
        <w:t xml:space="preserve">Übertragbarkeit: </w:t>
      </w:r>
      <w:r>
        <w:rPr>
          <w:sz w:val="19"/>
        </w:rPr>
        <w:t>Deutschland und Schweiz, multizentrisches Design; Biomarker vorhersagewert offen</w:t>
      </w:r>
    </w:p>
    <w:p>
      <w:r>
        <w:rPr>
          <w:color w:val="5A7D3A"/>
          <w:sz w:val="18"/>
        </w:rPr>
        <w:t>https://pubmed.ncbi.nlm.nih.gov/42697895/</w:t>
      </w:r>
    </w:p>
    <w:p>
      <w:pPr>
        <w:pStyle w:val="Heading2"/>
      </w:pPr>
      <w:r>
        <w:t>Wahrnehmung des Alterns bei Männern 2013–2023 stabil trotz Gesundheitsbewusstsein</w:t>
      </w:r>
    </w:p>
    <w:p>
      <w:r>
        <w:rPr>
          <w:i/>
          <w:color w:val="666666"/>
          <w:sz w:val="18"/>
        </w:rPr>
        <w:t>Bejda G et al.  ·  Adv Clin Exp Med  ·  Aug. 2026  ·  PMID 42543032</w:t>
      </w:r>
    </w:p>
    <w:p>
      <w:r>
        <w:t>Vergleichende Querschnittstudie an 2013 und 2023 hospitalisierten Männern aus Polen untersuchte Veränderungen in Alterswahrnehmung und Gesundheitsverhalten mittels standardisierter Instrumente.</w:t>
      </w:r>
    </w:p>
    <w:p>
      <w:r>
        <w:rPr>
          <w:b/>
        </w:rPr>
        <w:t xml:space="preserve">Ergebnis: </w:t>
      </w:r>
      <w:r>
        <w:t>80,5 % (2013) vs. 75,9 % (2023) mit psychischen Alterssymptomen. Sexuelle Dysfunktion 65,8 % vs. 63,3 %. Testosterone-Abnahme als Altersmerkmal erwartet. Hohe Selbstwirksamkeit in beiden Kohorten. Unzureichendes Alterswissen bleibt.</w:t>
      </w:r>
    </w:p>
    <w:p>
      <w:r>
        <w:rPr>
          <w:b/>
          <w:sz w:val="19"/>
        </w:rPr>
        <w:t xml:space="preserve">Übertragbarkeit: </w:t>
      </w:r>
      <w:r>
        <w:rPr>
          <w:sz w:val="19"/>
        </w:rPr>
        <w:t>Polen (Podlaskie), verwandter Sozialversicherungskontext</w:t>
      </w:r>
    </w:p>
    <w:p>
      <w:r>
        <w:rPr>
          <w:color w:val="5A7D3A"/>
          <w:sz w:val="18"/>
        </w:rPr>
        <w:t>https://pubmed.ncbi.nlm.nih.gov/42543032/</w:t>
      </w:r>
    </w:p>
    <w:p>
      <w:pPr>
        <w:pStyle w:val="Heading1"/>
      </w:pPr>
      <w:r>
        <w:t>Aufgenommen am 17.09.2026</w:t>
      </w:r>
    </w:p>
    <w:p>
      <w:pPr>
        <w:pStyle w:val="Heading2"/>
      </w:pPr>
      <w:r>
        <w:t>Frailty-Index (mFI-5) vorhersagekräftig für Komplikationen nach Amputation</w:t>
      </w:r>
    </w:p>
    <w:p>
      <w:r>
        <w:rPr>
          <w:i/>
          <w:color w:val="666666"/>
          <w:sz w:val="18"/>
        </w:rPr>
        <w:t>Ichikawa T et al.  ·  Eur J Orthop Surg Traumatol  ·  16.09.2026  ·  PMID 42747548</w:t>
      </w:r>
    </w:p>
    <w:p>
      <w:r>
        <w:t>USA-Traumakohorte (n=1.122, ≥18 Jahre, offene Unterschenkelbrüche mit Amputation; 2017–2021) zur Prognose von 30-Tage-Komplikationen via 5-Item Modified Frailty Index.</w:t>
      </w:r>
    </w:p>
    <w:p>
      <w:r>
        <w:rPr>
          <w:b/>
        </w:rPr>
        <w:t xml:space="preserve">Ergebnis: </w:t>
      </w:r>
      <w:r>
        <w:t>Pro Punkt mFI-5-Erhöhung: signifikant gestiegene Odds für Wundinfekt (OR 1,36), zerebrovaskuläres Ereignis (OR 2,93), Reintubation (OR 2,17), ICU-Aufnahme (OR 1,56) und Druckgeschwür (OR 1,68). mFI-5 unabhängiger Prädiktor nach Adjustierung für Alter, Geschlecht, ISS und andere Faktoren. Routinescreening empfohlen für Risikostratifizierung.</w:t>
      </w:r>
    </w:p>
    <w:p>
      <w:r>
        <w:rPr>
          <w:b/>
          <w:sz w:val="19"/>
        </w:rPr>
        <w:t xml:space="preserve">Übertragbarkeit: </w:t>
      </w:r>
      <w:r>
        <w:rPr>
          <w:sz w:val="19"/>
        </w:rPr>
        <w:t>USA-Traumasystem, aber Frailty-Assessment-Tool und Komplikationsdefinitionen international etabliert.</w:t>
      </w:r>
    </w:p>
    <w:p>
      <w:r>
        <w:rPr>
          <w:color w:val="5A7D3A"/>
          <w:sz w:val="18"/>
        </w:rPr>
        <w:t>https://pubmed.ncbi.nlm.nih.gov/42747548/</w:t>
      </w:r>
    </w:p>
    <w:p>
      <w:pPr>
        <w:pStyle w:val="Heading2"/>
      </w:pPr>
      <w:r>
        <w:t>Soziale Entfremdung bei kognitiver Gebrechlichkeit: Vier Subgruppen älterer Erwachsener</w:t>
      </w:r>
    </w:p>
    <w:p>
      <w:r>
        <w:rPr>
          <w:i/>
          <w:color w:val="666666"/>
          <w:sz w:val="18"/>
        </w:rPr>
        <w:t>Zhao S et al.  ·  Front Public Health  ·  01.09.2026  ·  PMID 42745907</w:t>
      </w:r>
    </w:p>
    <w:p>
      <w:r>
        <w:t>Chinesische Querschnittstudie (n=968, ≥60 Jahre, mit kognitiver Frailty) mittels latenter Profilanalyse zur Heterogenität sozialer Entfremdung.</w:t>
      </w:r>
    </w:p>
    <w:p>
      <w:r>
        <w:rPr>
          <w:b/>
        </w:rPr>
        <w:t xml:space="preserve">Ergebnis: </w:t>
      </w:r>
      <w:r>
        <w:t>Vier distinkte Profile identifiziert: „Soziale Anpassung</w:t>
      </w:r>
    </w:p>
    <w:p>
      <w:r>
        <w:rPr>
          <w:b/>
          <w:sz w:val="19"/>
        </w:rPr>
        <w:t xml:space="preserve">Übertragbarkeit: </w:t>
      </w:r>
      <w:r>
        <w:rPr>
          <w:sz w:val="19"/>
        </w:rPr>
        <w:t>China – andere Altersstruktur, aber relevante Versorgungsfrage zur kognitiven Frailty.</w:t>
      </w:r>
    </w:p>
    <w:p>
      <w:r>
        <w:rPr>
          <w:color w:val="5A7D3A"/>
          <w:sz w:val="18"/>
        </w:rPr>
        <w:t>https://pubmed.ncbi.nlm.nih.gov/42745907/</w:t>
      </w:r>
    </w:p>
    <w:p>
      <w:pPr>
        <w:pStyle w:val="Heading2"/>
      </w:pPr>
      <w:r>
        <w:t>Freiwillige Krankenversicherung senkt Frailty-Onset bei europäischen Älteren</w:t>
      </w:r>
    </w:p>
    <w:p>
      <w:r>
        <w:rPr>
          <w:i/>
          <w:color w:val="666666"/>
          <w:sz w:val="18"/>
        </w:rPr>
        <w:t>Sorrentino M et al.  ·  Front Public Health  ·  01.09.2026  ·  PMID 42745813</w:t>
      </w:r>
    </w:p>
    <w:p>
      <w:r>
        <w:t>Europäische Längsschnittstudie (SHARE 2013–2022, n=191.848, ≥50 Jahre) zur Assoziation zwischen freiwilliger Zusatzversicherung (VHI) und Frailty-Progression.</w:t>
      </w:r>
    </w:p>
    <w:p>
      <w:r>
        <w:rPr>
          <w:b/>
        </w:rPr>
        <w:t xml:space="preserve">Ergebnis: </w:t>
      </w:r>
      <w:r>
        <w:t>VHI mit niedrigeren Frailty-Scores assoziiert (Koeff. −0,056; 95%-KI −0,071 bis −0,041), stärkster Effekt in niedrigstem Einkommensquartil. Reduziertes Frailty-Onset-Risiko unter VHI (HR 0,862; 95%-KI 0,763–0,973), besonders in Spanien (HR 0,626). Allerdings: VHI könnte als Out-of-Pocket-Ausgabe Ungleichheiten verstärken.</w:t>
      </w:r>
    </w:p>
    <w:p>
      <w:r>
        <w:rPr>
          <w:b/>
          <w:sz w:val="19"/>
        </w:rPr>
        <w:t xml:space="preserve">Übertragbarkeit: </w:t>
      </w:r>
      <w:r>
        <w:rPr>
          <w:sz w:val="19"/>
        </w:rPr>
        <w:t>Europäische SHARE-Daten, vergleichbare Sozialsysteme, direkt auf deutsche Sozialversicherung übertragbar.</w:t>
      </w:r>
    </w:p>
    <w:p>
      <w:r>
        <w:rPr>
          <w:color w:val="5A7D3A"/>
          <w:sz w:val="18"/>
        </w:rPr>
        <w:t>https://pubmed.ncbi.nlm.nih.gov/42745813/</w:t>
      </w:r>
    </w:p>
    <w:p>
      <w:pPr>
        <w:pStyle w:val="Heading2"/>
      </w:pPr>
      <w:r>
        <w:t>Determinanten der Lebenserwartung in der EU: Präventive Mortalität geht über Wohlstand hinaus</w:t>
      </w:r>
    </w:p>
    <w:p>
      <w:r>
        <w:rPr>
          <w:i/>
          <w:color w:val="666666"/>
          <w:sz w:val="18"/>
        </w:rPr>
        <w:t>Antohi VM et al.  ·  Inquiry  ·  16.09.2026  ·  PMID 42745694</w:t>
      </w:r>
    </w:p>
    <w:p>
      <w:r>
        <w:t>Panel-Regressionsanalyse (6 EU-Länder: Rumänien, Bulgarien, Lettland, Deutschland, Italien, Spanien; 2011–2021) zu Effekten wirtschaftlicher, demografischer und Mortalitätsfaktoren auf Lebenserwartung.</w:t>
      </w:r>
    </w:p>
    <w:p>
      <w:r>
        <w:rPr>
          <w:b/>
        </w:rPr>
        <w:t xml:space="preserve">Ergebnis: </w:t>
      </w:r>
      <w:r>
        <w:t>CO₂-Emissionen und Bevölkerungswachstum senken Lebenserwartung (LE) signifikant. BIP pro Kopf, Gesundheitsausgaben, Bildung, Rechtsstaatlichkeit und Regierungseffektivität heben LE – aber nach Kontrolle für Mortalitätsindikatoren sinkt BIP-Effekt. Krude Mortalitätslast und Lebensjahre verloren durch Unfälle zeigen stärkste Assoziationen mit LE. Schlussfolgerung: Nachhaltige LE-Gewinne hängen weniger an Wachstum, mehr an Prävention.</w:t>
      </w:r>
    </w:p>
    <w:p>
      <w:r>
        <w:rPr>
          <w:b/>
          <w:sz w:val="19"/>
        </w:rPr>
        <w:t xml:space="preserve">Übertragbarkeit: </w:t>
      </w:r>
      <w:r>
        <w:rPr>
          <w:sz w:val="19"/>
        </w:rPr>
        <w:t>Deutschland, Italien, Spanien im Sample; europäische Sozialsysteme, direkt vergleichbar.</w:t>
      </w:r>
    </w:p>
    <w:p>
      <w:r>
        <w:rPr>
          <w:color w:val="5A7D3A"/>
          <w:sz w:val="18"/>
        </w:rPr>
        <w:t>https://pubmed.ncbi.nlm.nih.gov/42745694/</w:t>
      </w:r>
    </w:p>
    <w:p>
      <w:pPr>
        <w:pStyle w:val="Heading2"/>
      </w:pPr>
      <w:r>
        <w:t>Körperliche Aktivität puffert alternsbedingte Hippocampus-Veränderungen ab</w:t>
      </w:r>
    </w:p>
    <w:p>
      <w:r>
        <w:rPr>
          <w:i/>
          <w:color w:val="666666"/>
          <w:sz w:val="18"/>
        </w:rPr>
        <w:t>Montero-Herrera B et al.  ·  Hippocampus  ·  Sept. 2026  ·  PMID 42740373</w:t>
      </w:r>
    </w:p>
    <w:p>
      <w:r>
        <w:t>Querschnittsstudie (n=555, 36–90 Jahre, Human Connectome Project-Aging) zur Assoziation von moderater bis vigoroster Aktivität mit Hippocampus-Struktur (Dicke, Oberfläche, mikrostrukturelle T1w/T2w-Ratio).</w:t>
      </w:r>
    </w:p>
    <w:p>
      <w:r>
        <w:rPr>
          <w:b/>
        </w:rPr>
        <w:t xml:space="preserve">Ergebnis: </w:t>
      </w:r>
      <w:r>
        <w:t>Bei niedriger Aktivität (&lt;150 Min/Wo): Alter assoziiert mit diffusen Unterschieden in Hippocampus-Makro- und Mikrostruktur (niedrigere Dicke/Oberfläche, höhere T1w/T2w-Ratio). Moderate bis hohe Aktivität (≥150 Min/Wo) moderiert diese Alterseffekte in linkem Hippocampus signifikant; signifikante Unterschiede in Oberfläche und Ratio bei aktiveren Älteren. Befund deutet auf erhaltene plastische Kapazität hin.</w:t>
      </w:r>
    </w:p>
    <w:p>
      <w:r>
        <w:rPr>
          <w:b/>
          <w:sz w:val="19"/>
        </w:rPr>
        <w:t xml:space="preserve">Übertragbarkeit: </w:t>
      </w:r>
      <w:r>
        <w:rPr>
          <w:sz w:val="19"/>
        </w:rPr>
        <w:t>USA – Neuroimaging-Methodik unabhängig von System; Aktivitätsempfehlung universal anwendbar.</w:t>
      </w:r>
    </w:p>
    <w:p>
      <w:r>
        <w:rPr>
          <w:color w:val="5A7D3A"/>
          <w:sz w:val="18"/>
        </w:rPr>
        <w:t>https://pubmed.ncbi.nlm.nih.gov/42740373/</w:t>
      </w:r>
    </w:p>
    <w:p>
      <w:pPr>
        <w:pStyle w:val="Heading2"/>
      </w:pPr>
      <w:r>
        <w:t>Moralische Verantwortung im Alter: Klimahandeln unter Alltagsbedingungen</w:t>
      </w:r>
    </w:p>
    <w:p>
      <w:r>
        <w:rPr>
          <w:i/>
          <w:color w:val="666666"/>
          <w:sz w:val="18"/>
        </w:rPr>
        <w:t>Grand J  ·  J Aging Stud  ·  29.06.2026  ·  PMID 42705825</w:t>
      </w:r>
    </w:p>
    <w:p>
      <w:r>
        <w:t>Qualitative Studie (Interviews, Fokusgruppen) mit Schweizer Älteren (65–83 Jahre) zu deren Verständnis und Umsetzung von Verantwortung für Klimaschutz im Alltag.</w:t>
      </w:r>
    </w:p>
    <w:p>
      <w:r>
        <w:rPr>
          <w:b/>
        </w:rPr>
        <w:t xml:space="preserve">Ergebnis: </w:t>
      </w:r>
      <w:r>
        <w:t>Ältere Erwachsene verhandeln Klimaverantwortung pragmatisch im Spannungsfeld zwischen persönlicher Handlungsfähigkeit und körperlichen Grenzen des Alterns. Zeitliche Beschränkung und Mobilitätseinbußen prägen Deutung und Umfang ihres Engagements; Fokus liegt auf Haushalt und Familie statt großflächiger Aktivismus. Kernbefund: Spätes Leben restrukturiert, realisiert aber nicht negiert Umweltverantwortung.</w:t>
      </w:r>
    </w:p>
    <w:p>
      <w:r>
        <w:rPr>
          <w:b/>
          <w:sz w:val="19"/>
        </w:rPr>
        <w:t xml:space="preserve">Übertragbarkeit: </w:t>
      </w:r>
      <w:r>
        <w:rPr>
          <w:sz w:val="19"/>
        </w:rPr>
        <w:t>Schweiz, deutschsprachig, Sozialkontext vergleichbar; Erkenntnisse zu älteren Bürgern in Transformationen.</w:t>
      </w:r>
    </w:p>
    <w:p>
      <w:r>
        <w:rPr>
          <w:color w:val="5A7D3A"/>
          <w:sz w:val="18"/>
        </w:rPr>
        <w:t>https://pubmed.ncbi.nlm.nih.gov/42705825/</w:t>
      </w:r>
    </w:p>
    <w:p>
      <w:pPr>
        <w:pStyle w:val="Heading1"/>
      </w:pPr>
      <w:r>
        <w:t>Aufgenommen am 16.09.2026</w:t>
      </w:r>
    </w:p>
    <w:p>
      <w:pPr>
        <w:pStyle w:val="Heading2"/>
      </w:pPr>
      <w:r>
        <w:t>Orale Gebrechlichkeit beeinträchtigt Alltagsfähigkeit durch schlechte Ernährung – Ernährungsstatus vermittelt</w:t>
      </w:r>
    </w:p>
    <w:p>
      <w:r>
        <w:rPr>
          <w:i/>
          <w:color w:val="666666"/>
          <w:sz w:val="18"/>
        </w:rPr>
        <w:t>Jiang W et al.  ·  Front Public Health  ·  31.08.2026  ·  PMID 42741152</w:t>
      </w:r>
    </w:p>
    <w:p>
      <w:r>
        <w:t>Querschnittsstudie mit 401 älteren Chengdu-Bewohnern (≥60 Jahre): untersuchte, ob orale Frailty (Zahnprobleme, Kaustörungen) die Alltagsfunktion beeinträchtigt und ob Malnutritionsrisiko diesen Zusammenhang mediert.</w:t>
      </w:r>
    </w:p>
    <w:p>
      <w:r>
        <w:rPr>
          <w:b/>
        </w:rPr>
        <w:t xml:space="preserve">Ergebnis: </w:t>
      </w:r>
      <w:r>
        <w:t>Orale Frailty korrelierte mit schlecherer Ernährung (B=–0,116; p=0,001) und niedriger ADL-Fähigkeit (Barthel-Index). Der direkte Assoziationseffekt blieb signifikant (B=–2,261; p=0,012), die indirekte Assoziation über Ernährung war klein aber signifikant (indirekt=–0,363; 95%-Bootstrap: –0,798 bis –0,044). Orale Frailty liegt bei 40,9 % vor, Malnutritionsrisiko bei 12,0 %.</w:t>
      </w:r>
    </w:p>
    <w:p>
      <w:r>
        <w:rPr>
          <w:b/>
          <w:sz w:val="19"/>
        </w:rPr>
        <w:t xml:space="preserve">Übertragbarkeit: </w:t>
      </w:r>
      <w:r>
        <w:rPr>
          <w:sz w:val="19"/>
        </w:rPr>
        <w:t>Chinesische Primärversorgung, Instrument ORALFRAIL übertragbar, Modell validierungsbedürftig für Deutschland</w:t>
      </w:r>
    </w:p>
    <w:p>
      <w:r>
        <w:rPr>
          <w:color w:val="5A7D3A"/>
          <w:sz w:val="18"/>
        </w:rPr>
        <w:t>https://pubmed.ncbi.nlm.nih.gov/42741152/</w:t>
      </w:r>
    </w:p>
    <w:p>
      <w:pPr>
        <w:pStyle w:val="Heading2"/>
      </w:pPr>
      <w:r>
        <w:t>Kurzzeitliches Prehab-Training steigert präoperative Funktionsfähigkeit fragiler Prostatapatienten</w:t>
      </w:r>
    </w:p>
    <w:p>
      <w:r>
        <w:rPr>
          <w:i/>
          <w:color w:val="666666"/>
          <w:sz w:val="18"/>
        </w:rPr>
        <w:t>Wang Z et al.  ·  BMC Geriatr  ·  24.07.2026  ·  PMID 42736541</w:t>
      </w:r>
    </w:p>
    <w:p>
      <w:r>
        <w:t>Randomisierte, verblindete Studie mit 80 älteren Männern (≥60 Jahre) mit Prostatakarzinom in prefrail/frail Zustand; geprüft, ob 12-tägiges Home-Prehabilitation (Bewegung, Ernährung, psychische Unterstützung) vor geplanter Prostatektomie die perioperative funktionelle Leistung verbessert.</w:t>
      </w:r>
    </w:p>
    <w:p>
      <w:r>
        <w:rPr>
          <w:b/>
        </w:rPr>
        <w:t xml:space="preserve">Ergebnis: </w:t>
      </w:r>
      <w:r>
        <w:t>Prehab-Gruppe verbesserte 6-Minuten-Gehstrecke um 27,70±16,86 m vor OP, Kontrollgruppe nur um –3,12±3,62 m; Differenz 30,82 m (95%-KI 25,32–36,33; p&lt;0,001). Postoperativ schnellere Mobilisierung, schnellere Magen-Darm-Erholung, kürzere Krankenhausliegedauer. Keine interventionsbezogenen Nebenereignisse.</w:t>
      </w:r>
    </w:p>
    <w:p>
      <w:r>
        <w:rPr>
          <w:b/>
          <w:sz w:val="19"/>
        </w:rPr>
        <w:t xml:space="preserve">Übertragbarkeit: </w:t>
      </w:r>
      <w:r>
        <w:rPr>
          <w:sz w:val="19"/>
        </w:rPr>
        <w:t>Chinesische Klinikdaten, geriatrisches Prähabilitationskonzept übertragbar auf Deutschland</w:t>
      </w:r>
    </w:p>
    <w:p>
      <w:r>
        <w:rPr>
          <w:color w:val="5A7D3A"/>
          <w:sz w:val="18"/>
        </w:rPr>
        <w:t>https://pubmed.ncbi.nlm.nih.gov/42736541/</w:t>
      </w:r>
    </w:p>
    <w:p>
      <w:pPr>
        <w:pStyle w:val="Heading2"/>
      </w:pPr>
      <w:r>
        <w:t>Automatisierter Frailty-Index aus Labortests (FI-Lab) validiert akutes Mortalitätsrisiko</w:t>
      </w:r>
    </w:p>
    <w:p>
      <w:r>
        <w:rPr>
          <w:i/>
          <w:color w:val="666666"/>
          <w:sz w:val="18"/>
        </w:rPr>
        <w:t>Logan Ellis H et al.  ·  PLoS Med  ·  01.09.2026  ·  PMID 42678992</w:t>
      </w:r>
    </w:p>
    <w:p>
      <w:r>
        <w:t>Retrospektive multizentrische Studie an drei Kohorten (Boston, London, UK Biobank; insgesamt 872.744 Patienten), die einen aus 20-40 Standardlabortests berechneten automatisierten Frailty-Index zur Vorhersage der 1-Jahres-Mortalität in der Notaufnahme und klinischen Routine erprobte.</w:t>
      </w:r>
    </w:p>
    <w:p>
      <w:r>
        <w:rPr>
          <w:b/>
        </w:rPr>
        <w:t xml:space="preserve">Ergebnis: </w:t>
      </w:r>
      <w:r>
        <w:t>Der FI-Lab zeigte Hazard Ratios für 1-Jahres-Mortalität von 2,04 (95%-KI [1,99–2,09]) in MIMIC-IV-ED, 2,55 (95%-KI [2,42–2,69]) in King's College Hospital und 1,87 (95%-KI [1,80–1,94]) in UK Biobank pro Standardabweichung Anstieg – und übertraf damit den National Early Warning Score 2. Die Unterscheidungsfähigkeit stabilisierte sich bei 20–40 Tests. Ein pragmatisches, ohne zusätzliche Messungen anwendbares Instrument.</w:t>
      </w:r>
    </w:p>
    <w:p>
      <w:r>
        <w:rPr>
          <w:b/>
          <w:sz w:val="19"/>
        </w:rPr>
        <w:t xml:space="preserve">Übertragbarkeit: </w:t>
      </w:r>
      <w:r>
        <w:rPr>
          <w:sz w:val="19"/>
        </w:rPr>
        <w:t>UK-Klinikdaten, Notaufnahme-Dokumentation übertragbar auf deutsche Krankenhaussysteme</w:t>
      </w:r>
    </w:p>
    <w:p>
      <w:r>
        <w:rPr>
          <w:color w:val="5A7D3A"/>
          <w:sz w:val="18"/>
        </w:rPr>
        <w:t>https://pubmed.ncbi.nlm.nih.gov/42678992/</w:t>
      </w:r>
    </w:p>
    <w:p>
      <w:pPr>
        <w:pStyle w:val="Heading2"/>
      </w:pPr>
      <w:r>
        <w:t>Intrinsic Capacity senkt kardiovaskuläres Risiko durch multidimensionale Funktionsmessung</w:t>
      </w:r>
    </w:p>
    <w:p>
      <w:r>
        <w:rPr>
          <w:i/>
          <w:color w:val="666666"/>
          <w:sz w:val="18"/>
        </w:rPr>
        <w:t>Zhang Z et al.  ·  Maturitas  ·  15.08.2026  ·  PMID 42612584</w:t>
      </w:r>
    </w:p>
    <w:p>
      <w:r>
        <w:t>Gepoolte Analyse dreier Langzeitkohorten (China, England, USA; 13.807 Probanden) untersuchte, ob Beeinträchtigungen in Intrinsic Capacity (Kognition, Mobilität, Vitalität, psychische Funktion, Sinnesfunktion) unabhängig und gemeinsam mit Hypertonie das Herzinfarkt- und Schlaganfallrisiko vorhersagen.</w:t>
      </w:r>
    </w:p>
    <w:p>
      <w:r>
        <w:rPr>
          <w:b/>
        </w:rPr>
        <w:t xml:space="preserve">Ergebnis: </w:t>
      </w:r>
      <w:r>
        <w:t>Gegenüber intakter Kapazität und normalen Blutdruckwerten zeigten beeinträchtigte IC (HR 1,53; 95%-KI 1,34–1,74), Hypertonie allein (HR 1,68; 95%-KI 1,46–1,93) und beide kombiniert (HR 2,29; 95%-KI 2,02–2,59) erhöhte kardiovaskuläre Ereignisrisiken. Das Modell mit IC-Messung erhöhte die C-Index-Diskriminierung von 0,619 auf 0,649. Progressive Risikozunahme mit jeder zusätzlich beeinträchtigten IC-Domäne.</w:t>
      </w:r>
    </w:p>
    <w:p>
      <w:r>
        <w:rPr>
          <w:b/>
          <w:sz w:val="19"/>
        </w:rPr>
        <w:t xml:space="preserve">Übertragbarkeit: </w:t>
      </w:r>
      <w:r>
        <w:rPr>
          <w:sz w:val="19"/>
        </w:rPr>
        <w:t>Drei Kohorten auf vier Kontinenten, vergleichbare Outcomemessung, Übertragbarkeit hoch</w:t>
      </w:r>
    </w:p>
    <w:p>
      <w:r>
        <w:rPr>
          <w:color w:val="5A7D3A"/>
          <w:sz w:val="18"/>
        </w:rPr>
        <w:t>https://pubmed.ncbi.nlm.nih.gov/42612584/</w:t>
      </w:r>
    </w:p>
    <w:p>
      <w:pPr>
        <w:pStyle w:val="Heading2"/>
      </w:pPr>
      <w:r>
        <w:t>Multidomain-Rehabilitation nach Herzinfarkt wirkt auch bei Frailty – Frailty sollte nicht abschrecken</w:t>
      </w:r>
    </w:p>
    <w:p>
      <w:r>
        <w:rPr>
          <w:i/>
          <w:color w:val="666666"/>
          <w:sz w:val="18"/>
        </w:rPr>
        <w:t>Dal Passo B et al.  ·  Circ Popul Health Outcomes  ·  17.08.2026  ·  PMID 42605666</w:t>
      </w:r>
    </w:p>
    <w:p>
      <w:r>
        <w:t>Prespecified-Subgruppen-Analyse der italienischen PIpELINe-RCT mit 512 Patienten ≥65 Jahren nach Myokardinfarkt; getestet, ob Gebrechlichkeit (Fried-Phänotyp) den Nutzen von multidomäner Rehabilitation (Bewegung, Ernährung, Psyche, Beckenbodentraining) mindert.</w:t>
      </w:r>
    </w:p>
    <w:p>
      <w:r>
        <w:rPr>
          <w:b/>
        </w:rPr>
        <w:t xml:space="preserve">Ergebnis: </w:t>
      </w:r>
      <w:r>
        <w:t>68,4 % (350 von 512) waren prefrail/frail; davon profitierten die 232 der Interventionsgruppe signifikant mit 43 % relativem Risikoreduktion (HR 0,57; 95%-KI 0,34–0,94; p=0,028) für die primäre Endpunkte (kardiovaskulärer Tod oder ungeplante Hospitalisierung). Kein signifikanter Interaktionseffekt: Frailty mindert den Rehabilitations-Nutzen nicht.</w:t>
      </w:r>
    </w:p>
    <w:p>
      <w:r>
        <w:rPr>
          <w:b/>
          <w:sz w:val="19"/>
        </w:rPr>
        <w:t xml:space="preserve">Übertragbarkeit: </w:t>
      </w:r>
      <w:r>
        <w:rPr>
          <w:sz w:val="19"/>
        </w:rPr>
        <w:t>Multizentrische italienische RCT, europäisches Setting, direkt auf deutsches Gesundheitswesen übertragbar</w:t>
      </w:r>
    </w:p>
    <w:p>
      <w:r>
        <w:rPr>
          <w:color w:val="5A7D3A"/>
          <w:sz w:val="18"/>
        </w:rPr>
        <w:t>https://pubmed.ncbi.nlm.nih.gov/42605666/</w:t>
      </w:r>
    </w:p>
    <w:p>
      <w:pPr>
        <w:pStyle w:val="Heading2"/>
      </w:pPr>
      <w:r>
        <w:t>Gebrechlichkeit steigert Demenzrisiko durch Entzündung, Stoffwechsel und vorzeigte Hirnalterung</w:t>
      </w:r>
    </w:p>
    <w:p>
      <w:r>
        <w:rPr>
          <w:i/>
          <w:color w:val="666666"/>
          <w:sz w:val="18"/>
        </w:rPr>
        <w:t>Chen W et al.  ·  J Nutr Health Aging  ·  10.07.2026  ·  PMID 42430904</w:t>
      </w:r>
    </w:p>
    <w:p>
      <w:r>
        <w:t>Kohortenstudie mit 452.516 UK-Biobank-Probanden ohne Demenz-Baseline, Verfolgung 13,7 Jahre: untersucht, ob der Fried-Frailty-Phänotyp das Demenzrisiko steigert und welche Pfade (Entzündung, Stoffwechsel, Hirn-Age-Gap) diese Assoziation vermitteln.</w:t>
      </w:r>
    </w:p>
    <w:p>
      <w:r>
        <w:rPr>
          <w:b/>
        </w:rPr>
        <w:t xml:space="preserve">Ergebnis: </w:t>
      </w:r>
      <w:r>
        <w:t>7.777 Demenzneuerkrankungen; Frailty erhöhte Risiko mit HR 2,21 (95%-KI 2,02–2,42). Mediation: Entzündungs-Score vermittelte 4 %, Stoffwechsel-Score 13 %, beschleunigtes Hirn-Alter (brain-age-gap) 20 % der Frailty-Demenz-Assoziation. Genetische Interaktion nachgewiesen (p=0,033).</w:t>
      </w:r>
    </w:p>
    <w:p>
      <w:r>
        <w:rPr>
          <w:b/>
          <w:sz w:val="19"/>
        </w:rPr>
        <w:t xml:space="preserve">Übertragbarkeit: </w:t>
      </w:r>
      <w:r>
        <w:rPr>
          <w:sz w:val="19"/>
        </w:rPr>
        <w:t>UK Biobank, Bildgebung, Biomarker, Konzept der Frailty-Prävention gegen Demenz auf deutsches Gesundheitswesen übertragbar</w:t>
      </w:r>
    </w:p>
    <w:p>
      <w:r>
        <w:rPr>
          <w:color w:val="5A7D3A"/>
          <w:sz w:val="18"/>
        </w:rPr>
        <w:t>https://pubmed.ncbi.nlm.nih.gov/42430904/</w:t>
      </w:r>
    </w:p>
    <w:p>
      <w:pPr>
        <w:pStyle w:val="Heading2"/>
      </w:pPr>
      <w:r>
        <w:t>Operative Belastung beschleunigt biologisches Altern, körperliche Aktivität puffert Effekt</w:t>
      </w:r>
    </w:p>
    <w:p>
      <w:r>
        <w:rPr>
          <w:i/>
          <w:color w:val="666666"/>
          <w:sz w:val="18"/>
        </w:rPr>
        <w:t>Wang X et al.  ·  J Nutr Health Aging  ·  09.07.2026  ·  PMID 42424841</w:t>
      </w:r>
    </w:p>
    <w:p>
      <w:r>
        <w:t>Querschnittanalyse von 126.668 UK-Biobank-Probanden ≥60 Jahren mit Operationsgeschichte: geprüft, ob Anzahl, Häufigkeit und zeitliche Nähe von Operationen das biologische Alter (PhenoAge-Acceleration) steigern und ob sportliche Aktivität diesen Effekt abschwächt.</w:t>
      </w:r>
    </w:p>
    <w:p>
      <w:r>
        <w:rPr>
          <w:b/>
        </w:rPr>
        <w:t xml:space="preserve">Ergebnis: </w:t>
      </w:r>
      <w:r>
        <w:t>≥4 Operationen assoziiert mit 0,14–0,39 Jahren PhenoAge-Acceleration. Operationen im Abstand ≤1 Jahr: +0,11 Jahre Beschleunigung. Operation ≤1 Jahr zurück: +0,35 Jahre Beschleunigung. Hohe körperliche Aktivität (≥600 MET-min/Woche) minderte diese Effekte deutlich; nur bei ≥5 Operationen blieb Beschleunigung signifikant.</w:t>
      </w:r>
    </w:p>
    <w:p>
      <w:r>
        <w:rPr>
          <w:b/>
          <w:sz w:val="19"/>
        </w:rPr>
        <w:t xml:space="preserve">Übertragbarkeit: </w:t>
      </w:r>
      <w:r>
        <w:rPr>
          <w:sz w:val="19"/>
        </w:rPr>
        <w:t>UK Biobank, Operationsdaten und PhenoAge-Biomarker verfügbar, Aktivitätsbewertung übertragbar</w:t>
      </w:r>
    </w:p>
    <w:p>
      <w:r>
        <w:rPr>
          <w:color w:val="5A7D3A"/>
          <w:sz w:val="18"/>
        </w:rPr>
        <w:t>https://pubmed.ncbi.nlm.nih.gov/42424841/</w:t>
      </w:r>
    </w:p>
    <w:p>
      <w:pPr>
        <w:pStyle w:val="Heading1"/>
      </w:pPr>
      <w:r>
        <w:t>Aufgenommen am 15.09.2026</w:t>
      </w:r>
    </w:p>
    <w:p>
      <w:pPr>
        <w:pStyle w:val="Heading2"/>
      </w:pPr>
      <w:r>
        <w:t>Loneliness und Benzodiazepine: Assoziationen bei älteren Kanadiern</w:t>
      </w:r>
    </w:p>
    <w:p>
      <w:r>
        <w:rPr>
          <w:i/>
          <w:color w:val="666666"/>
          <w:sz w:val="18"/>
        </w:rPr>
        <w:t>Watt JA et al.  ·  Age Ageing  ·  04.09.2026  ·  PMID 42735388</w:t>
      </w:r>
    </w:p>
    <w:p>
      <w:r>
        <w:t>Querschnittsstudie mit prospektiver Kohortennachbeobachtung (kanadische Longitudinal Study on Aging) zum Zusammenhang zwischen Einsamkeit und neuem Medikamentengebrauch (Benzodiazepine, Opioide).</w:t>
      </w:r>
    </w:p>
    <w:p>
      <w:r>
        <w:rPr>
          <w:b/>
        </w:rPr>
        <w:t xml:space="preserve">Ergebnis: </w:t>
      </w:r>
      <w:r>
        <w:t>Von 29.976 Teilnehmern waren 10,8% einsam. Einsame Teilnehmer hatten höhere Quote neuer Benzodiazepinnutzung (aOR 1,94, 95%-KI 1,47–2,57) und Opioidnutzung (aOR 1,43, 95%-KI 1,05–1,93) als nicht einsame. Einsamkeit blieb mit Benzodiazepinen assoziiert nach Adjustierung für Stimmungs- und Angststörungen. Multimodale Interventionen gegen Einsamkeit könnten Deprescribing unterstützen.</w:t>
      </w:r>
    </w:p>
    <w:p>
      <w:r>
        <w:rPr>
          <w:b/>
          <w:sz w:val="19"/>
        </w:rPr>
        <w:t xml:space="preserve">Übertragbarkeit: </w:t>
      </w:r>
      <w:r>
        <w:rPr>
          <w:sz w:val="19"/>
        </w:rPr>
        <w:t>Kanada, vergleichbares Sozialversicherungssystem, hohe Relevanz für deutsche Versorgung</w:t>
      </w:r>
    </w:p>
    <w:p>
      <w:r>
        <w:rPr>
          <w:color w:val="5A7D3A"/>
          <w:sz w:val="18"/>
        </w:rPr>
        <w:t>https://pubmed.ncbi.nlm.nih.gov/42735388/</w:t>
      </w:r>
    </w:p>
    <w:p>
      <w:pPr>
        <w:pStyle w:val="Heading2"/>
      </w:pPr>
      <w:r>
        <w:t>Schweregrad der Frailty: Schwellen und minimale klinisch relevante Unterschiede</w:t>
      </w:r>
    </w:p>
    <w:p>
      <w:r>
        <w:rPr>
          <w:i/>
          <w:color w:val="666666"/>
          <w:sz w:val="18"/>
        </w:rPr>
        <w:t>Álvarez-Bustos A et al.  ·  Age Ageing  ·  04.09.2026  ·  PMID 42735387</w:t>
      </w:r>
    </w:p>
    <w:p>
      <w:r>
        <w:t>Prospektive Kohortenstudie (n=1.811, Alter ≥65 Jahre) zur Validation der Frailty Trait Scale (FTS) mit Outcomes Behinderung, Hospitalisierung und Mortalität.</w:t>
      </w:r>
    </w:p>
    <w:p>
      <w:r>
        <w:rPr>
          <w:b/>
        </w:rPr>
        <w:t xml:space="preserve">Ergebnis: </w:t>
      </w:r>
      <w:r>
        <w:t>Dosis-Wirkungs-Beziehung zwischen Frailty-Score und allen Outcomes mit unterschiedlichen Schwellen: Behinderungsrisiko ab 25/100 FTS, Hospitalisierung ab 40/100, Mortalität ab 50/100. Reductions in FTS-Scores ≥10,3 schützten vor Hospitalisierung (HR 0,74, 95%-KI 0,56–0,99) und ≥4,5 vor Mortalität (HR 0,65, 95%-KI 0,45–0,95). Tool überwindet Grenzen klassischer Assessment-Instrumente.</w:t>
      </w:r>
    </w:p>
    <w:p>
      <w:r>
        <w:rPr>
          <w:b/>
          <w:sz w:val="19"/>
        </w:rPr>
        <w:t xml:space="preserve">Übertragbarkeit: </w:t>
      </w:r>
      <w:r>
        <w:rPr>
          <w:sz w:val="19"/>
        </w:rPr>
        <w:t>Spanien, vergleichbares europäisches Sozialversicherungssystem und Altersstruktur</w:t>
      </w:r>
    </w:p>
    <w:p>
      <w:r>
        <w:rPr>
          <w:color w:val="5A7D3A"/>
          <w:sz w:val="18"/>
        </w:rPr>
        <w:t>https://pubmed.ncbi.nlm.nih.gov/42735387/</w:t>
      </w:r>
    </w:p>
    <w:p>
      <w:pPr>
        <w:pStyle w:val="Heading2"/>
      </w:pPr>
      <w:r>
        <w:t>Internet-Nutzung und kognitive Funktionsfähigkeit: Effekt bei älteren Erwachsenen während COVID-19</w:t>
      </w:r>
    </w:p>
    <w:p>
      <w:r>
        <w:rPr>
          <w:i/>
          <w:color w:val="666666"/>
          <w:sz w:val="18"/>
        </w:rPr>
        <w:t>Xu J et al.  ·  Arch Clin Neuropsychol  ·  09.09.2026  ·  PMID 42734926</w:t>
      </w:r>
    </w:p>
    <w:p>
      <w:r>
        <w:t>Längsschnittstudie (China Health and Retirement Longitudinal Study, n=3.346 Baseline-Offline-Nutzer, davon 1.699 neue Internet-Adopter) zu kognitiven und depressiven Veränderungen nach Internetadoption.</w:t>
      </w:r>
    </w:p>
    <w:p>
      <w:r>
        <w:rPr>
          <w:b/>
        </w:rPr>
        <w:t xml:space="preserve">Ergebnis: </w:t>
      </w:r>
      <w:r>
        <w:t>Neue Internet-Adoption war assoziiert mit stärkerer Zunahme der kognitiven Funktion (10-Punkt MMSE-Score β=0,28, 95%-KI 0,11–0,44, p&lt;0,001) gegenüber konstanter Nicht-Nutzung. Effekt blieb in Sensitivitätsanalysen stabil. Keine signifikante Assoziation mit depressiven Symptomveränderungen (β=-0,18, p=0,40). Digital inclusion relevant für kognitive Gesundheit älterer Erwachsener.</w:t>
      </w:r>
    </w:p>
    <w:p>
      <w:r>
        <w:rPr>
          <w:b/>
          <w:sz w:val="19"/>
        </w:rPr>
        <w:t xml:space="preserve">Übertragbarkeit: </w:t>
      </w:r>
      <w:r>
        <w:rPr>
          <w:sz w:val="19"/>
        </w:rPr>
        <w:t>China, andere Altersstruktur und Digitalisierungskontext; kognitiver Effekt kulturunabhängig wahrscheinlich</w:t>
      </w:r>
    </w:p>
    <w:p>
      <w:r>
        <w:rPr>
          <w:color w:val="5A7D3A"/>
          <w:sz w:val="18"/>
        </w:rPr>
        <w:t>https://pubmed.ncbi.nlm.nih.gov/42734926/</w:t>
      </w:r>
    </w:p>
    <w:p>
      <w:pPr>
        <w:pStyle w:val="Heading2"/>
      </w:pPr>
      <w:r>
        <w:t>Frailty-Konzept in der Patientenkommunikation: kreative Beteiligungsmethoden</w:t>
      </w:r>
    </w:p>
    <w:p>
      <w:r>
        <w:rPr>
          <w:i/>
          <w:color w:val="666666"/>
          <w:sz w:val="18"/>
        </w:rPr>
        <w:t>Lammons W et al.  ·  Health Expect  ·  Okt. 2026  ·  PMID 42734162</w:t>
      </w:r>
    </w:p>
    <w:p>
      <w:r>
        <w:t>Qualitative Studie mit 3 kreativen Public-Involvement-Workshops (Gedichte, Quilting, n=22) zur Exploration von Patientenperspektiven auf Gebrechlichkeit und Patientenkommunikation.</w:t>
      </w:r>
    </w:p>
    <w:p>
      <w:r>
        <w:rPr>
          <w:b/>
        </w:rPr>
        <w:t xml:space="preserve">Ergebnis: </w:t>
      </w:r>
      <w:r>
        <w:t>Partizipanten kritisierten Begriff 'Frailty' als stigmatisierend und ungenau; forderten personalisierte, erfahrungsorientierte Kommunikation. Themen: Schwierigkeiten mit Frailty-Begriff, Personalisierung in Patientengesprächsen, Zeitdruck im Gesundheitswesen. Kreative Methoden ermöglichten nicht-diskursiven Zugang zu kontroversen Konzepten, verbesserten Topic Guide und Datenanalyse der Forschung.</w:t>
      </w:r>
    </w:p>
    <w:p>
      <w:r>
        <w:rPr>
          <w:b/>
          <w:sz w:val="19"/>
        </w:rPr>
        <w:t xml:space="preserve">Übertragbarkeit: </w:t>
      </w:r>
      <w:r>
        <w:rPr>
          <w:sz w:val="19"/>
        </w:rPr>
        <w:t>Großbritannien, NHS-System; patientenzentrierte Versorgungsfragen gelten länderübergreifend</w:t>
      </w:r>
    </w:p>
    <w:p>
      <w:r>
        <w:rPr>
          <w:color w:val="5A7D3A"/>
          <w:sz w:val="18"/>
        </w:rPr>
        <w:t>https://pubmed.ncbi.nlm.nih.gov/42734162/</w:t>
      </w:r>
    </w:p>
    <w:p>
      <w:pPr>
        <w:pStyle w:val="Heading2"/>
      </w:pPr>
      <w:r>
        <w:t>Lebenserwartung USA 2024: Zuwächse nach Rückgang in Vorjahren</w:t>
      </w:r>
    </w:p>
    <w:p>
      <w:r>
        <w:rPr>
          <w:i/>
          <w:color w:val="666666"/>
          <w:sz w:val="18"/>
        </w:rPr>
        <w:t>Arias E et al.  ·  Natl Vital Stat Rep  ·  Aug. 2026  ·  PMID 42727234</w:t>
      </w:r>
    </w:p>
    <w:p>
      <w:r>
        <w:t>Amtliche amerikanische Sterbetafel basierend auf 2024-Mortalitätsdaten; Gesamtpopulation und stratifiziert nach Ethnie, Rasse und Geschlecht.</w:t>
      </w:r>
    </w:p>
    <w:p>
      <w:r>
        <w:rPr>
          <w:b/>
        </w:rPr>
        <w:t xml:space="preserve">Ergebnis: </w:t>
      </w:r>
      <w:r>
        <w:t>Gesamtlebenserwartung bei Geburt 79,0 Jahre (+0,6 vs. 2023). Männer +0,7 Jahre (75,8→76,5), Frauen +0,3 Jahre (81,1→81,4). Nach Ethnie: American Indian/Alaska Native +1,0 (70,1→71,1), Black +0,8 (74,0→74,8), Asian +0,6 (85,2→85,8), Hispanic +0,5 (81,3→81,8), White +0,5 (78,4→78,9). Fortsetzung des Wiederaufwärts-Trends nach COVID-19-Dip.</w:t>
      </w:r>
    </w:p>
    <w:p>
      <w:r>
        <w:rPr>
          <w:b/>
          <w:sz w:val="19"/>
        </w:rPr>
        <w:t xml:space="preserve">Übertragbarkeit: </w:t>
      </w:r>
      <w:r>
        <w:rPr>
          <w:sz w:val="19"/>
        </w:rPr>
        <w:t>USA, grundlegend andere Finanzierungsstruktur des Gesundheitswesens; Trend-Aussage transnational relevant</w:t>
      </w:r>
    </w:p>
    <w:p>
      <w:r>
        <w:rPr>
          <w:color w:val="5A7D3A"/>
          <w:sz w:val="18"/>
        </w:rPr>
        <w:t>https://pubmed.ncbi.nlm.nih.gov/42727234/</w:t>
      </w:r>
    </w:p>
    <w:p>
      <w:pPr>
        <w:pStyle w:val="Heading1"/>
      </w:pPr>
      <w:r>
        <w:t>Aufgenommen am 14.09.2026</w:t>
      </w:r>
    </w:p>
    <w:p>
      <w:pPr>
        <w:pStyle w:val="Heading2"/>
      </w:pPr>
      <w:r>
        <w:t>Umweltbelastung und Frailty bei älteren Menschen nach Trauma: WTC-Responder-Kohorte</w:t>
      </w:r>
    </w:p>
    <w:p>
      <w:r>
        <w:rPr>
          <w:i/>
          <w:color w:val="666666"/>
          <w:sz w:val="18"/>
        </w:rPr>
        <w:t>Krasnov H et al.  ·  Nat Commun  ·  11.09.2026  ·  PMID 42728266</w:t>
      </w:r>
    </w:p>
    <w:p>
      <w:r>
        <w:t>Analysierte in Längsschnittkohort (18.734 WTC-Responder) den Zusammenhang zwischen städtischen Umweltexpositionen (Feinstaub, Temperatur, Grünflächen) und Frailty sowie psychiatrischen Symptomen, adjustiert für Traumaexposition.</w:t>
      </w:r>
    </w:p>
    <w:p>
      <w:r>
        <w:rPr>
          <w:b/>
        </w:rPr>
        <w:t xml:space="preserve">Ergebnis: </w:t>
      </w:r>
      <w:r>
        <w:t>Ein Dezil-Anstieg der Gesamt-Expositionsmischung assoziiert mit erhöhter Frailty (0,56%; 95%-KI: 0,14%-0,98%) und Post-Traumatic-Stress-Disorder-Scores (0,31%; 95%-KI: 0,07%-0,55%); Effekte stärker bei Responders mit höherer WTC-Exposition. Deutet auf biologische Langzeitvulnerabilität nach Trauma und Toxinexposition hin.</w:t>
      </w:r>
    </w:p>
    <w:p>
      <w:r>
        <w:rPr>
          <w:b/>
          <w:sz w:val="19"/>
        </w:rPr>
        <w:t xml:space="preserve">Übertragbarkeit: </w:t>
      </w:r>
      <w:r>
        <w:rPr>
          <w:sz w:val="19"/>
        </w:rPr>
        <w:t>USA-Kohorte; Befunde zu Umwelteffekten auf Frailty übertragbar, aber langfristige Trauma-Exposition länderspezifisch</w:t>
      </w:r>
    </w:p>
    <w:p>
      <w:r>
        <w:rPr>
          <w:color w:val="5A7D3A"/>
          <w:sz w:val="18"/>
        </w:rPr>
        <w:t>https://pubmed.ncbi.nlm.nih.gov/42728266/</w:t>
      </w:r>
    </w:p>
    <w:p>
      <w:pPr>
        <w:pStyle w:val="Heading2"/>
      </w:pPr>
      <w:r>
        <w:t>Terpenoide und Seneszenz in Lungenkrebszellen: Versorgungsrelevanz begrenzt</w:t>
      </w:r>
    </w:p>
    <w:p>
      <w:r>
        <w:rPr>
          <w:i/>
          <w:color w:val="666666"/>
          <w:sz w:val="18"/>
        </w:rPr>
        <w:t>Niharika K et al.  ·  Daru  ·  11.09.2026  ·  PMID 42726380</w:t>
      </w:r>
    </w:p>
    <w:p>
      <w:r>
        <w:t>Übersichtsarbeit zu 46 Terpenoiden mit Effekten auf Autophagie und zelluläre Seneszenz in Lungenkrebszellen in vitro (ohne In-vivo-Studien oder klinische Endpunkte).</w:t>
      </w:r>
    </w:p>
    <w:p>
      <w:r>
        <w:rPr>
          <w:b/>
        </w:rPr>
        <w:t xml:space="preserve">Ergebnis: </w:t>
      </w:r>
      <w:r>
        <w:t>Terpenoide beeinflussen zentrale Signalweg-Knoten (AMPK, NF-κB, MAPK, PI3K/AKT/mTOR, ROS, p53); begrenzte klinische Translation durch schlechte Löslichkeit und Bioverfügbarkeit. Überblick ohne Angabe von Effektgrößen oder klinischen Ergebnissen - ausgeschlossen da keine gemessenen Endpunkte beim Menschen.</w:t>
      </w:r>
    </w:p>
    <w:p>
      <w:r>
        <w:rPr>
          <w:color w:val="5A7D3A"/>
          <w:sz w:val="18"/>
        </w:rPr>
        <w:t>https://pubmed.ncbi.nlm.nih.gov/42726380/</w:t>
      </w:r>
    </w:p>
    <w:p>
      <w:pPr>
        <w:pStyle w:val="Heading2"/>
      </w:pPr>
      <w:r>
        <w:t>Muskelkraft und Mortalität im Alter: Versorgungsepidemiologie und Prävention</w:t>
      </w:r>
    </w:p>
    <w:p>
      <w:r>
        <w:rPr>
          <w:i/>
          <w:color w:val="666666"/>
          <w:sz w:val="18"/>
        </w:rPr>
        <w:t>Puelles-Diaz A  ·  Front Public Health  ·  27.08.2026  ·  PMID 42724145</w:t>
      </w:r>
    </w:p>
    <w:p>
      <w:r>
        <w:t>Analysierte Evidenz zur Muskelgesundheit (Kraft, Masse, Funktion) als eigenständiges Versorgungsziel in der Altersmedizin und entwickelte einen Implementierungsrahmen für Primary-Care-Assessment und Resistenztraining.</w:t>
      </w:r>
    </w:p>
    <w:p>
      <w:r>
        <w:rPr>
          <w:b/>
        </w:rPr>
        <w:t xml:space="preserve">Ergebnis: </w:t>
      </w:r>
      <w:r>
        <w:t>Muskelkraft sagt Mortalität voraus, unabhängig von körperlicher Aktivität; Randomisierte Studien mit bis zu 36 Monaten Nachverfolgung zeigen größere Nutzen durch Widerstands- und multimodale Trainingsprogramme (speziell bei Personen mit funktioneller Beeinträchtigung). Identifizierte drei Versorgungslücken: begrenzte Assessment-Nutzung in der Primärversorgung, fragmentierte Prävention mit Unterbewertung von Resistenztraining, fehlende funktionale Kapazität in globalen NCD-Rahmen.</w:t>
      </w:r>
    </w:p>
    <w:p>
      <w:r>
        <w:rPr>
          <w:b/>
          <w:sz w:val="19"/>
        </w:rPr>
        <w:t xml:space="preserve">Übertragbarkeit: </w:t>
      </w:r>
      <w:r>
        <w:rPr>
          <w:sz w:val="19"/>
        </w:rPr>
        <w:t>Internationale Evidenz aus Japan, Europa, Nordamerika und Brasilien mit direktem deutschem Versorgungsbezug</w:t>
      </w:r>
    </w:p>
    <w:p>
      <w:r>
        <w:rPr>
          <w:color w:val="5A7D3A"/>
          <w:sz w:val="18"/>
        </w:rPr>
        <w:t>https://pubmed.ncbi.nlm.nih.gov/42724145/</w:t>
      </w:r>
    </w:p>
    <w:p>
      <w:pPr>
        <w:pStyle w:val="Heading2"/>
      </w:pPr>
      <w:r>
        <w:t>Transitions-Care-Programm in Australien: Effektivität und Kosten 2006-2024</w:t>
      </w:r>
    </w:p>
    <w:p>
      <w:r>
        <w:rPr>
          <w:i/>
          <w:color w:val="666666"/>
          <w:sz w:val="18"/>
        </w:rPr>
        <w:t>Reid N et al.  ·  Australas J Ageing  ·  Sept. 2026  ·  PMID 42712137</w:t>
      </w:r>
    </w:p>
    <w:p>
      <w:r>
        <w:t>Analysierte 18 Jahre öffentlicher Daten zum australischen Kurz-Rehabilitations-Programm nach Klinikaufenthalt (Demografie, Inanspruchnahme, Kosten, funktioneller Status mit Modified-Barthel-Index).</w:t>
      </w:r>
    </w:p>
    <w:p>
      <w:r>
        <w:rPr>
          <w:b/>
        </w:rPr>
        <w:t xml:space="preserve">Ergebnis: </w:t>
      </w:r>
      <w:r>
        <w:t>351.981 Klienten über Studienzeitraum; Fallzahlen pro anno +143% (2006-2007 bis 2016-2017), dann Rückgang auf 14.388 (2022-2023). Verweildauer +60% (48 auf 77 Tage), Durchschnittskosten pro Episode +261% (A$9.996 auf A$36.093), jedoch minimale Änderung in Ein- (69,7-72,1) oder Austritts-MBI (79,5-83). Weniger Menschen erhalten Zugang trotz wachsender Bevölkerung und steigender zugeteilter Plätze.</w:t>
      </w:r>
    </w:p>
    <w:p>
      <w:r>
        <w:rPr>
          <w:b/>
          <w:sz w:val="19"/>
        </w:rPr>
        <w:t xml:space="preserve">Übertragbarkeit: </w:t>
      </w:r>
      <w:r>
        <w:rPr>
          <w:sz w:val="19"/>
        </w:rPr>
        <w:t>Australien, ähnliche Versorgungsstrukturen und Finanzierung wie europäische Sozialsysteme</w:t>
      </w:r>
    </w:p>
    <w:p>
      <w:r>
        <w:rPr>
          <w:color w:val="5A7D3A"/>
          <w:sz w:val="18"/>
        </w:rPr>
        <w:t>https://pubmed.ncbi.nlm.nih.gov/42712137/</w:t>
      </w:r>
    </w:p>
    <w:p>
      <w:pPr>
        <w:pStyle w:val="Heading2"/>
      </w:pPr>
      <w:r>
        <w:t>Healthspan-Strategien im italienischen Gesundheitssystem: Rahmenbedingungen und Prioritäten</w:t>
      </w:r>
    </w:p>
    <w:p>
      <w:r>
        <w:rPr>
          <w:i/>
          <w:color w:val="666666"/>
          <w:sz w:val="18"/>
        </w:rPr>
        <w:t>Marino N et al.  ·  Aging (Albany NY)  ·  16.07.2026  ·  PMID 42467494</w:t>
      </w:r>
    </w:p>
    <w:p>
      <w:r>
        <w:t>Position Paper zur Integration von Longevity Medicine (Prävention mit mehromischen Biomarkern und Risikoschichtung) in das italienische SSN vor dem Hintergrund von 24,1% der Bevölkerung ≥65 Jahre und einer Healthspan-Lücke von 15-16 Jahren.</w:t>
      </w:r>
    </w:p>
    <w:p>
      <w:r>
        <w:rPr>
          <w:b/>
        </w:rPr>
        <w:t xml:space="preserve">Ergebnis: </w:t>
      </w:r>
      <w:r>
        <w:t>Italien: höchster EU-Anteil Älterer (24,1%), median age 51 Jahre bis 2050 projiziert; Lebenserw. 85,4 (Frauen) / 81,4 (Männer) Jahre vs. gesunde Lebensjahre 69,6 / 68,5 (Lücke: 15-18 Jahre); Multimorbiditäts- und Behinderungsprävalenz &gt;60% bei ≥75-Jährigen. Empfiehlt fünf Investitionsprioritäten: validierte Biomarker biologisches Alter, digitale Plattformen, adaptive Studien, explainable-AI-Risikoschichtung, Lehrcurricula.</w:t>
      </w:r>
    </w:p>
    <w:p>
      <w:r>
        <w:rPr>
          <w:b/>
          <w:sz w:val="19"/>
        </w:rPr>
        <w:t xml:space="preserve">Übertragbarkeit: </w:t>
      </w:r>
      <w:r>
        <w:rPr>
          <w:sz w:val="19"/>
        </w:rPr>
        <w:t>Italien mit deutschsprachigem Raum vergleichbare Bevölkerungsstruktur und Sozialversicherung</w:t>
      </w:r>
    </w:p>
    <w:p>
      <w:r>
        <w:rPr>
          <w:color w:val="5A7D3A"/>
          <w:sz w:val="18"/>
        </w:rPr>
        <w:t>https://pubmed.ncbi.nlm.nih.gov/42467494/</w:t>
      </w:r>
    </w:p>
    <w:p>
      <w:pPr>
        <w:pStyle w:val="Heading1"/>
      </w:pPr>
      <w:r>
        <w:t>Aufgenommen am 13.09.2026</w:t>
      </w:r>
    </w:p>
    <w:p>
      <w:pPr>
        <w:pStyle w:val="Heading2"/>
      </w:pPr>
      <w:r>
        <w:t>Altern von Personen mit Typ-1-Diabetes: prospektive Kohorte zur funktionellen Fähigkeit</w:t>
      </w:r>
    </w:p>
    <w:p>
      <w:r>
        <w:rPr>
          <w:i/>
          <w:color w:val="666666"/>
          <w:sz w:val="18"/>
        </w:rPr>
        <w:t>Nicklén J et al.  ·  BMJ Open  ·  11.09.2026  ·  PMID 42731824</w:t>
      </w:r>
    </w:p>
    <w:p>
      <w:r>
        <w:t>Studienprotokoll für prospektive Kohortenstudie (FinnDiane LifeOne) mit mindestens 300 älteren Personen mit Typ-1-Diabetes (&gt;65 Jahre) und 100 gematchten Kontrollen zur Untersuchung der funktionellen Fähigkeit und gesunden Alterns über 5 Jahre mit geriatrischem Assessment.</w:t>
      </w:r>
    </w:p>
    <w:p>
      <w:r>
        <w:rPr>
          <w:b/>
        </w:rPr>
        <w:t xml:space="preserve">Ergebnis: </w:t>
      </w:r>
      <w:r>
        <w:t>Eingeschlossene Studien: ≥300 Patienten mit T1D, ≥100 Kontrollen, gematchte Vergleichgruppe. Umfassendes geriatrisches Assessment mit 5-jährlichen Intervallen. Fokus auf fünf Domänen der intrinsic capacity: Kognition, Vitalität, Sensomotorisch, Lokomotion, Psychologisch. Follow-up-Strukturen und Vergleichsdesign etabliert; endgültige Ergebnisse stehen aus.</w:t>
      </w:r>
    </w:p>
    <w:p>
      <w:r>
        <w:rPr>
          <w:b/>
          <w:sz w:val="19"/>
        </w:rPr>
        <w:t xml:space="preserve">Übertragbarkeit: </w:t>
      </w:r>
      <w:r>
        <w:rPr>
          <w:sz w:val="19"/>
        </w:rPr>
        <w:t>Skandinavisches Gesundheitssystem, prospektiv designt mit europäischen Standards; übertragbar auf Deutschland.</w:t>
      </w:r>
    </w:p>
    <w:p>
      <w:r>
        <w:rPr>
          <w:color w:val="5A7D3A"/>
          <w:sz w:val="18"/>
        </w:rPr>
        <w:t>https://pubmed.ncbi.nlm.nih.gov/42731824/</w:t>
      </w:r>
    </w:p>
    <w:p>
      <w:pPr>
        <w:pStyle w:val="Heading2"/>
      </w:pPr>
      <w:r>
        <w:t>Sitzzeit und Funktionsfähigkeit im Alter: Längere Sitzzeit reduziert Muskelmasse und ADL</w:t>
      </w:r>
    </w:p>
    <w:p>
      <w:r>
        <w:rPr>
          <w:i/>
          <w:color w:val="666666"/>
          <w:sz w:val="18"/>
        </w:rPr>
        <w:t>Yoon TH et al.  ·  PeerJ  ·  08.09.2026  ·  PMID 42730319</w:t>
      </w:r>
    </w:p>
    <w:p>
      <w:r>
        <w:t>Querschnittstudie an 200 Älteren (65–96 Jahre) zur Assoziation von täglicher Sitzzeit (&lt;6, 6–8, &gt;8 h) mit Sarcopenia-Markern und funktioneller Unabhängigkeit in ADL und IADL.</w:t>
      </w:r>
    </w:p>
    <w:p>
      <w:r>
        <w:rPr>
          <w:b/>
        </w:rPr>
        <w:t xml:space="preserve">Ergebnis: </w:t>
      </w:r>
      <w:r>
        <w:t>Höhere Sitzzeit war negativ mit Appendicular Skeletal Muscle (β = −0,415; p &lt; 0,001), Wadenschritt (β = −0,442; p &lt; 0,001) und Griffstärke (β = −0,385; p &lt; 0,001) assoziiert und positiv mit 5-Stühle-Stand-Test (β = 0,465; p &lt; 0,001). Sitzzeit korrelierte negativ mit ADL-Summe (β = −0,308; p &lt; 0,001) und IADL-Summe (β = −0,410; p &lt; 0,001). Assoziationen blieben nach Altersadjustierung signifikant.</w:t>
      </w:r>
    </w:p>
    <w:p>
      <w:r>
        <w:rPr>
          <w:b/>
          <w:sz w:val="19"/>
        </w:rPr>
        <w:t xml:space="preserve">Übertragbarkeit: </w:t>
      </w:r>
      <w:r>
        <w:rPr>
          <w:sz w:val="19"/>
        </w:rPr>
        <w:t>Prävention durch Reduktion von Sitzzeit ist in allen europäischen Kontexten implementierbar.</w:t>
      </w:r>
    </w:p>
    <w:p>
      <w:r>
        <w:rPr>
          <w:color w:val="5A7D3A"/>
          <w:sz w:val="18"/>
        </w:rPr>
        <w:t>https://pubmed.ncbi.nlm.nih.gov/42730319/</w:t>
      </w:r>
    </w:p>
    <w:p>
      <w:pPr>
        <w:pStyle w:val="Heading2"/>
      </w:pPr>
      <w:r>
        <w:t>Frailty und kognitives Altern: Assoziationen mit ungünstigeren kognitiven Verlaufsmustern</w:t>
      </w:r>
    </w:p>
    <w:p>
      <w:r>
        <w:rPr>
          <w:i/>
          <w:color w:val="666666"/>
          <w:sz w:val="18"/>
        </w:rPr>
        <w:t>Wang X et al.  ·  Alzheimers Dement  ·  Sept. 2026  ·  PMID 42723149</w:t>
      </w:r>
    </w:p>
    <w:p>
      <w:r>
        <w:t>Längsschnittstudie an 19.586 Personen aus drei nationalen Kohorten (China, England, USA) zur Assoziation von Frailty-Status und kognitiver Veränderung über Zeit.</w:t>
      </w:r>
    </w:p>
    <w:p>
      <w:r>
        <w:rPr>
          <w:b/>
        </w:rPr>
        <w:t xml:space="preserve">Ergebnis: </w:t>
      </w:r>
      <w:r>
        <w:t>Baseline-Frailty war mit stärkerem jährlichen kognitiven Rückgang assoziiert (β = −0,023 SD/Jahr; p &lt; 0,001). Verschlechterung von robust zu pre-frail oder frail war mit mehr negativem Rückgang verbunden (β = −0,025 SD/Jahr). In trajektoriengestützen Analysen zeigten Baseline-Frailty, höhere mittlere Frailty-Last und Frailty-Verschlechterung Assoziationen mit weniger günstigen kognitiven Verläufen. Frailty-Verbesserung war direktional mit günstigeren Gruppen assoziiert.</w:t>
      </w:r>
    </w:p>
    <w:p>
      <w:r>
        <w:rPr>
          <w:b/>
          <w:sz w:val="19"/>
        </w:rPr>
        <w:t xml:space="preserve">Übertragbarkeit: </w:t>
      </w:r>
      <w:r>
        <w:rPr>
          <w:sz w:val="19"/>
        </w:rPr>
        <w:t>Vergleichbare nationale Gesundheitsdatenstrukturen; kognitives Altern als Endpunkt relevant für deutsche Versorgung.</w:t>
      </w:r>
    </w:p>
    <w:p>
      <w:r>
        <w:rPr>
          <w:color w:val="5A7D3A"/>
          <w:sz w:val="18"/>
        </w:rPr>
        <w:t>https://pubmed.ncbi.nlm.nih.gov/42723149/</w:t>
      </w:r>
    </w:p>
    <w:p>
      <w:pPr>
        <w:pStyle w:val="Heading2"/>
      </w:pPr>
      <w:r>
        <w:t>Frailty und COPD: bidirektionale Beziehung im Kontext von Systemalterung und Trainingsresponse</w:t>
      </w:r>
    </w:p>
    <w:p>
      <w:r>
        <w:rPr>
          <w:i/>
          <w:color w:val="666666"/>
          <w:sz w:val="18"/>
        </w:rPr>
        <w:t>Maniscalco M et al.  ·  Eur Respir Rev  ·  09.09.2026  ·  PMID 42716547</w:t>
      </w:r>
    </w:p>
    <w:p>
      <w:r>
        <w:t>Narrative Übersichtsarbeit zu biologischen und klinischen Verbindungen von COPD, Frailty und körperlicher Aktivität unter Anwendung von Geroscience-Prinzipien.</w:t>
      </w:r>
    </w:p>
    <w:p>
      <w:r>
        <w:rPr>
          <w:b/>
        </w:rPr>
        <w:t xml:space="preserve">Ergebnis: </w:t>
      </w:r>
      <w:r>
        <w:t>Gemeinsame biologische Mechanismen: chronische Entzündung, oxidativer Stress, Mitochondriendysfunktion, Muskelatrophie. Kombiniertes aerobes, Widerstands- und Balance-Training zeigt stärkste Evidenz zur Verbesserung von Funktionsstatus und Lebensqualität bei frail-COPD. Exercise induziert Hormeseeffekte: gesteigerte Mitochondriogenese, verbessertes Redox-Balance, Upregulation von antioxidativen Wegen und Zellreparaturmechanismen.</w:t>
      </w:r>
    </w:p>
    <w:p>
      <w:r>
        <w:rPr>
          <w:b/>
          <w:sz w:val="19"/>
        </w:rPr>
        <w:t xml:space="preserve">Übertragbarkeit: </w:t>
      </w:r>
      <w:r>
        <w:rPr>
          <w:sz w:val="19"/>
        </w:rPr>
        <w:t>Geroscience-Rahmen auf deutsche COPD-Versorgung und Rehabilitation übertragbar.</w:t>
      </w:r>
    </w:p>
    <w:p>
      <w:r>
        <w:rPr>
          <w:color w:val="5A7D3A"/>
          <w:sz w:val="18"/>
        </w:rPr>
        <w:t>https://pubmed.ncbi.nlm.nih.gov/42716547/</w:t>
      </w:r>
    </w:p>
    <w:p>
      <w:pPr>
        <w:pStyle w:val="Heading2"/>
      </w:pPr>
      <w:r>
        <w:t>Normaler altersgerechter Rückgang der Vitalkapazität: systematische Analyse und Metaanalyse</w:t>
      </w:r>
    </w:p>
    <w:p>
      <w:r>
        <w:rPr>
          <w:i/>
          <w:color w:val="666666"/>
          <w:sz w:val="18"/>
        </w:rPr>
        <w:t>Satia I et al.  ·  Eur Respir Rev  ·  09.09.2026  ·  PMID 42716546</w:t>
      </w:r>
    </w:p>
    <w:p>
      <w:r>
        <w:t>Systematische Übersichtsarbeit und Metaanalyse von 35 Kohorten mit über 365.000 Teilnehmern zu altersbezogenen Veränderungen der Vitalkapazität (FVC) bei Personen ohne Lungenerkrankung über bis zu 35 Jahre Follow-up.</w:t>
      </w:r>
    </w:p>
    <w:p>
      <w:r>
        <w:rPr>
          <w:b/>
        </w:rPr>
        <w:t xml:space="preserve">Ergebnis: </w:t>
      </w:r>
      <w:r>
        <w:t>FVC erreicht Spitzenwert Mitte 20er, sinkt kontinuierlich linear ab ohne Plateau. Bei Frauen Abfall von ca. 26 mL/Jahr, bei Männern biphasisch: ca. 22 mL/Jahr vor 40 Jahren, dann ca. 36 mL/Jahr. Durchschnittlicher altersgerechter Rückgang 20–30 mL pro Jahr. Diese normativen Trajektorien sind essentiell zur Differenzierung gesunden Alterns von pathologischem Rückgang.</w:t>
      </w:r>
    </w:p>
    <w:p>
      <w:r>
        <w:rPr>
          <w:b/>
          <w:sz w:val="19"/>
        </w:rPr>
        <w:t xml:space="preserve">Übertragbarkeit: </w:t>
      </w:r>
      <w:r>
        <w:rPr>
          <w:sz w:val="19"/>
        </w:rPr>
        <w:t>Deutschland und europäische Spirometriestandards; Benchmark ist grundlegend für klinische Interpretation.</w:t>
      </w:r>
    </w:p>
    <w:p>
      <w:r>
        <w:rPr>
          <w:color w:val="5A7D3A"/>
          <w:sz w:val="18"/>
        </w:rPr>
        <w:t>https://pubmed.ncbi.nlm.nih.gov/42716546/</w:t>
      </w:r>
    </w:p>
    <w:p>
      <w:pPr>
        <w:pStyle w:val="Heading2"/>
      </w:pPr>
      <w:r>
        <w:t>Netzwerk-Analyse der Lebensqualität bei älteren Koreanern: Depression dominiert das frail-Netzwerk</w:t>
      </w:r>
    </w:p>
    <w:p>
      <w:r>
        <w:rPr>
          <w:i/>
          <w:color w:val="666666"/>
          <w:sz w:val="18"/>
        </w:rPr>
        <w:t>Kim S et al.  ·  Geriatr Gerontol Int  ·  Sept. 2026  ·  PMID 42716517</w:t>
      </w:r>
    </w:p>
    <w:p>
      <w:r>
        <w:t>Netzwerk-Analyse an 1.311 älteren Koreanern (≥65 Jahre) zur Struktur der gesundheitsbezogenen Lebensqualität (HRQoL) im Vergleich zwischen frail und non-frail-Gruppen.</w:t>
      </w:r>
    </w:p>
    <w:p>
      <w:r>
        <w:rPr>
          <w:b/>
        </w:rPr>
        <w:t xml:space="preserve">Ergebnis: </w:t>
      </w:r>
      <w:r>
        <w:t>Bei frail-Gruppe war Depression-Glück die stärkste Assoziation mit hoher Zentralität bei Arbeit, Depression, Glück und Schlaf. Bei non-frail-Gruppe dominierten physikalisch-soziale Domänen (Treppensteigen-Schmerz stärkster Link, zentral: Arbeit, Treppensteigen, Schmerz). Arbeit zeigte konsistent hohe Zentralität in beiden Gruppen, was Rollenpartizipation als Hebel für HRQoL-Verbesserung unterstreicht.</w:t>
      </w:r>
    </w:p>
    <w:p>
      <w:r>
        <w:rPr>
          <w:b/>
          <w:sz w:val="19"/>
        </w:rPr>
        <w:t xml:space="preserve">Übertragbarkeit: </w:t>
      </w:r>
      <w:r>
        <w:rPr>
          <w:sz w:val="19"/>
        </w:rPr>
        <w:t>Strukturelle Vergleichbarkeit der Frailty-Definitionen mit europäischen Standards gegeben.</w:t>
      </w:r>
    </w:p>
    <w:p>
      <w:r>
        <w:rPr>
          <w:color w:val="5A7D3A"/>
          <w:sz w:val="18"/>
        </w:rPr>
        <w:t>https://pubmed.ncbi.nlm.nih.gov/42716517/</w:t>
      </w:r>
    </w:p>
    <w:p>
      <w:pPr>
        <w:pStyle w:val="Heading2"/>
      </w:pPr>
      <w:r>
        <w:t>Hereditäre hämorrhagische Teleangiektasie reduziert die Lebenserwartung um 7,5 Jahre</w:t>
      </w:r>
    </w:p>
    <w:p>
      <w:r>
        <w:rPr>
          <w:i/>
          <w:color w:val="666666"/>
          <w:sz w:val="18"/>
        </w:rPr>
        <w:t>Emanuelsson CA et al.  ·  J Intern Med  ·  06.07.2026  ·  PMID 42410718</w:t>
      </w:r>
    </w:p>
    <w:p>
      <w:r>
        <w:t>Schwedische populationsbasierte Registerstudie mit 393 HHT-Patienten und 1.965 alters- und geschlechtsgematchten Kontrollen zur Mortalität und Todesursachen über 17 Jahre Nachbeobachtung (2001–2018).</w:t>
      </w:r>
    </w:p>
    <w:p>
      <w:r>
        <w:rPr>
          <w:b/>
        </w:rPr>
        <w:t xml:space="preserve">Ergebnis: </w:t>
      </w:r>
      <w:r>
        <w:t>Lebenserwartung nach 30 Jahren bei HHT: 73,0 Jahre (68,0–77,2) vs. 80,5 Jahre (79,1–82,0) bei Kontrollen; Differenz 7,5 Jahre. Häufigere Todesursachen bei HHT: ischämische Herzerkrankung, arterielle Erkrankungen und Leberkrankheiten signifikant erhöht. HHT-Prävalenz: 9,3 pro 100.000 über 12 Jahre; mögliche Unterdiagnose bei milderen Symptomen.</w:t>
      </w:r>
    </w:p>
    <w:p>
      <w:r>
        <w:rPr>
          <w:b/>
          <w:sz w:val="19"/>
        </w:rPr>
        <w:t xml:space="preserve">Übertragbarkeit: </w:t>
      </w:r>
      <w:r>
        <w:rPr>
          <w:sz w:val="19"/>
        </w:rPr>
        <w:t>Skandinavisches Register mit Deutschland vergleichbar; Versorgungsplanning für rare diseases relevant.</w:t>
      </w:r>
    </w:p>
    <w:p>
      <w:r>
        <w:rPr>
          <w:color w:val="5A7D3A"/>
          <w:sz w:val="18"/>
        </w:rPr>
        <w:t>https://pubmed.ncbi.nlm.nih.gov/42410718/</w:t>
      </w:r>
    </w:p>
    <w:p>
      <w:pPr>
        <w:pStyle w:val="Heading1"/>
      </w:pPr>
      <w:r>
        <w:t>Aufgenommen am 12.09.2026</w:t>
      </w:r>
    </w:p>
    <w:p>
      <w:pPr>
        <w:pStyle w:val="Heading2"/>
      </w:pPr>
      <w:r>
        <w:t>Multimorbidität im hohen Alter: Krankheitsansammlung verlangsamt sich, Komplexität nimmt zu</w:t>
      </w:r>
    </w:p>
    <w:p>
      <w:r>
        <w:rPr>
          <w:i/>
          <w:color w:val="666666"/>
          <w:sz w:val="18"/>
        </w:rPr>
        <w:t>Zhang Y et al.  ·  Age Ageing  ·  04.09.2026  ·  PMID 42726903</w:t>
      </w:r>
    </w:p>
    <w:p>
      <w:r>
        <w:t>Schwedische Registeranalyse der Krankheitsansammlung bei 1920–1922 geborenen Personen von Alter 70 bis 100 Jahren.</w:t>
      </w:r>
    </w:p>
    <w:p>
      <w:r>
        <w:rPr>
          <w:b/>
        </w:rPr>
        <w:t xml:space="preserve">Ergebnis: </w:t>
      </w:r>
      <w:r>
        <w:t>Mit 90 Jahren durchschnittlich 3,9 Erkrankungen bei Männern und 3,5 bei Frauen; über die Hälfte der ≥95-Jährigen hatte ≥5 Erkrankungen. Krankheitsansammlung beschleunigte sich bis 80, stabilisierte sich 80–90, verlangsamte sich danach, aber Komplexität und Krankheitslast stiegen bis ins extreme Alter weiter. Kardiovaskuläre Erkrankungen dominierten durchgehend, Muskel- und Sinneserkrankungen wurden im hohen Alter wichtiger.</w:t>
      </w:r>
    </w:p>
    <w:p>
      <w:r>
        <w:rPr>
          <w:b/>
          <w:sz w:val="19"/>
        </w:rPr>
        <w:t xml:space="preserve">Übertragbarkeit: </w:t>
      </w:r>
      <w:r>
        <w:rPr>
          <w:sz w:val="19"/>
        </w:rPr>
        <w:t>Schweden, vergleichbare Lebenserwartung und Versorgungsstruktur</w:t>
      </w:r>
    </w:p>
    <w:p>
      <w:r>
        <w:rPr>
          <w:color w:val="5A7D3A"/>
          <w:sz w:val="18"/>
        </w:rPr>
        <w:t>https://pubmed.ncbi.nlm.nih.gov/42726903/</w:t>
      </w:r>
    </w:p>
    <w:p>
      <w:pPr>
        <w:pStyle w:val="Heading2"/>
      </w:pPr>
      <w:r>
        <w:t>Gebrechlichkeit bei Multimorbidität: Prävalenz und Risikofaktoren in der Gemeinde</w:t>
      </w:r>
    </w:p>
    <w:p>
      <w:r>
        <w:rPr>
          <w:i/>
          <w:color w:val="666666"/>
          <w:sz w:val="18"/>
        </w:rPr>
        <w:t>Feng S et al.  ·  Front Public Health  ·  27.08.2026  ·  PMID 42725090</w:t>
      </w:r>
    </w:p>
    <w:p>
      <w:r>
        <w:t>Querschnittsstudie bei 346 multimorbiden älteren Erwachsenen (≥60 Jahre) in fünf Gemeinden Chinas zur Prävalenz und unabhängigen Risikofaktoren für Gebrechlichkeit (Frailty).</w:t>
      </w:r>
    </w:p>
    <w:p>
      <w:r>
        <w:rPr>
          <w:b/>
        </w:rPr>
        <w:t xml:space="preserve">Ergebnis: </w:t>
      </w:r>
      <w:r>
        <w:t>52,9% (183/346) waren gebrechlich. Unabhängige Faktoren: Alter 70–80 Jahre (OR 2,64, 95%-KI 1,03–6,79), ≥80 Jahre (OR 4,92, 1,87–12,96); Krankenhausaufnahme wegen akuter Ereignisse im vergangenen Jahr (OR 1,84, 1,04–3,27); Landbewohner vs. städtisch (OR 0,34, 0,19–0,60). Normale Ernährung (OR 0,23, 0,16–0,50) und volle Aktivitätsunabhängigkeit (OR 0,21, 0,06–0,79) waren protektiv. Familienbetreuung vs. Selbstpflege (OR 0,39, 0,16–0,95) reduzierte Frailty-Risiko.</w:t>
      </w:r>
    </w:p>
    <w:p>
      <w:r>
        <w:rPr>
          <w:b/>
          <w:sz w:val="19"/>
        </w:rPr>
        <w:t xml:space="preserve">Übertragbarkeit: </w:t>
      </w:r>
      <w:r>
        <w:rPr>
          <w:sz w:val="19"/>
        </w:rPr>
        <w:t>China, andere Gesundheitsinfrastruktur; Screening-Muster teilweise übertragbar</w:t>
      </w:r>
    </w:p>
    <w:p>
      <w:r>
        <w:rPr>
          <w:color w:val="5A7D3A"/>
          <w:sz w:val="18"/>
        </w:rPr>
        <w:t>https://pubmed.ncbi.nlm.nih.gov/42725090/</w:t>
      </w:r>
    </w:p>
    <w:p>
      <w:pPr>
        <w:pStyle w:val="Heading2"/>
      </w:pPr>
      <w:r>
        <w:t>Präoperative Gebrechlichkeit und postoperative Komplikationen bei Hüftfrakturchirurgie</w:t>
      </w:r>
    </w:p>
    <w:p>
      <w:r>
        <w:rPr>
          <w:i/>
          <w:color w:val="666666"/>
          <w:sz w:val="18"/>
        </w:rPr>
        <w:t>Yonekura H et al.  ·  Geriatr Gerontol Int  ·  Sept. 2026  ·  PMID 42723340</w:t>
      </w:r>
    </w:p>
    <w:p>
      <w:r>
        <w:t>Analyse von 29.684 älteren Patienten (≥65 Jahre) in Japan mit Hüftfrakturoperationen (2005–2021) zu Assoziationen zwischen präoperativem Frailty-Risiko-Score und postoperativen Komplikationen mittels Krankenhausregister.</w:t>
      </w:r>
    </w:p>
    <w:p>
      <w:r>
        <w:rPr>
          <w:b/>
        </w:rPr>
        <w:t xml:space="preserve">Ergebnis: </w:t>
      </w:r>
      <w:r>
        <w:t>59,5% (17.656) waren gebrechlich (Hospital Frailty Risk Score ≥5). Präoperative Gebrechlichkeit nicht mit akutem Nierenversagen assoziiert (OR 0,97, KI 0,83–1,14; p=0,72) oder Major Adverse Kidney Events (OR 1,07, 0,80–1,44; p=0,65), aber signifikant mit Lungenkomplikationen (OR 1,68, 1,39–2,02; p&lt;0,001), postoperativem Delir (OR 1,35, 1,13–1,62; p&lt;0,001), höherer Transfusionsrate und längerer Krankenhausdauer assoziiert.</w:t>
      </w:r>
    </w:p>
    <w:p>
      <w:r>
        <w:rPr>
          <w:b/>
          <w:sz w:val="19"/>
        </w:rPr>
        <w:t xml:space="preserve">Übertragbarkeit: </w:t>
      </w:r>
      <w:r>
        <w:rPr>
          <w:sz w:val="19"/>
        </w:rPr>
        <w:t>Japan, vergleichbare Finanzierung, Operationsindikationen ähnlich zu Deutschland</w:t>
      </w:r>
    </w:p>
    <w:p>
      <w:r>
        <w:rPr>
          <w:color w:val="5A7D3A"/>
          <w:sz w:val="18"/>
        </w:rPr>
        <w:t>https://pubmed.ncbi.nlm.nih.gov/42723340/</w:t>
      </w:r>
    </w:p>
    <w:p>
      <w:pPr>
        <w:pStyle w:val="Heading2"/>
      </w:pPr>
      <w:r>
        <w:t>Gebrechlichkeit am Lebensende: wer hat Anspruch auf assistierten Freitod?</w:t>
      </w:r>
    </w:p>
    <w:p>
      <w:r>
        <w:rPr>
          <w:i/>
          <w:color w:val="666666"/>
          <w:sz w:val="18"/>
        </w:rPr>
        <w:t>Squeri T et al.  ·  Age Ageing  ·  04.09.2026  ·  PMID 42709408</w:t>
      </w:r>
    </w:p>
    <w:p>
      <w:r>
        <w:t>Vergleichende Analyse der Häufigkeit und rechtlichen Zulässigkeit von Gebrechlichkeit (Frailty) als Indikation für assistierten Freitod in Jurisdiktionen mit reguliertem Zugang.</w:t>
      </w:r>
    </w:p>
    <w:p>
      <w:r>
        <w:rPr>
          <w:b/>
        </w:rPr>
        <w:t xml:space="preserve">Ergebnis: </w:t>
      </w:r>
      <w:r>
        <w:t>Nur Kanada und Niederlande berichten die Häufigkeit: 9,07% der Freitode in Kanada 2023 waren mit Gebrechlichkeit assoziiert (als Hauptdiagnose oder Komorbidität), in den Niederlanden 3,85% mit multiplen geriatrischen Syndromen. 11 Jurisdiktionen: Gebrechlichkeit wahrscheinlich nicht zulässig; 6: schwere Gebrechlichkeit erfüllt Kriterien; 14: unklar. Erhebliches Reporting-Defizit und regulatorische Mehrdeutigkeit.</w:t>
      </w:r>
    </w:p>
    <w:p>
      <w:r>
        <w:rPr>
          <w:b/>
          <w:sz w:val="19"/>
        </w:rPr>
        <w:t xml:space="preserve">Übertragbarkeit: </w:t>
      </w:r>
      <w:r>
        <w:rPr>
          <w:sz w:val="19"/>
        </w:rPr>
        <w:t>Internationale Perspektive, begrenzte Relevanz für deutsches Recht</w:t>
      </w:r>
    </w:p>
    <w:p>
      <w:r>
        <w:rPr>
          <w:color w:val="5A7D3A"/>
          <w:sz w:val="18"/>
        </w:rPr>
        <w:t>https://pubmed.ncbi.nlm.nih.gov/42709408/</w:t>
      </w:r>
    </w:p>
    <w:p>
      <w:pPr>
        <w:pStyle w:val="Heading2"/>
      </w:pPr>
      <w:r>
        <w:t>Kognitive Alterung als sozial strukturierter Prozess: Lebenskurs, Ungleichheit und institutionelle Kontexte</w:t>
      </w:r>
    </w:p>
    <w:p>
      <w:r>
        <w:rPr>
          <w:i/>
          <w:color w:val="666666"/>
          <w:sz w:val="18"/>
        </w:rPr>
        <w:t>Bertogg A et al.  ·  Soc Sci Med  ·  01.08.2026  ·  PMID 42561791</w:t>
      </w:r>
    </w:p>
    <w:p>
      <w:r>
        <w:t>Editorial zu Spezialausgabe, die kognitives Altern als von Lebenslauf, sozialen Ungleichheiten und Institutionen geprägte Prozesse konzeptualisiert; Synthese länderübergreifender Studien aus Europa, Nordamerika, Lateinamerika und Asien.</w:t>
      </w:r>
    </w:p>
    <w:p>
      <w:r>
        <w:rPr>
          <w:b/>
        </w:rPr>
        <w:t xml:space="preserve">Ergebnis: </w:t>
      </w:r>
      <w:r>
        <w:t>Längsschnittstudien, Register, qualitative Interviews und ethnographische Arbeiten dokumentieren bleibende Einflüsse von Kindheitsbedingungen, Bildung, Berufslaufbahn, Familie, sozialer Partizipation, Nachbarschaft und Wohlfahrtsregimen auf späte kognitive Leistung. Ungleichheiten nach Geschlecht, Ethnie, Migrationshintergrund und Ort prägen kognitives Altern über die Lebensspanne. Infrastruktur, Gesundheitssysteme und politisch-ökonomische Veränderungen beeinflussen kognitive Reserven.</w:t>
      </w:r>
    </w:p>
    <w:p>
      <w:r>
        <w:rPr>
          <w:b/>
          <w:sz w:val="19"/>
        </w:rPr>
        <w:t xml:space="preserve">Übertragbarkeit: </w:t>
      </w:r>
      <w:r>
        <w:rPr>
          <w:sz w:val="19"/>
        </w:rPr>
        <w:t>Europäische und deutschsprachige Beiträge, vergleichbare Wohlfahrtssysteme</w:t>
      </w:r>
    </w:p>
    <w:p>
      <w:r>
        <w:rPr>
          <w:color w:val="5A7D3A"/>
          <w:sz w:val="18"/>
        </w:rPr>
        <w:t>https://pubmed.ncbi.nlm.nih.gov/42561791/</w:t>
      </w:r>
    </w:p>
    <w:p>
      <w:pPr>
        <w:pStyle w:val="Heading2"/>
      </w:pPr>
      <w:r>
        <w:t>Berufswahl Geriatrie: persönliche Zuneigung und Spezialisierungsanreize bei Medizinern</w:t>
      </w:r>
    </w:p>
    <w:p>
      <w:r>
        <w:rPr>
          <w:i/>
          <w:color w:val="666666"/>
          <w:sz w:val="18"/>
        </w:rPr>
        <w:t>Martín ML et al.  ·  Eur Geriatr Med  ·  11.07.2026  ·  PMID 42435263</w:t>
      </w:r>
    </w:p>
    <w:p>
      <w:r>
        <w:t>Qualitative Befragung (N=129) spanischer Medizinresidenten zu Faktoren, die die Wahl der Geriatrie beeinflussen, und Einfluss geriatrischer Schulung während des Studiums.</w:t>
      </w:r>
    </w:p>
    <w:p>
      <w:r>
        <w:rPr>
          <w:b/>
        </w:rPr>
        <w:t xml:space="preserve">Ergebnis: </w:t>
      </w:r>
      <w:r>
        <w:t>89% bereits mit Fachgebiet vertraut; 46% hatten theoretische und praktische geriatrische Schulung während des Studiums erhalten. Häufigste Faktoren: Affinität zu älteren Menschen (95%), Patientenkommunikation und Familie (90%), multidisziplinäres Arbeiten (86%), klinische Komplexität (84%), Multimorbidität (82%). Mit vollständiger geriatrischer Schulung 75% vs. 54% (p=0,02) erwogen Geriatrie als Fachgebiet; klinische Komplexität war signifikant wichtiger unter denen mit vollständiger Schulung (92% vs. 77%, p=0,027).</w:t>
      </w:r>
    </w:p>
    <w:p>
      <w:r>
        <w:rPr>
          <w:b/>
          <w:sz w:val="19"/>
        </w:rPr>
        <w:t xml:space="preserve">Übertragbarkeit: </w:t>
      </w:r>
      <w:r>
        <w:rPr>
          <w:sz w:val="19"/>
        </w:rPr>
        <w:t>Spanien, europäische Gesundheitspolitik, Ärztenachwuchs vergleichbar</w:t>
      </w:r>
    </w:p>
    <w:p>
      <w:r>
        <w:rPr>
          <w:color w:val="5A7D3A"/>
          <w:sz w:val="18"/>
        </w:rPr>
        <w:t>https://pubmed.ncbi.nlm.nih.gov/42435263/</w:t>
      </w:r>
    </w:p>
    <w:p>
      <w:pPr>
        <w:pStyle w:val="Heading1"/>
      </w:pPr>
      <w:r>
        <w:t>Aufgenommen am 11.09.2026</w:t>
      </w:r>
    </w:p>
    <w:p>
      <w:pPr>
        <w:pStyle w:val="Heading2"/>
      </w:pPr>
      <w:r>
        <w:t>Gesunde Arbeitsjahre: Länder- und individuelle Faktoren in multinationaler Kohorte</w:t>
      </w:r>
    </w:p>
    <w:p>
      <w:r>
        <w:rPr>
          <w:i/>
          <w:color w:val="666666"/>
          <w:sz w:val="18"/>
        </w:rPr>
        <w:t>Zhu J et al.  ·  PLoS Med  ·  10.09.2026  ·  PMID 42721193</w:t>
      </w:r>
    </w:p>
    <w:p>
      <w:r>
        <w:t>Multinational prospektive Kohortenstudie mit 79.833 Männern und 95.485 Frauen ≥50 Jahren aus 28 Ländern zu Einflussfaktoren auf die Anzahl gesunder, berufstätiger Lebensjahre.</w:t>
      </w:r>
    </w:p>
    <w:p>
      <w:r>
        <w:rPr>
          <w:b/>
        </w:rPr>
        <w:t xml:space="preserve">Ergebnis: </w:t>
      </w:r>
      <w:r>
        <w:t>Mit 50 Jahren: durchschnittliche Gesamtlebenserwartung 33,59 Jahre, davon 10,98 Jahre in Gesundheit und Erwerbstätigkeit (HWLE). Frauen: 9,82 Jahre HWLE, Männer: 12,36 Jahre. Verheiratung, höhere Bildung, gesunde Lebensstile verlängern HWLE. Schlaganfall reduziert HWLE um 5,49 Jahre. Länderebene: höhere Gesundheitsausgaben, höheres BIP pro Kopf, bessere Governance und flexible Arbeitsbedingungen assoziiert mit längerer HWLE. Höhere Ungleichheit (Gini-Index) und politische Instabilität reduzieren HWLE.</w:t>
      </w:r>
    </w:p>
    <w:p>
      <w:r>
        <w:rPr>
          <w:b/>
          <w:sz w:val="19"/>
        </w:rPr>
        <w:t xml:space="preserve">Übertragbarkeit: </w:t>
      </w:r>
      <w:r>
        <w:rPr>
          <w:sz w:val="19"/>
        </w:rPr>
        <w:t>Länderübergreifend, einzelne europäische Länder eingeschlossen, zeigt Wirksamkeit von Prävention und Arbeitsbedingungen</w:t>
      </w:r>
    </w:p>
    <w:p>
      <w:r>
        <w:rPr>
          <w:color w:val="5A7D3A"/>
          <w:sz w:val="18"/>
        </w:rPr>
        <w:t>https://pubmed.ncbi.nlm.nih.gov/42721193/</w:t>
      </w:r>
    </w:p>
    <w:p>
      <w:pPr>
        <w:pStyle w:val="Heading2"/>
      </w:pPr>
      <w:r>
        <w:t>Biologisches Altern und Osteoarthritis-Risiko: Kohortenstudie UK Biobank</w:t>
      </w:r>
    </w:p>
    <w:p>
      <w:r>
        <w:rPr>
          <w:i/>
          <w:color w:val="666666"/>
          <w:sz w:val="18"/>
        </w:rPr>
        <w:t>Liu S et al.  ·  Int J Rheum Dis  ·  Sept. 2026  ·  PMID 42687813</w:t>
      </w:r>
    </w:p>
    <w:p>
      <w:r>
        <w:t>Querschnitts- und Längsschnittanalyse an 332.261 UK-Biobank-Teilnehmern zu Assoziation zwischen biologischem Altern (gemessen durch PhenoAge und KDMAge) und Osteoarthritis-Inzidenz.</w:t>
      </w:r>
    </w:p>
    <w:p>
      <w:r>
        <w:rPr>
          <w:b/>
        </w:rPr>
        <w:t xml:space="preserve">Ergebnis: </w:t>
      </w:r>
      <w:r>
        <w:t>55,4 % der Kohorte zeigten jüngeres biologisches Alter (PhenoAge Acceleration). Im Querschnitt: höhere Odds für OA bei beschleunigtem biologischen Altern (OR 1,12 für PhenoAge, 95 % CI 1,09–1,14; OR 1,05 für KDMAge, 95 % CI 1,03–1,08). Längsschnittlich (Follow-up): PhenoAge-Beschleunigung erhöhte OA-Risiko (HR 1,12, 95 % CI 1,10–1,15). KDMAge zeigte keine signifikante Längsassoziaton. Effekt stärker bei &gt;60 Jahren. Biologische Altersbeschleunigung ist vom OA-Polygenic-Risk-Score unabhängig.</w:t>
      </w:r>
    </w:p>
    <w:p>
      <w:r>
        <w:rPr>
          <w:b/>
          <w:sz w:val="19"/>
        </w:rPr>
        <w:t xml:space="preserve">Übertragbarkeit: </w:t>
      </w:r>
      <w:r>
        <w:rPr>
          <w:sz w:val="19"/>
        </w:rPr>
        <w:t>UK Biobank, vergleichbares englisches Sozialversicherungssystem, biomarkergestützte Risikovorhersage</w:t>
      </w:r>
    </w:p>
    <w:p>
      <w:r>
        <w:rPr>
          <w:color w:val="5A7D3A"/>
          <w:sz w:val="18"/>
        </w:rPr>
        <w:t>https://pubmed.ncbi.nlm.nih.gov/42687813/</w:t>
      </w:r>
    </w:p>
    <w:p>
      <w:pPr>
        <w:pStyle w:val="Heading2"/>
      </w:pPr>
      <w:r>
        <w:t>Hochaltrige in Deutschland: Demografie, regionale Ungleichheiten und Gesundheit</w:t>
      </w:r>
    </w:p>
    <w:p>
      <w:r>
        <w:rPr>
          <w:i/>
          <w:color w:val="666666"/>
          <w:sz w:val="18"/>
        </w:rPr>
        <w:t>Wolter B et al.  ·  Bundesgesundheitsblatt Gesundheitsforschung Gesundheitsschutz  ·  18.08.2026  ·  PMID 42611051</w:t>
      </w:r>
    </w:p>
    <w:p>
      <w:r>
        <w:t>Deutschlandweite Beschreibung der Demografie, Lebenslage und Gesundheit von über 80-Jährigen auf Basis der repräsentativen Studien Gesundheit 65+ und D80+.</w:t>
      </w:r>
    </w:p>
    <w:p>
      <w:r>
        <w:rPr>
          <w:b/>
        </w:rPr>
        <w:t xml:space="preserve">Ergebnis: </w:t>
      </w:r>
      <w:r>
        <w:t>Etwa ein Viertel der Hochaltrigen hat starke funktionale Einschränkungen (beide Datensätze konsistent). Männer zeigen bessere Alltagsfunktionalität als Frauen. Ein Drittel ist beim Gehen &gt;1 km, ein Sechstel beim Treppensteigen stark beeinträchtigt. Schwere Sehverluste bei 10 %, Hörverluste bei 27 %. Harninkontinenz betrifft 40 % (Frauen häufiger). 43 % sind pre-frail, 8,6 % frail. Funktionale Einschränkungen sind besonders bei Frauen und Niedrigeinkommen ausgeprägt.</w:t>
      </w:r>
    </w:p>
    <w:p>
      <w:r>
        <w:rPr>
          <w:b/>
          <w:sz w:val="19"/>
        </w:rPr>
        <w:t xml:space="preserve">Übertragbarkeit: </w:t>
      </w:r>
      <w:r>
        <w:rPr>
          <w:sz w:val="19"/>
        </w:rPr>
        <w:t>Deutsche Daten aus RKI und ceres, direkt anwendbar</w:t>
      </w:r>
    </w:p>
    <w:p>
      <w:r>
        <w:rPr>
          <w:color w:val="5A7D3A"/>
          <w:sz w:val="18"/>
        </w:rPr>
        <w:t>https://pubmed.ncbi.nlm.nih.gov/42611051/</w:t>
      </w:r>
    </w:p>
    <w:p>
      <w:pPr>
        <w:pStyle w:val="Heading2"/>
      </w:pPr>
      <w:r>
        <w:t>Präventive Hausbesuche zur Gesundheitsförderung älterer Menschen</w:t>
      </w:r>
    </w:p>
    <w:p>
      <w:r>
        <w:rPr>
          <w:i/>
          <w:color w:val="666666"/>
          <w:sz w:val="18"/>
        </w:rPr>
        <w:t>Blotenberg B et al.  ·  Bundesgesundheitsblatt Gesundheitsforschung Gesundheitsschutz  ·  13.08.2026  ·  PMID 42593520</w:t>
      </w:r>
    </w:p>
    <w:p>
      <w:r>
        <w:t>Diskussionsbeitrag zu Konzeption, Effektivität und Finanzierungserfordernissen präventiver Hausbesuche als niedrigschwellige Versorgungsform in Deutschland.</w:t>
      </w:r>
    </w:p>
    <w:p>
      <w:r>
        <w:rPr>
          <w:b/>
        </w:rPr>
        <w:t xml:space="preserve">Ergebnis: </w:t>
      </w:r>
      <w:r>
        <w:t>In Deutschland wachsende Zahl von Projekten mit unterschiedlichen Konzepten. PHB können Sturzrisiken, soziale Isolation und Ernährungsmängel früh erkennen und Versorgungskompetenz stärken. Zentrale Herausforderung: Langzeitfinanzierung und Verstetigung bislang projektförmig organisierter Angebote. Forderung: Bessere Verankerung in gesetzlicher Kranken- und Pflegeversicherung.</w:t>
      </w:r>
    </w:p>
    <w:p>
      <w:r>
        <w:rPr>
          <w:b/>
          <w:sz w:val="19"/>
        </w:rPr>
        <w:t xml:space="preserve">Übertragbarkeit: </w:t>
      </w:r>
      <w:r>
        <w:rPr>
          <w:sz w:val="19"/>
        </w:rPr>
        <w:t>Deutsche Gesundheitslandschaft, unmittelbar relevant für Finanzierungsdiskurs</w:t>
      </w:r>
    </w:p>
    <w:p>
      <w:r>
        <w:rPr>
          <w:color w:val="5A7D3A"/>
          <w:sz w:val="18"/>
        </w:rPr>
        <w:t>https://pubmed.ncbi.nlm.nih.gov/42593520/</w:t>
      </w:r>
    </w:p>
    <w:p>
      <w:pPr>
        <w:pStyle w:val="Heading2"/>
      </w:pPr>
      <w:r>
        <w:t>Körperliche Funktionsfähigkeit und Frailty im sehr hohen Alter</w:t>
      </w:r>
    </w:p>
    <w:p>
      <w:r>
        <w:rPr>
          <w:i/>
          <w:color w:val="666666"/>
          <w:sz w:val="18"/>
        </w:rPr>
        <w:t>Nowossadeck S et al.  ·  Bundesgesundheitsblatt Gesundheitsforschung Gesundheitsschutz  ·  11.08.2026  ·  PMID 42579141</w:t>
      </w:r>
    </w:p>
    <w:p>
      <w:r>
        <w:t>Analyse von Funktionsfähigkeit und Frailty bei über 80-Jährigen in deutschen Privathaushalten mit GALI und spezifischen Funktionsindikatoren.</w:t>
      </w:r>
    </w:p>
    <w:p>
      <w:r>
        <w:rPr>
          <w:b/>
        </w:rPr>
        <w:t xml:space="preserve">Ergebnis: </w:t>
      </w:r>
      <w:r>
        <w:t>Ein Viertel hat schwere funktionale Einschränkungen (GALI). Mobilität: 33 % bei &gt;1 km Gehstrecke, 17 % beim Treppensteigen stark begrenzt. Sensorische Defizite: 10 % Sehstörungen, 27 % Hörstörungen. Harninkontinenz 40 %. Robustheit 49 %, Pre-Frailty 43 %, Frailty 8,6 %. Geschlechts- und teilweise einkommensspezifische Unterschiede vorhanden.</w:t>
      </w:r>
    </w:p>
    <w:p>
      <w:r>
        <w:rPr>
          <w:b/>
          <w:sz w:val="19"/>
        </w:rPr>
        <w:t xml:space="preserve">Übertragbarkeit: </w:t>
      </w:r>
      <w:r>
        <w:rPr>
          <w:sz w:val="19"/>
        </w:rPr>
        <w:t>Deutsche Alternssurvey (DEAS) und Gesundheit 65+, direkt auf deutsches System übertragbar</w:t>
      </w:r>
    </w:p>
    <w:p>
      <w:r>
        <w:rPr>
          <w:color w:val="5A7D3A"/>
          <w:sz w:val="18"/>
        </w:rPr>
        <w:t>https://pubmed.ncbi.nlm.nih.gov/42579141/</w:t>
      </w:r>
    </w:p>
    <w:p>
      <w:pPr>
        <w:pStyle w:val="Heading2"/>
      </w:pPr>
      <w:r>
        <w:t>Genexpression in Mikroglia über die Lebensspanne: nichtlineare Muster und AD-Implikationen</w:t>
      </w:r>
    </w:p>
    <w:p>
      <w:r>
        <w:rPr>
          <w:i/>
          <w:color w:val="666666"/>
          <w:sz w:val="18"/>
        </w:rPr>
        <w:t>Muedano-Sosa A et al.  ·  Exp Gerontol  ·  01.10.2026  ·  PMID 42551772</w:t>
      </w:r>
    </w:p>
    <w:p>
      <w:r>
        <w:t>In-silico-Transkriptomanalyse öffentlicher Datensätze zur Charakterisierung von Genexpressions-Trajektorien während physiologischen und pathologischen Alterns von Mikroglia.</w:t>
      </w:r>
    </w:p>
    <w:p>
      <w:r>
        <w:rPr>
          <w:b/>
        </w:rPr>
        <w:t xml:space="preserve">Ergebnis: </w:t>
      </w:r>
      <w:r>
        <w:t>Physiologisches Alter der Mikroglia zeigt nichtlineare, spiegelsymmetrische Expressionsmuster bei Genen der Mitochondrienfunktion, lysosomalen Degradation und Immunantwort. Dieses Muster ist in humanen Daten konserviert. Bei pathologischem Altern (APP/PS1 transgene Mäuse) wird dieses adaptive Muster gestört – anhaltende Entzündungs- und Mitochondriendysfunktion. Mittleres Alter könnte kritischer Übergangspunkt sein, bevor Neuroinflammation einsetzt. Gene, die in transgenen Mäusen dysreguliert sind, zeigen ähnliche Trends in AD-Patienten.</w:t>
      </w:r>
    </w:p>
    <w:p>
      <w:r>
        <w:rPr>
          <w:b/>
          <w:sz w:val="19"/>
        </w:rPr>
        <w:t xml:space="preserve">Übertragbarkeit: </w:t>
      </w:r>
      <w:r>
        <w:rPr>
          <w:sz w:val="19"/>
        </w:rPr>
        <w:t>Mausmodelle und humane Daten, grundlagenwissenschaftlich; translational zu AD</w:t>
      </w:r>
    </w:p>
    <w:p>
      <w:r>
        <w:rPr>
          <w:color w:val="5A7D3A"/>
          <w:sz w:val="18"/>
        </w:rPr>
        <w:t>https://pubmed.ncbi.nlm.nih.gov/42551772/</w:t>
      </w:r>
    </w:p>
    <w:p>
      <w:pPr>
        <w:pStyle w:val="Heading1"/>
      </w:pPr>
      <w:r>
        <w:t>Aufgenommen am 10.09.2026</w:t>
      </w:r>
    </w:p>
    <w:p>
      <w:pPr>
        <w:pStyle w:val="Heading2"/>
      </w:pPr>
      <w:r>
        <w:t>Altersgerechte Umgebungen reduzieren Motoric-Cognitive-Risk-Syndrom</w:t>
      </w:r>
    </w:p>
    <w:p>
      <w:r>
        <w:rPr>
          <w:i/>
          <w:color w:val="666666"/>
          <w:sz w:val="18"/>
        </w:rPr>
        <w:t>Zhang H et al.  ·  Alzheimers Dement  ·  Sept. 2026  ·  PMID 42712112</w:t>
      </w:r>
    </w:p>
    <w:p>
      <w:r>
        <w:t>Prospektive Kohortenstudie aus den USA, die den Zusammenhang zwischen altersgerechten Lebensumgebungen und Inzidenz des Motoric Cognitive Risk Syndrome (Prädemenzsyndrom) untersucht.</w:t>
      </w:r>
    </w:p>
    <w:p>
      <w:r>
        <w:rPr>
          <w:b/>
        </w:rPr>
        <w:t xml:space="preserve">Ergebnis: </w:t>
      </w:r>
      <w:r>
        <w:t>Über 4 Jahre Nachbeobachtung: 801 Neuerkrankungen bei 7.608 älteren Erwachsenen (Durchschnittsalter 76,8 Jahre). Mit höherem altersgerechten Umgebungsscore geringeres MCR-Risiko (Q3: HR 0,75; 95%-KI 0,61–0,91; Q4: HR 0,62; 95%-KI 0,50–0,78); Dosis-Wirkungs-Beziehung nachgewiesen (HR 0,96 pro Punkt; p&lt;0,01).</w:t>
      </w:r>
    </w:p>
    <w:p>
      <w:r>
        <w:rPr>
          <w:b/>
          <w:sz w:val="19"/>
        </w:rPr>
        <w:t xml:space="preserve">Übertragbarkeit: </w:t>
      </w:r>
      <w:r>
        <w:rPr>
          <w:sz w:val="19"/>
        </w:rPr>
        <w:t>USA-Daten – Umweltgestaltung ist länderübergreifend adaptierbar, Outcome-Messung jedoch populationsspezifisch.</w:t>
      </w:r>
    </w:p>
    <w:p>
      <w:r>
        <w:rPr>
          <w:color w:val="5A7D3A"/>
          <w:sz w:val="18"/>
        </w:rPr>
        <w:t>https://pubmed.ncbi.nlm.nih.gov/42712112/</w:t>
      </w:r>
    </w:p>
    <w:p>
      <w:pPr>
        <w:pStyle w:val="Heading2"/>
      </w:pPr>
      <w:r>
        <w:t>Mundgesundheit und Gebrechlichkeit bei Krebspatienten: Metaanalyse</w:t>
      </w:r>
    </w:p>
    <w:p>
      <w:r>
        <w:rPr>
          <w:i/>
          <w:color w:val="666666"/>
          <w:sz w:val="18"/>
        </w:rPr>
        <w:t>Liu W et al.  ·  Front Public Health  ·  24.08.2026  ·  PMID 42707137</w:t>
      </w:r>
    </w:p>
    <w:p>
      <w:r>
        <w:t>Systematische Übersicht und Metaanalyse von 13 Studien (n=3.524) zur Prävalenz und Einflussfaktoren von Mundgebrechlichkeit (oral frailty) bei Krebspatienten.</w:t>
      </w:r>
    </w:p>
    <w:p>
      <w:r>
        <w:rPr>
          <w:b/>
        </w:rPr>
        <w:t xml:space="preserve">Ergebnis: </w:t>
      </w:r>
      <w:r>
        <w:t>Mundgebrechlichkeit-Prävalenz 52 % (95%-KI: 46–59 %). Signifikante Assoziationen mit: Zahnersatz (OR 15,09; KI 6,78–33,58), schlechter Mundgesundheit (OR 4,70; KI 2,13–10,39), körperlicher Frailty (OR 3,63; KI 2,40–5,50), Rauchen (OR 3,53; KI 2,34–5,31), Mangelernährung (OR 3,40; KI 2,01–5,75), Xerostomie (OR 3,46; KI 2,11–5,68) und Radiotherapie (OR 2,62; KI 1,67–4,11).</w:t>
      </w:r>
    </w:p>
    <w:p>
      <w:r>
        <w:rPr>
          <w:b/>
          <w:sz w:val="19"/>
        </w:rPr>
        <w:t xml:space="preserve">Übertragbarkeit: </w:t>
      </w:r>
      <w:r>
        <w:rPr>
          <w:sz w:val="19"/>
        </w:rPr>
        <w:t>Internationale Metaanalyse – risikofaktoren geriatrierelevant, aber Mundhygiene-Standards regional unterschiedlich.</w:t>
      </w:r>
    </w:p>
    <w:p>
      <w:r>
        <w:rPr>
          <w:color w:val="5A7D3A"/>
          <w:sz w:val="18"/>
        </w:rPr>
        <w:t>https://pubmed.ncbi.nlm.nih.gov/42707137/</w:t>
      </w:r>
    </w:p>
    <w:p>
      <w:pPr>
        <w:pStyle w:val="Heading2"/>
      </w:pPr>
      <w:r>
        <w:t>Demenzkonversion bei milder kognitiver Beeinträchtigung: Inzidenzraten in Brasilien</w:t>
      </w:r>
    </w:p>
    <w:p>
      <w:r>
        <w:rPr>
          <w:i/>
          <w:color w:val="666666"/>
          <w:sz w:val="18"/>
        </w:rPr>
        <w:t>Engelmann GTO et al.  ·  Alzheimers Dement  ·  Sept. 2026  ·  PMID 42706593</w:t>
      </w:r>
    </w:p>
    <w:p>
      <w:r>
        <w:t>15-Jahres-Kohortenstudie der kognitiven Entwicklung brasilianischer Älterer, die Übergangsraten von milder kognitiver Beeinträchtigung zu Demenz vom Alzheimer-Typ quantifiziert.</w:t>
      </w:r>
    </w:p>
    <w:p>
      <w:r>
        <w:rPr>
          <w:b/>
        </w:rPr>
        <w:t xml:space="preserve">Ergebnis: </w:t>
      </w:r>
      <w:r>
        <w:t>Jährliche Demenzkonversionsrate in der MCI-Gruppe 10,72 pro 100 Personenjahre (95%-KI: 8,54–13,29 %); kumulative Inzidenz nach 3 Jahren 29,85 % (95%-KI: 22,74–36,96 %), unter Berücksichtigung von Sterblichkeit als konkurrierende Ereignis. Die Studie belegt rasche Progression in Ländern mit mittlerem und niedrigem Einkommen.</w:t>
      </w:r>
    </w:p>
    <w:p>
      <w:r>
        <w:rPr>
          <w:b/>
          <w:sz w:val="19"/>
        </w:rPr>
        <w:t xml:space="preserve">Übertragbarkeit: </w:t>
      </w:r>
      <w:r>
        <w:rPr>
          <w:sz w:val="19"/>
        </w:rPr>
        <w:t>Brasilien - Daten für Länder mit niedrigerer Lebenserwartung; Übertragbarkeit auf Deutschland begrenzt.</w:t>
      </w:r>
    </w:p>
    <w:p>
      <w:r>
        <w:rPr>
          <w:color w:val="5A7D3A"/>
          <w:sz w:val="18"/>
        </w:rPr>
        <w:t>https://pubmed.ncbi.nlm.nih.gov/42706593/</w:t>
      </w:r>
    </w:p>
    <w:p>
      <w:pPr>
        <w:pStyle w:val="Heading2"/>
      </w:pPr>
      <w:r>
        <w:t>Lifestyle und Telomerlänge bei psychischen Erkrankungen</w:t>
      </w:r>
    </w:p>
    <w:p>
      <w:r>
        <w:rPr>
          <w:i/>
          <w:color w:val="666666"/>
          <w:sz w:val="18"/>
        </w:rPr>
        <w:t>Mlakar V et al.  ·  Transl Psychiatry  ·  02.09.2026  ·  PMID 42706234</w:t>
      </w:r>
    </w:p>
    <w:p>
      <w:r>
        <w:t>Querschnittstudie, die den Zusammenhang zwischen Lebensstilfaktoren und biologischem Alterungsmarker (Telomerlänge) bei 410 Personen mit schweren psychischen Störungen untersucht.</w:t>
      </w:r>
    </w:p>
    <w:p>
      <w:r>
        <w:rPr>
          <w:b/>
        </w:rPr>
        <w:t xml:space="preserve">Ergebnis: </w:t>
      </w:r>
      <w:r>
        <w:t>Personen mit ungesundem Lebensstil hatten kürzere Telomere als solche mit gesundem Lebensstil (Cohens d = 0,58, F = 8,62, p = 0,004). Mit zunehmender Anzahl ungesunder Verhaltensweisen kürzere Telomere (F = 2,69, p = 0,02, adjustiert für Alter, Geschlecht, Ethnizität, Trauma, Medikation, Bildung, Diagnose). Gesunder Lebensstil assoziiert mit etwa 6 Jahren niedrigerem biologischem Alter.</w:t>
      </w:r>
    </w:p>
    <w:p>
      <w:r>
        <w:rPr>
          <w:b/>
          <w:sz w:val="19"/>
        </w:rPr>
        <w:t xml:space="preserve">Übertragbarkeit: </w:t>
      </w:r>
      <w:r>
        <w:rPr>
          <w:sz w:val="19"/>
        </w:rPr>
        <w:t>Norwegen-England – psychische Grundpopulation, methodisch solid; Übertragbarkeit auf deutsches Versorgungssystem moderat.</w:t>
      </w:r>
    </w:p>
    <w:p>
      <w:r>
        <w:rPr>
          <w:color w:val="5A7D3A"/>
          <w:sz w:val="18"/>
        </w:rPr>
        <w:t>https://pubmed.ncbi.nlm.nih.gov/42706234/</w:t>
      </w:r>
    </w:p>
    <w:p>
      <w:pPr>
        <w:pStyle w:val="Heading2"/>
      </w:pPr>
      <w:r>
        <w:t>Perspektivenübernahme reduziert Altersstereotypen bei Onlineinterventionen</w:t>
      </w:r>
    </w:p>
    <w:p>
      <w:r>
        <w:rPr>
          <w:i/>
          <w:color w:val="666666"/>
          <w:sz w:val="18"/>
        </w:rPr>
        <w:t>Stecker L et al.  ·  J Aging Stud  ·  08.08.2026  ·  PMID 42705830</w:t>
      </w:r>
    </w:p>
    <w:p>
      <w:r>
        <w:t>Experimentelle Studie, welche von drei Kurzzeitinterventionen gegen Altersdiskriminierung und Hassrede im Internet die Wirksamkeit vergleicht.</w:t>
      </w:r>
    </w:p>
    <w:p>
      <w:r>
        <w:rPr>
          <w:b/>
        </w:rPr>
        <w:t xml:space="preserve">Ergebnis: </w:t>
      </w:r>
      <w:r>
        <w:t>Perspektivenübernahme war die einzige Intervention, die explizite Stereotype signifikant reduzierte (zwischen den Gruppen gemessen mit IAT und Likert-Skalen); implizite Ageism-Verzerrung wurde durch keine der drei kurzen Interventionen verschoben. Altersangst moderierte die Effektivität nicht, sagte aber explizite Altersdiskriminierung voraus.</w:t>
      </w:r>
    </w:p>
    <w:p>
      <w:r>
        <w:rPr>
          <w:b/>
          <w:sz w:val="19"/>
        </w:rPr>
        <w:t xml:space="preserve">Übertragbarkeit: </w:t>
      </w:r>
      <w:r>
        <w:rPr>
          <w:sz w:val="19"/>
        </w:rPr>
        <w:t>Deutschland - universitäre Stichprobe, aber Onlineformat länderübergreifend einsetzbar.</w:t>
      </w:r>
    </w:p>
    <w:p>
      <w:r>
        <w:rPr>
          <w:color w:val="5A7D3A"/>
          <w:sz w:val="18"/>
        </w:rPr>
        <w:t>https://pubmed.ncbi.nlm.nih.gov/42705830/</w:t>
      </w:r>
    </w:p>
    <w:p>
      <w:pPr>
        <w:pStyle w:val="Heading2"/>
      </w:pPr>
      <w:r>
        <w:t>Schichtarbeit, biologische Altersbeschleunigung und Sterblichkeit</w:t>
      </w:r>
    </w:p>
    <w:p>
      <w:r>
        <w:rPr>
          <w:i/>
          <w:color w:val="666666"/>
          <w:sz w:val="18"/>
        </w:rPr>
        <w:t>Wang R et al.  ·  Int Arch Occup Environ Health  ·  06.09.2026  ·  PMID 42701914</w:t>
      </w:r>
    </w:p>
    <w:p>
      <w:r>
        <w:t>Prospektive Kohortenstudie von 7.548 US-Erwachsenen mit Mortality-Follow-up, die Assoziationen zwischen Schichtarbeit und All-cause-Mortalität sowie die Rolle biologischer Altersbeschleunigung untersucht.</w:t>
      </w:r>
    </w:p>
    <w:p>
      <w:r>
        <w:rPr>
          <w:b/>
        </w:rPr>
        <w:t xml:space="preserve">Ergebnis: </w:t>
      </w:r>
      <w:r>
        <w:t>Schichtarbeit assoziiert mit erhöhter Gesamtsterblichkeit (HR 1,52; 95%-KI 1,09–2,13). Schichtarbeiter zeigten stärkere PhenoAge-Beschleunigung (β = 0,39 Jahre). PhenoAge-Beschleunigung statistisch verantwortlich für 6,18 % der Assoziation zwischen Schichtarbeit und Sterblichkeit (kausale Mediation nicht inferierbar).</w:t>
      </w:r>
    </w:p>
    <w:p>
      <w:r>
        <w:rPr>
          <w:b/>
          <w:sz w:val="19"/>
        </w:rPr>
        <w:t xml:space="preserve">Übertragbarkeit: </w:t>
      </w:r>
      <w:r>
        <w:rPr>
          <w:sz w:val="19"/>
        </w:rPr>
        <w:t>USA-NHANES-Daten – Schichtarbeit-Definition international vergleichbar, aber Arbeitsmarkt und Sozialversicherung unterscheiden sich erheblich.</w:t>
      </w:r>
    </w:p>
    <w:p>
      <w:r>
        <w:rPr>
          <w:color w:val="5A7D3A"/>
          <w:sz w:val="18"/>
        </w:rPr>
        <w:t>https://pubmed.ncbi.nlm.nih.gov/42701914/</w:t>
      </w:r>
    </w:p>
    <w:p>
      <w:pPr>
        <w:pStyle w:val="Heading1"/>
      </w:pPr>
      <w:r>
        <w:t>Aufgenommen am 09.09.2026</w:t>
      </w:r>
    </w:p>
    <w:p>
      <w:pPr>
        <w:pStyle w:val="Heading2"/>
      </w:pPr>
      <w:r>
        <w:t>Sozioökonomische Ungleichheiten in der Lebenserwartung nach Diagnose: Dänemark 64 Erkrankungen</w:t>
      </w:r>
    </w:p>
    <w:p>
      <w:r>
        <w:rPr>
          <w:i/>
          <w:color w:val="666666"/>
          <w:sz w:val="18"/>
        </w:rPr>
        <w:t>Pallesen AVJ et al.  ·  Eur J Public Health  ·  04.08.2026  ·  PMID 42709676</w:t>
      </w:r>
    </w:p>
    <w:p>
      <w:r>
        <w:t>Bevölkerungsregister-Studie (4,4 Mio. Dänen) mit Multistate-Modellen zur Abbildung von Bildungs- und Einkommensungleichheiten in der Lebenserwartung nach Diagnose von 64 nichtübertragbaren Erkrankungen.</w:t>
      </w:r>
    </w:p>
    <w:p>
      <w:r>
        <w:rPr>
          <w:b/>
        </w:rPr>
        <w:t xml:space="preserve">Ergebnis: </w:t>
      </w:r>
      <w:r>
        <w:t>Bildungs- und Einkommensungleichheiten in der Lebenserwartung nach Diagnosestellung waren konsistent über alle 64 Erkrankungen hinweg vorhanden. Beispiel Leberzirrhose: Hochgebildete 50-Jährige mit Diagnose lebten 17 Jahre (Frauen) bzw. 13 Jahre (Männer) länger als Niedriggebildete (14 bzw. 10 Jahre). Befund zeigt universelles Muster: Sozioökonomische Position beeinflusst Krankheitsverlauf und Mortalität unabhängig von der Erkrankung.</w:t>
      </w:r>
    </w:p>
    <w:p>
      <w:r>
        <w:rPr>
          <w:b/>
          <w:sz w:val="19"/>
        </w:rPr>
        <w:t xml:space="preserve">Übertragbarkeit: </w:t>
      </w:r>
      <w:r>
        <w:rPr>
          <w:sz w:val="19"/>
        </w:rPr>
        <w:t>Dänische Vollpopulationsdaten, Sozialversicherungssystem vergleichbar mit Deutschland.</w:t>
      </w:r>
    </w:p>
    <w:p>
      <w:r>
        <w:rPr>
          <w:color w:val="5A7D3A"/>
          <w:sz w:val="18"/>
        </w:rPr>
        <w:t>https://pubmed.ncbi.nlm.nih.gov/42709676/</w:t>
      </w:r>
    </w:p>
    <w:p>
      <w:pPr>
        <w:pStyle w:val="Heading2"/>
      </w:pPr>
      <w:r>
        <w:t>Allostatic Load vorhersagt Frailty-Entwicklung: 12-Jahres-Längsschnittstudie</w:t>
      </w:r>
    </w:p>
    <w:p>
      <w:r>
        <w:rPr>
          <w:i/>
          <w:color w:val="666666"/>
          <w:sz w:val="18"/>
        </w:rPr>
        <w:t>Arkesteijn M et al.  ·  Stress Health  ·  Okt. 2026  ·  PMID 42708507</w:t>
      </w:r>
    </w:p>
    <w:p>
      <w:r>
        <w:t>English Longitudinal Survey on Ageing (ELSA): 3248 Personen 50–89 Jahre über 12 Jahre; Analyse, ob Allostatic Load (Multimarkerbiomarker chronischen Stresses) die Neuonset von Prä-Frailty oder Frailty vorhersagt.</w:t>
      </w:r>
    </w:p>
    <w:p>
      <w:r>
        <w:rPr>
          <w:b/>
        </w:rPr>
        <w:t xml:space="preserve">Ergebnis: </w:t>
      </w:r>
      <w:r>
        <w:t>Erhöhte Allostatic Load war signifikanter Prädiktor für Onset von Prä-Frailty und Frailty (Hazard Ratio nicht in Abstract beziffert). Soziale Unterstützung modifizierte diesen Effekt modifizierbar. Alter und Geschlecht interagierten nicht mit Allostatic Load und Frailty-Vorhersage. Allostatic Load könnte als Screening-Instrument für Frailty-Risiko bei aktuell nicht-frailem Individuen dienen.</w:t>
      </w:r>
    </w:p>
    <w:p>
      <w:r>
        <w:rPr>
          <w:b/>
          <w:sz w:val="19"/>
        </w:rPr>
        <w:t xml:space="preserve">Übertragbarkeit: </w:t>
      </w:r>
      <w:r>
        <w:rPr>
          <w:sz w:val="19"/>
        </w:rPr>
        <w:t>Großbritannien, NHS-System, nationale Surveydaten vergleichbar mit deutschem Setting.</w:t>
      </w:r>
    </w:p>
    <w:p>
      <w:r>
        <w:rPr>
          <w:color w:val="5A7D3A"/>
          <w:sz w:val="18"/>
        </w:rPr>
        <w:t>https://pubmed.ncbi.nlm.nih.gov/42708507/</w:t>
      </w:r>
    </w:p>
    <w:p>
      <w:pPr>
        <w:pStyle w:val="Heading2"/>
      </w:pPr>
      <w:r>
        <w:t>Zivilgesellschaftliche Beteiligung älterer Menschen und wahrgenommene Gesundheit</w:t>
      </w:r>
    </w:p>
    <w:p>
      <w:r>
        <w:rPr>
          <w:i/>
          <w:color w:val="666666"/>
          <w:sz w:val="18"/>
        </w:rPr>
        <w:t>Cantore M et al.  ·  Front Public Health  ·  24.08.2026  ·  PMID 42707366</w:t>
      </w:r>
    </w:p>
    <w:p>
      <w:r>
        <w:t>Qualitative Studie (Italien, 2025): 12 ältere Erwachsene (≥70 Jahre) zu Erfahrungen mit zivilgesellschaftlicher und politischer Partizipation und deren Auswirkungen auf Gesundheit und Wohlbefinden.</w:t>
      </w:r>
    </w:p>
    <w:p>
      <w:r>
        <w:rPr>
          <w:b/>
        </w:rPr>
        <w:t xml:space="preserve">Ergebnis: </w:t>
      </w:r>
      <w:r>
        <w:t>Freiwilliges Engagement fördert körperliche Mobilität, Handlungsfähigkeit und Selbstwirksamkeit. Politische Partizipation wirkt kognitiv stimulierend, führt aber häufig zu emotionaler Erschöpfung, Entfremdung und Frustration. Intergenerationale Lernprozesse und Dialog gelten als zentral für nachhaltiges Engagement. Befund belegt, dass emotionale Belastung durch politische Enttäuschung zu beachten ist.</w:t>
      </w:r>
    </w:p>
    <w:p>
      <w:r>
        <w:rPr>
          <w:b/>
          <w:sz w:val="19"/>
        </w:rPr>
        <w:t xml:space="preserve">Übertragbarkeit: </w:t>
      </w:r>
      <w:r>
        <w:rPr>
          <w:sz w:val="19"/>
        </w:rPr>
        <w:t>Italien, Südeuropa; Gesundheitssystem und zivilgesellschaftliche Strukturen unterscheiden sich von Deutschland.</w:t>
      </w:r>
    </w:p>
    <w:p>
      <w:r>
        <w:rPr>
          <w:color w:val="5A7D3A"/>
          <w:sz w:val="18"/>
        </w:rPr>
        <w:t>https://pubmed.ncbi.nlm.nih.gov/42707366/</w:t>
      </w:r>
    </w:p>
    <w:p>
      <w:pPr>
        <w:pStyle w:val="Heading2"/>
      </w:pPr>
      <w:r>
        <w:t>Altern ohne Verwandte: Transnigration, Sehnsucht und Desillusionierung</w:t>
      </w:r>
    </w:p>
    <w:p>
      <w:r>
        <w:rPr>
          <w:i/>
          <w:color w:val="666666"/>
          <w:sz w:val="18"/>
        </w:rPr>
        <w:t>Mishra J et al.  ·  J Aging Stud  ·  26.06.2026  ·  PMID 42705826</w:t>
      </w:r>
    </w:p>
    <w:p>
      <w:r>
        <w:t>Ethnografische Studie in Patiala (Nordindien) mit älteren Erwachsenen: Erfahrungen mit transnationaler Migration ihrer Familienangehörigen und deren Auswirkungen auf Wahrnehmung von Sorge, Zugehörigkeit und Familienrekonfiguration im Alter.</w:t>
      </w:r>
    </w:p>
    <w:p>
      <w:r>
        <w:rPr>
          <w:b/>
        </w:rPr>
        <w:t xml:space="preserve">Ergebnis: </w:t>
      </w:r>
      <w:r>
        <w:t>Ältere Ermöglichen Emigration ihrer Kinder durch Ressourcen-Pooling; erleben aber Abwesenheit emigrierter Kinder in paradoxer Liminalität. Zunehmende Desillusionierung mit Staat (Arbeitslosigkeit, Agrarkrise, Korruption), komplexe Beziehungen zu internen Migranten aus anderen Bundesstaaten. Migration produziert mehrschichtige affektive, soziale und politische Verflechtungen, die Alterserfahrung prägen.</w:t>
      </w:r>
    </w:p>
    <w:p>
      <w:r>
        <w:rPr>
          <w:b/>
          <w:sz w:val="19"/>
        </w:rPr>
        <w:t xml:space="preserve">Übertragbarkeit: </w:t>
      </w:r>
      <w:r>
        <w:rPr>
          <w:sz w:val="19"/>
        </w:rPr>
        <w:t>Indien, nicht übertragbar; dokumentiert Mechanismen familiärer und sozialer Strukturen beim Altern unter Migrationsdruck.</w:t>
      </w:r>
    </w:p>
    <w:p>
      <w:r>
        <w:rPr>
          <w:color w:val="5A7D3A"/>
          <w:sz w:val="18"/>
        </w:rPr>
        <w:t>https://pubmed.ncbi.nlm.nih.gov/42705826/</w:t>
      </w:r>
    </w:p>
    <w:p>
      <w:pPr>
        <w:pStyle w:val="Heading2"/>
      </w:pPr>
      <w:r>
        <w:t>Kognitives Frailty bei hospitalisierten älteren Patienten mit Herzinsuffizienz</w:t>
      </w:r>
    </w:p>
    <w:p>
      <w:r>
        <w:rPr>
          <w:i/>
          <w:color w:val="666666"/>
          <w:sz w:val="18"/>
        </w:rPr>
        <w:t>Mou Y et al.  ·  Front Public Health  ·  21.08.2026  ·  PMID 42698449</w:t>
      </w:r>
    </w:p>
    <w:p>
      <w:r>
        <w:t>Systematischer Review (8 Querschnittsstudien, 20 Modelle zur Identifikation von kognitiver Frailty bei hospitalisierten älteren Patienten mit chronischer Herzinsuffizienz in China).</w:t>
      </w:r>
    </w:p>
    <w:p>
      <w:r>
        <w:rPr>
          <w:b/>
        </w:rPr>
        <w:t xml:space="preserve">Ergebnis: </w:t>
      </w:r>
      <w:r>
        <w:t>Alle Modelle waren Screening-/Diagnosemodelle für prävalentes kognitives Frailty (nicht prognostisch). Externe Validierung zeigte AUC 0,770–0,852. Häufigste Prädiktoren: Alter, NYHA-Klassifikation, Depression, Ernährungsstatus und Schlaf-Faktoren. Alle Studien mit hohem Bias-Risiko; Modelle nicht reif für klinische Routineentscheidungen. Prospektive Modellentwicklung, Multicenter-Validierung und klinische Effektivitätsanalysen erforderlich.</w:t>
      </w:r>
    </w:p>
    <w:p>
      <w:r>
        <w:rPr>
          <w:b/>
          <w:sz w:val="19"/>
        </w:rPr>
        <w:t xml:space="preserve">Übertragbarkeit: </w:t>
      </w:r>
      <w:r>
        <w:rPr>
          <w:sz w:val="19"/>
        </w:rPr>
        <w:t>China, andere Strukturen; Befund zeigt, welche Faktoren kognitives Frailty bestimmen – relevant für deutsches geriatrisches Assessment.</w:t>
      </w:r>
    </w:p>
    <w:p>
      <w:r>
        <w:rPr>
          <w:color w:val="5A7D3A"/>
          <w:sz w:val="18"/>
        </w:rPr>
        <w:t>https://pubmed.ncbi.nlm.nih.gov/42698449/</w:t>
      </w:r>
    </w:p>
    <w:p>
      <w:pPr>
        <w:pStyle w:val="Heading2"/>
      </w:pPr>
      <w:r>
        <w:t>SFRP2 und FSTL1 regulieren DHT-induzierte Seneszenz in Haarfollikeln</w:t>
      </w:r>
    </w:p>
    <w:p>
      <w:r>
        <w:rPr>
          <w:i/>
          <w:color w:val="666666"/>
          <w:sz w:val="18"/>
        </w:rPr>
        <w:t>Huang Y et al.  ·  Aging Cell  ·  Sept. 2026  ·  PMID 42698274</w:t>
      </w:r>
    </w:p>
    <w:p>
      <w:r>
        <w:t>Mechanistische Studie zu androgenetischer Alopezie (AGA): Knock-down-Experimente und Mausmodell zur Rolle der SFRP2-FSTL1-Achse bei DHT-induzierten mitochondrialen Dysfunktionen und Seneszenz von Dermalapilla-Zellen.</w:t>
      </w:r>
    </w:p>
    <w:p>
      <w:r>
        <w:rPr>
          <w:b/>
        </w:rPr>
        <w:t xml:space="preserve">Ergebnis: </w:t>
      </w:r>
      <w:r>
        <w:t>SFRP2 hochexprimiert in AGA-Dermalapilla-Zellen. SFRP2-Knockdown verbesserte Haaregeneration und Follikel-Morphologie in vivo, förderte DPC-Proliferation/Migration in vitro. SFRP2 beeinflusst FSTL1-Proteinstabilität. Knockdown von FSTL1 hob negative Effekte von SFRP2-Überexpression auf. SFRP2-FSTL1-Achse als neuer therapeutischer Ansatzpunkt für AGA-Verlangsamung identifiziert.</w:t>
      </w:r>
    </w:p>
    <w:p>
      <w:r>
        <w:rPr>
          <w:b/>
          <w:sz w:val="19"/>
        </w:rPr>
        <w:t xml:space="preserve">Übertragbarkeit: </w:t>
      </w:r>
      <w:r>
        <w:rPr>
          <w:sz w:val="19"/>
        </w:rPr>
        <w:t>Grundlagenforschung mit klinischem Ansatz (AGA-Behandlung); zelluläre Seneszenz-Mechanismen relevant für Aging-Verständnis.</w:t>
      </w:r>
    </w:p>
    <w:p>
      <w:r>
        <w:rPr>
          <w:color w:val="5A7D3A"/>
          <w:sz w:val="18"/>
        </w:rPr>
        <w:t>https://pubmed.ncbi.nlm.nih.gov/42698274/</w:t>
      </w:r>
    </w:p>
    <w:p>
      <w:pPr>
        <w:pStyle w:val="Heading2"/>
      </w:pPr>
      <w:r>
        <w:t>Körperliche Aktivität moderiert psychische Belastung im Alter unterschiedlich</w:t>
      </w:r>
    </w:p>
    <w:p>
      <w:r>
        <w:rPr>
          <w:i/>
          <w:color w:val="666666"/>
          <w:sz w:val="18"/>
        </w:rPr>
        <w:t>Järvensivu L et al.  ·  J Psychiatr Res  ·  07.08.2026  ·  PMID 42585821</w:t>
      </w:r>
    </w:p>
    <w:p>
      <w:r>
        <w:t>Finnische Kohortenstudie (Helsinki Health Study 2017–2022): Zwei Altersgruppen (19–39 Jahre und 55–75 Jahre) zur Assoziation zwischen Intensität der Freizeit-Bewegungsaktivität und psychischer Belastung nach 5 Jahren.</w:t>
      </w:r>
    </w:p>
    <w:p>
      <w:r>
        <w:rPr>
          <w:b/>
        </w:rPr>
        <w:t xml:space="preserve">Ergebnis: </w:t>
      </w:r>
      <w:r>
        <w:t>Höhere moderate Aktivität assoziiert mit weniger psychischer Belastung nur in der älteren Kohorte (β = −0,163; p &lt; 0,001). Vigorous Activity zeigte altersunabhängig protektive Wirkung (β = −0,053 für beide; p &lt; 0,001). Effekt blieb nach Anpassung für Soziodemografika und Gesundheitsfaktoren signifikant.</w:t>
      </w:r>
    </w:p>
    <w:p>
      <w:r>
        <w:rPr>
          <w:b/>
          <w:sz w:val="19"/>
        </w:rPr>
        <w:t xml:space="preserve">Übertragbarkeit: </w:t>
      </w:r>
      <w:r>
        <w:rPr>
          <w:sz w:val="19"/>
        </w:rPr>
        <w:t>Finnland, skandinavisches Versicherungssystem, vergleichbare Erfassungsstandards.</w:t>
      </w:r>
    </w:p>
    <w:p>
      <w:r>
        <w:rPr>
          <w:color w:val="5A7D3A"/>
          <w:sz w:val="18"/>
        </w:rPr>
        <w:t>https://pubmed.ncbi.nlm.nih.gov/42585821/</w:t>
      </w:r>
    </w:p>
    <w:p>
      <w:pPr>
        <w:pStyle w:val="Heading1"/>
      </w:pPr>
      <w:r>
        <w:t>Aufgenommen am 08.09.2026</w:t>
      </w:r>
    </w:p>
    <w:p>
      <w:pPr>
        <w:pStyle w:val="Heading2"/>
      </w:pPr>
      <w:r>
        <w:t>Langzeitpflege für Ältere in Südostasien: Verfügbarkeit, Qualität und Lücken</w:t>
      </w:r>
    </w:p>
    <w:p>
      <w:r>
        <w:rPr>
          <w:i/>
          <w:color w:val="666666"/>
          <w:sz w:val="18"/>
        </w:rPr>
        <w:t>Sasaki Y et al.  ·  Geriatr Gerontol Int  ·  Sept. 2026  ·  PMID 42705630</w:t>
      </w:r>
    </w:p>
    <w:p>
      <w:r>
        <w:t>Mixed-Methods-Studie (Sekundärdaten zu UHC, demografische Trends, Expertinneninterviews, 7 Evaluationsdomänen) zur Organisation und Qualität der Langzeitpflege in Kambodscha, Thailand, Philippinen, Malaysia und Myanmar während des demographischen Wandels.</w:t>
      </w:r>
    </w:p>
    <w:p>
      <w:r>
        <w:rPr>
          <w:b/>
        </w:rPr>
        <w:t xml:space="preserve">Ergebnis: </w:t>
      </w:r>
      <w:r>
        <w:t>Positive Assoziation zwischen UHC-Fortschritt und Altersstruktur. Langzeitpflege-Organisation und -Versorgung variieren stark; Heimbasierte Pflege dominiert, Verfügbarkeit und Integration öffentlicher Dienste inkonsistent. Demenzbetreuung weitgehend unerkannt, haushaltszentriert. Informations- und Kommunikationstechnologien minimal/absent. Thailand zeigt Fortschritt bei Rehabilitations-UHC-Verknüpfung, aber Personalengpässe und Zugangsbarrieren. Präventivversorgung, einschließlich Frailty-Prävention, unterentwickelt.</w:t>
      </w:r>
    </w:p>
    <w:p>
      <w:r>
        <w:rPr>
          <w:b/>
          <w:sz w:val="19"/>
        </w:rPr>
        <w:t xml:space="preserve">Übertragbarkeit: </w:t>
      </w:r>
      <w:r>
        <w:rPr>
          <w:sz w:val="19"/>
        </w:rPr>
        <w:t>Südostasien, unterschiedliche Finanzierungssysteme und Entwicklungslagen; Befunde zeigen regionale Unterschiede, Übertragung auf Deutschland begrenzt, aber Policy-Implikationen relevant</w:t>
      </w:r>
    </w:p>
    <w:p>
      <w:r>
        <w:rPr>
          <w:color w:val="5A7D3A"/>
          <w:sz w:val="18"/>
        </w:rPr>
        <w:t>https://pubmed.ncbi.nlm.nih.gov/42705630/</w:t>
      </w:r>
    </w:p>
    <w:p>
      <w:pPr>
        <w:pStyle w:val="Heading2"/>
      </w:pPr>
      <w:r>
        <w:t>Gezieltes Kraft- und Balancetraining verbessert Mobilität älterer Aboriginal-Menschen</w:t>
      </w:r>
    </w:p>
    <w:p>
      <w:r>
        <w:rPr>
          <w:i/>
          <w:color w:val="666666"/>
          <w:sz w:val="18"/>
        </w:rPr>
        <w:t>Ivers R et al.  ·  Age Ageing  ·  04.09.2026  ·  PMID 42704260</w:t>
      </w:r>
    </w:p>
    <w:p>
      <w:r>
        <w:t>Kontrollierte Vorher-nachher-Studie (n=19 Standorte Australien, Ironbark-Programm) zum Effekt eines Co-Design-Sturzvorsorgeprogramms mit Übungen und Yarning Circles auf funktionelle Mobilität und Stürze bei Aboriginal-Älteren (≥45 Jahre, n=vor allem Intervention).</w:t>
      </w:r>
    </w:p>
    <w:p>
      <w:r>
        <w:rPr>
          <w:b/>
        </w:rPr>
        <w:t xml:space="preserve">Ergebnis: </w:t>
      </w:r>
      <w:r>
        <w:t>Signifikante Verbesserung der primären Outcome funktionelle Mobilität (SPPB-Veränderung +0,8 Punkte, 95 % CI 0,4–1,1), kürzere Schrittzeiten, bessere Beinstabilität, mehr geplante und beiläufige Bewegung. Keine signifikanten Änderungen bei Stürzen, Lebensqualität oder psychischer Belastung. Kontrollgruppe (Healthy Community) zeigte Verschlechterungen.</w:t>
      </w:r>
    </w:p>
    <w:p>
      <w:r>
        <w:rPr>
          <w:b/>
          <w:sz w:val="19"/>
        </w:rPr>
        <w:t xml:space="preserve">Übertragbarkeit: </w:t>
      </w:r>
      <w:r>
        <w:rPr>
          <w:sz w:val="19"/>
        </w:rPr>
        <w:t>Australien, Kontrollstudie mit funktionellem Endpunkt, Design übertragbar auf andere First-Nations-Settings</w:t>
      </w:r>
    </w:p>
    <w:p>
      <w:r>
        <w:rPr>
          <w:color w:val="5A7D3A"/>
          <w:sz w:val="18"/>
        </w:rPr>
        <w:t>https://pubmed.ncbi.nlm.nih.gov/42704260/</w:t>
      </w:r>
    </w:p>
    <w:p>
      <w:pPr>
        <w:pStyle w:val="Heading2"/>
      </w:pPr>
      <w:r>
        <w:t>Individuelle Ernährungsintervention mit Krafttraining verbessert Frailty bei hospitalisierten Älteren</w:t>
      </w:r>
    </w:p>
    <w:p>
      <w:r>
        <w:rPr>
          <w:i/>
          <w:color w:val="666666"/>
          <w:sz w:val="18"/>
        </w:rPr>
        <w:t>Chen L et al.  ·  J Int Med Res  ·  07.09.2026  ·  PMID 42704222</w:t>
      </w:r>
    </w:p>
    <w:p>
      <w:r>
        <w:t>Prospektive Pilotkohorte ohne Kontrolle (n=120, Durchschnittsalter 87 Jahre) zur Wirkung von Screening-gesteuerter individualisierter Ernährungsunterstützung (bei MNA-SF ≤11) kombiniert mit dosiertem Theraband-Krafttraining 3x wöchentlich über 12 Wochen.</w:t>
      </w:r>
    </w:p>
    <w:p>
      <w:r>
        <w:rPr>
          <w:b/>
        </w:rPr>
        <w:t xml:space="preserve">Ergebnis: </w:t>
      </w:r>
      <w:r>
        <w:t>Signifikante Verbesserungen: Serum-Transferrin, Präalbumin und Albumin (alle p&lt;0,05), MNA-SF-Scores, SPPB-Scores, Mobilität, ADL/IADL-Funktionen, Griffstärke und Gehgeschwindigkeit (alle p&lt;0,05). SPPB-Mindesteffekt erreicht bei höherem Bildungsniveau (aOR=1,96) und niedrigerem Ausgangs-Mobilitätswert (aOR=1,81). Ohne externe Validierung; Ergebnisse vorläufig.</w:t>
      </w:r>
    </w:p>
    <w:p>
      <w:r>
        <w:rPr>
          <w:b/>
          <w:sz w:val="19"/>
        </w:rPr>
        <w:t xml:space="preserve">Übertragbarkeit: </w:t>
      </w:r>
      <w:r>
        <w:rPr>
          <w:sz w:val="19"/>
        </w:rPr>
        <w:t>China (Klinikdaten), Struktur auf deutsche Geriatrie übertragbar (Assessment, Ernährung, Rehabilitation), klinische Dosierung dokumentiert</w:t>
      </w:r>
    </w:p>
    <w:p>
      <w:r>
        <w:rPr>
          <w:color w:val="5A7D3A"/>
          <w:sz w:val="18"/>
        </w:rPr>
        <w:t>https://pubmed.ncbi.nlm.nih.gov/42704222/</w:t>
      </w:r>
    </w:p>
    <w:p>
      <w:pPr>
        <w:pStyle w:val="Heading2"/>
      </w:pPr>
      <w:r>
        <w:t>Gestaffelte Auswahl von Frailty-Assessment-Instrumenten für die klinische Praxis</w:t>
      </w:r>
    </w:p>
    <w:p>
      <w:r>
        <w:rPr>
          <w:i/>
          <w:color w:val="666666"/>
          <w:sz w:val="18"/>
        </w:rPr>
        <w:t>Sládeček S et al.  ·  Clin Interv Aging  ·  02.09.2026  ·  PMID 42703386</w:t>
      </w:r>
    </w:p>
    <w:p>
      <w:r>
        <w:t>Narrative Übersicht über zehn validierte Frailty-Assessments (FRAIL, SOF, CFS, PRISMA-7, VES-13, Fried phenotype, TFI, GFI, EFS, FI-CGA) mit Analyse ihrer konzeptionellen Grundlagen, Einsatzdomänen und praktischen Anforderungen.</w:t>
      </w:r>
    </w:p>
    <w:p>
      <w:r>
        <w:rPr>
          <w:b/>
        </w:rPr>
        <w:t xml:space="preserve">Ergebnis: </w:t>
      </w:r>
      <w:r>
        <w:t>Gegenüberstellung zeigt: Kurze Screening-Tools (PRISMA-7, FRAIL) für erste Kontakte in Ambulanz/Gemeinde; CFS für schnelle klinische Stratifizierung in Akutaufnahme/Notfall; mehrdimensionale Instrumente (EFS) wenn breiterer Überblick nötig, aber keine vollständige geriatrische Diagnostik; CGA+FI-CGA für spezialisierte geriatrische Versorgung. Instrumentwahl hängt von Versorgungskontext, Zweck und Kapazität ab – keine Austauschbarkeit.</w:t>
      </w:r>
    </w:p>
    <w:p>
      <w:r>
        <w:rPr>
          <w:b/>
          <w:sz w:val="19"/>
        </w:rPr>
        <w:t xml:space="preserve">Übertragbarkeit: </w:t>
      </w:r>
      <w:r>
        <w:rPr>
          <w:sz w:val="19"/>
        </w:rPr>
        <w:t>Mehrsprachig validiert (europäischer und nordamerikanischer Raum), klinische Empfehlungen universell anwendbar, deutschsprachige Literatur einbezogen</w:t>
      </w:r>
    </w:p>
    <w:p>
      <w:r>
        <w:rPr>
          <w:color w:val="5A7D3A"/>
          <w:sz w:val="18"/>
        </w:rPr>
        <w:t>https://pubmed.ncbi.nlm.nih.gov/42703386/</w:t>
      </w:r>
    </w:p>
    <w:p>
      <w:pPr>
        <w:pStyle w:val="Heading2"/>
      </w:pPr>
      <w:r>
        <w:t>Digitale Technologien für aktives Altern: Bibliometrie und Forschungslandkarte</w:t>
      </w:r>
    </w:p>
    <w:p>
      <w:r>
        <w:rPr>
          <w:i/>
          <w:color w:val="666666"/>
          <w:sz w:val="18"/>
        </w:rPr>
        <w:t>Wang Y et al.  ·  Inquiry  ·  04.09.2026  ·  PMID 42695810</w:t>
      </w:r>
    </w:p>
    <w:p>
      <w:r>
        <w:t>Bibliometrische Analyse (n=837 Publikationen 2006–2025, Web of Science) zur Kartierung der Forschungslandschaft digitaler Technologien für aktives Altern, Identifikation von Clustern, Trends und thematischen Strukturen.</w:t>
      </w:r>
    </w:p>
    <w:p>
      <w:r>
        <w:rPr>
          <w:b/>
        </w:rPr>
        <w:t xml:space="preserve">Ergebnis: </w:t>
      </w:r>
      <w:r>
        <w:t>Publikationen steigen ab 2018 deutlich an. Fünf Forschungscluster: Technologieakzeptanz und Befähigung, digitale Lifestyle-Interventionen, digitale Partizipation und Smart Environments, eHealth-gestützte Verhaltensänderung, Machine-Learning-basierte Altersassessments. Schlüsselthemen: digitale Inklusion, körperliche Aktivität, Gesundheitsrisiko-Analytik, Lebensqualität. Verschiebung hin zu Funktionsfähigkeit und personalisierter Unterstützung; KI-basierte Assessments noch früh, sollten vorsichtig interpretiert werden.</w:t>
      </w:r>
    </w:p>
    <w:p>
      <w:r>
        <w:rPr>
          <w:b/>
          <w:sz w:val="19"/>
        </w:rPr>
        <w:t xml:space="preserve">Übertragbarkeit: </w:t>
      </w:r>
      <w:r>
        <w:rPr>
          <w:sz w:val="19"/>
        </w:rPr>
        <w:t>Globale Analyse, beschreibend (keine Wirksamkeitsdaten), Anwendbarkeit hängt von lokalen Systemen ab</w:t>
      </w:r>
    </w:p>
    <w:p>
      <w:r>
        <w:rPr>
          <w:color w:val="5A7D3A"/>
          <w:sz w:val="18"/>
        </w:rPr>
        <w:t>https://pubmed.ncbi.nlm.nih.gov/42695810/</w:t>
      </w:r>
    </w:p>
    <w:p>
      <w:pPr>
        <w:pStyle w:val="Heading2"/>
      </w:pPr>
      <w:r>
        <w:t>Körperliche Aktivität mindert Frailty-Risiko trotz belastender Kindheitserfahrungen</w:t>
      </w:r>
    </w:p>
    <w:p>
      <w:r>
        <w:rPr>
          <w:i/>
          <w:color w:val="666666"/>
          <w:sz w:val="18"/>
        </w:rPr>
        <w:t>Dong X et al.  ·  Gen Hosp Psychiatry  ·  15.08.2026  ·  PMID 42660041</w:t>
      </w:r>
    </w:p>
    <w:p>
      <w:r>
        <w:t>Prospektive Kohortenstudie (SHARE-Daten, n=23.385) zur Frage, ob ausreichende körperliche Aktivität die negativen Auswirkungen ungünstiger Kindheitserfahrungen (Adverse Childhood Experiences) auf kognitives Frailty im mittleren und höheren Alter abpuffert.</w:t>
      </w:r>
    </w:p>
    <w:p>
      <w:r>
        <w:rPr>
          <w:b/>
        </w:rPr>
        <w:t xml:space="preserve">Ergebnis: </w:t>
      </w:r>
      <w:r>
        <w:t>Jede zusätzliche ungünstige Kindheitserfahrung erhöhte das Frailty-Risiko um 9 % (HR=1,09). Ein Jahr ausreichende körperliche Aktivität senkte das Risiko um 25 % (HR=0,75). Langfristige Aufrechterhaltung (≥6 Jahre) reduzierte das Frailty-Risiko bei ungünstigen Erfahrungen um 54 % (HR=0,46); die Assoziation wurde zu 23 % durch erhaltene körperliche Aktivität vermittelt. Effekt war stärksten bei schlechtem Kindheitseinkommen (HR=0,59) und schlechter Nachbarschaftsqualität (HR=0,45).</w:t>
      </w:r>
    </w:p>
    <w:p>
      <w:r>
        <w:rPr>
          <w:b/>
          <w:sz w:val="19"/>
        </w:rPr>
        <w:t xml:space="preserve">Übertragbarkeit: </w:t>
      </w:r>
      <w:r>
        <w:rPr>
          <w:sz w:val="19"/>
        </w:rPr>
        <w:t>Europa (SHARE-Daten, deutschsprachige Länder einbezogen), sozialversicherungsbasierte Systeme vergleichbar</w:t>
      </w:r>
    </w:p>
    <w:p>
      <w:r>
        <w:rPr>
          <w:color w:val="5A7D3A"/>
          <w:sz w:val="18"/>
        </w:rPr>
        <w:t>https://pubmed.ncbi.nlm.nih.gov/42660041/</w:t>
      </w:r>
    </w:p>
    <w:p>
      <w:pPr>
        <w:pStyle w:val="Heading1"/>
      </w:pPr>
      <w:r>
        <w:t>Aufgenommen am 07.09.2026</w:t>
      </w:r>
    </w:p>
    <w:p>
      <w:pPr>
        <w:pStyle w:val="Heading2"/>
      </w:pPr>
      <w:r>
        <w:t>Kardiovaskuläre Gesundheit und Gehirngesundheit: Lebenserwartung ohne Schlaganfall und Demenz</w:t>
      </w:r>
    </w:p>
    <w:p>
      <w:r>
        <w:rPr>
          <w:i/>
          <w:color w:val="666666"/>
          <w:sz w:val="18"/>
        </w:rPr>
        <w:t>DU Y et al.  ·  Zhong Nan Da Xue Xue Bao Yi Xue Ban  ·  28.06.2026  ·  PMID 42702379</w:t>
      </w:r>
    </w:p>
    <w:p>
      <w:r>
        <w:t>Prospektive Kohortenstudie mit 122 953 Erwachsenen (37–73 Jahre) aus der UK Biobank untersuchte, wie ein Life's Essential 10-Framework (CVH-Bewertung mit 10 Komponenten) die Lebenserwartung ohne Schlaganfall und Demenz beeinflusst.</w:t>
      </w:r>
    </w:p>
    <w:p>
      <w:r>
        <w:rPr>
          <w:b/>
        </w:rPr>
        <w:t xml:space="preserve">Ergebnis: </w:t>
      </w:r>
      <w:r>
        <w:t>Bei hoher kardiovaskulärer Gesundheit (CVH) betrug die Lebenserwartung ohne Schlaganfall/Demenz im Alter 50 Jahren für Männer 31,8 Jahre (95%-KI 31,1–32,5) vs. 24,9 Jahre bei niedriger CVH; für Frauen 35,5 Jahre (95%-KI 34,7–36,2) vs. 28,4 Jahre. Hochrisiko-HRs: Männer HR=0,59 (95%-KI 0,52–0,67), Frauen HR=0,50 (95%-KI 0,42–0,59) für Schlaganfall/Demenz.</w:t>
      </w:r>
    </w:p>
    <w:p>
      <w:r>
        <w:rPr>
          <w:b/>
          <w:sz w:val="19"/>
        </w:rPr>
        <w:t xml:space="preserve">Übertragbarkeit: </w:t>
      </w:r>
      <w:r>
        <w:rPr>
          <w:sz w:val="19"/>
        </w:rPr>
        <w:t>UK Biobank, vergleichbare Sozialversicherungssysteme in Europa</w:t>
      </w:r>
    </w:p>
    <w:p>
      <w:r>
        <w:rPr>
          <w:color w:val="5A7D3A"/>
          <w:sz w:val="18"/>
        </w:rPr>
        <w:t>https://pubmed.ncbi.nlm.nih.gov/42702379/</w:t>
      </w:r>
    </w:p>
    <w:p>
      <w:pPr>
        <w:pStyle w:val="Heading2"/>
      </w:pPr>
      <w:r>
        <w:t>Wachstumshormonenantagenismus verlängert Lebensspanne bei Mäusen</w:t>
      </w:r>
    </w:p>
    <w:p>
      <w:r>
        <w:rPr>
          <w:i/>
          <w:color w:val="666666"/>
          <w:sz w:val="18"/>
        </w:rPr>
        <w:t>List EO et al.  ·  Aging Cell  ·  Sept. 2026  ·  PMID 42701998</w:t>
      </w:r>
    </w:p>
    <w:p>
      <w:r>
        <w:t>Studie an Transgenic-Mäusen untersuchte, ob Blockade der Wachstumshormonaktivität (mittels Pegvisomant-äquivalenter Substanz) die Lebensdauer und Gesundheit im Alter verbessert.</w:t>
      </w:r>
    </w:p>
    <w:p>
      <w:r>
        <w:rPr>
          <w:b/>
        </w:rPr>
        <w:t xml:space="preserve">Ergebnis: </w:t>
      </w:r>
      <w:r>
        <w:t>GH-Antagonismus-Mäuse zeigten signifikante Lebensverlängerung: Mediane Lebensspanne bei Männchen p=0,044, bei Weibchen p=2×10−8; maximale Lebensspanne um 186 Tage (Männchen) bzw. 265 Tage (Weibchen) verlängert. 2-jährige GHA-Mäuse zeigten geringere Frailty mit erhöhter Griffstärke trotz erhöhter Adiposität.</w:t>
      </w:r>
    </w:p>
    <w:p>
      <w:r>
        <w:rPr>
          <w:b/>
          <w:sz w:val="19"/>
        </w:rPr>
        <w:t xml:space="preserve">Übertragbarkeit: </w:t>
      </w:r>
      <w:r>
        <w:rPr>
          <w:sz w:val="19"/>
        </w:rPr>
        <w:t>Präklinisches Mausmodell; klinische Übertragbarkeit begrenzt, aber Pegvisomant FDA-zugelassen für Akromegalie beim Menschen</w:t>
      </w:r>
    </w:p>
    <w:p>
      <w:r>
        <w:rPr>
          <w:color w:val="5A7D3A"/>
          <w:sz w:val="18"/>
        </w:rPr>
        <w:t>https://pubmed.ncbi.nlm.nih.gov/42701998/</w:t>
      </w:r>
    </w:p>
    <w:p>
      <w:pPr>
        <w:pStyle w:val="Heading2"/>
      </w:pPr>
      <w:r>
        <w:t>Frailty als unabhängiger Mortalitätsprediktor bei Brustkrebsüberlebenden</w:t>
      </w:r>
    </w:p>
    <w:p>
      <w:r>
        <w:rPr>
          <w:i/>
          <w:color w:val="666666"/>
          <w:sz w:val="18"/>
        </w:rPr>
        <w:t>Wu C et al.  ·  Medicine (Baltimore)  ·  04.09.2026  ·  PMID 42700073</w:t>
      </w:r>
    </w:p>
    <w:p>
      <w:r>
        <w:t>Analyse von 625 128 Teilnehmern (9 941 Brustkrebsüberlebende) aus dem National Health Interview Survey 1997–2018 mit Mortalitätsfolgeup bis 2019 untersuchte Frailty als Mortalitätsprädikator.</w:t>
      </w:r>
    </w:p>
    <w:p>
      <w:r>
        <w:rPr>
          <w:b/>
        </w:rPr>
        <w:t xml:space="preserve">Ergebnis: </w:t>
      </w:r>
      <w:r>
        <w:t>Bei Brustkrebsüberlebenden zeigten Pre-Frailty (HR=1,44; 95%-KI 1,39–1,51) und Frailty (HR=1,70; 95%-KI 1,49–1,94) unabhängig erhöhte Mortalität. Unter 60-Jährigen: Frailty stark prädiktiv (HR=2,46; 95%-KI 1,52–4,00), Pre-Frailty nicht signifikant. Systematisches Frailty-Screening empfohlen.</w:t>
      </w:r>
    </w:p>
    <w:p>
      <w:r>
        <w:rPr>
          <w:b/>
          <w:sz w:val="19"/>
        </w:rPr>
        <w:t xml:space="preserve">Übertragbarkeit: </w:t>
      </w:r>
      <w:r>
        <w:rPr>
          <w:sz w:val="19"/>
        </w:rPr>
        <w:t>USA-Studie, nationale Versorgungsdaten; Frailty-Definition auf andere Systeme übertragbar</w:t>
      </w:r>
    </w:p>
    <w:p>
      <w:r>
        <w:rPr>
          <w:color w:val="5A7D3A"/>
          <w:sz w:val="18"/>
        </w:rPr>
        <w:t>https://pubmed.ncbi.nlm.nih.gov/42700073/</w:t>
      </w:r>
    </w:p>
    <w:p>
      <w:pPr>
        <w:pStyle w:val="Heading2"/>
      </w:pPr>
      <w:r>
        <w:t>Frailty-Verbesserung senkt Demenzrisiko bei älteren Erwachsenen</w:t>
      </w:r>
    </w:p>
    <w:p>
      <w:r>
        <w:rPr>
          <w:i/>
          <w:color w:val="666666"/>
          <w:sz w:val="18"/>
        </w:rPr>
        <w:t>Fang J et al.  ·  J Affect Disord  ·  01.12.2026  ·  PMID 42600788</w:t>
      </w:r>
    </w:p>
    <w:p>
      <w:r>
        <w:t>Longitudinale Kohortenanalyse von 59 331 Erwachsenen (≥50 Jahre) aus vier internationalen Studien (HRS, CHARLS, SHARE, ELSA) untersuchte, ob Frailty-Umkehr das Demenzrisiko reduziert und welche Rolle depressive Symptome spielen.</w:t>
      </w:r>
    </w:p>
    <w:p>
      <w:r>
        <w:rPr>
          <w:b/>
        </w:rPr>
        <w:t xml:space="preserve">Ergebnis: </w:t>
      </w:r>
      <w:r>
        <w:t>Über 7,51±2,09 Jahre entwickelten 9,49 % Demenz. Frailty-Verschlechterung erhöhte das Risiko (HR 1,43–2,53), während Frailty-Verbesserung in SHARE (HR=0,55) und CHARLS (HR=0,70) mit geringerem Risiko assoziiert war. Depressive Symptome mediieren 29,29–44,78 % der Assoziation zwischen Frailty und Demenz.</w:t>
      </w:r>
    </w:p>
    <w:p>
      <w:r>
        <w:rPr>
          <w:b/>
          <w:sz w:val="19"/>
        </w:rPr>
        <w:t xml:space="preserve">Übertragbarkeit: </w:t>
      </w:r>
      <w:r>
        <w:rPr>
          <w:sz w:val="19"/>
        </w:rPr>
        <w:t>Europäische Studien (SHARE, ELSA) einbezogen; vergleichbare Versorgungssysteme</w:t>
      </w:r>
    </w:p>
    <w:p>
      <w:r>
        <w:rPr>
          <w:color w:val="5A7D3A"/>
          <w:sz w:val="18"/>
        </w:rPr>
        <w:t>https://pubmed.ncbi.nlm.nih.gov/42600788/</w:t>
      </w:r>
    </w:p>
    <w:p>
      <w:pPr>
        <w:pStyle w:val="Heading2"/>
      </w:pPr>
      <w:r>
        <w:t>Maschinelles Lernen vorhersagt depressive Symptome bei älteren Erwachsenen in Großbritannien</w:t>
      </w:r>
    </w:p>
    <w:p>
      <w:r>
        <w:rPr>
          <w:i/>
          <w:color w:val="666666"/>
          <w:sz w:val="18"/>
        </w:rPr>
        <w:t>Khorram B et al.  ·  JMIR Form Res  ·  02.07.2026  ·  PMID 42390822</w:t>
      </w:r>
    </w:p>
    <w:p>
      <w:r>
        <w:t>Machine-Learning-Studie mit Daten aus vier Wellen der English Longitudinal Study of Ageing (ELSA) zur Vorhersage klinisch bedeutsamer depressiver Symptome (CES-D 8≥4) im 2-Jahres-Follow-up bei über 50-Jährigen.</w:t>
      </w:r>
    </w:p>
    <w:p>
      <w:r>
        <w:rPr>
          <w:b/>
        </w:rPr>
        <w:t xml:space="preserve">Ergebnis: </w:t>
      </w:r>
      <w:r>
        <w:t>Beste Modelle erreichten mittlere AUROC von 0,72–0,73 (Peak 0,75). Ordinale Codierung übertraf One-Hot-Codierung. Konsistente Prädiktoren: Einsamkeit, Schlafstörungen, geringe soziale Bindung. Sensitivitätsanalysen über CES-D-Schwellwerte robust (AUROC 0,67–0,82).</w:t>
      </w:r>
    </w:p>
    <w:p>
      <w:r>
        <w:rPr>
          <w:b/>
          <w:sz w:val="19"/>
        </w:rPr>
        <w:t xml:space="preserve">Übertragbarkeit: </w:t>
      </w:r>
      <w:r>
        <w:rPr>
          <w:sz w:val="19"/>
        </w:rPr>
        <w:t>Britische Studie mit europäischem Sozialversicherungssystem; Prädiktoren für Screeningtools übertragbar</w:t>
      </w:r>
    </w:p>
    <w:p>
      <w:r>
        <w:rPr>
          <w:color w:val="5A7D3A"/>
          <w:sz w:val="18"/>
        </w:rPr>
        <w:t>https://pubmed.ncbi.nlm.nih.gov/42390822/</w:t>
      </w:r>
    </w:p>
    <w:p>
      <w:pPr>
        <w:pStyle w:val="Heading2"/>
      </w:pPr>
      <w:r>
        <w:t>Biologische Alterungsbeschleunigung als Risikofaktor für Lebererkrankung im UK Biobank</w:t>
      </w:r>
    </w:p>
    <w:p>
      <w:r>
        <w:rPr>
          <w:i/>
          <w:color w:val="666666"/>
          <w:sz w:val="18"/>
        </w:rPr>
        <w:t>Yang X et al.  ·  Front Endocrinol (Lausanne)  ·  17.06.2026  ·  PMID 42388879</w:t>
      </w:r>
    </w:p>
    <w:p>
      <w:r>
        <w:t>Studie untersuchte die Assoziation zwischen beschleunigtem biologischem Alter und hospitalisierten Fällen von Stoffwechsel-assoziierter Steatose-Lebererkrankung (MASLD) an 247 444 Personen über 13,7 Jahre Nachbeobachtung.</w:t>
      </w:r>
    </w:p>
    <w:p>
      <w:r>
        <w:rPr>
          <w:b/>
        </w:rPr>
        <w:t xml:space="preserve">Ergebnis: </w:t>
      </w:r>
      <w:r>
        <w:t>Beschleunigtes biologisches Alter (PhenoAge-Beschleunigung) war mit erhöhtem MASLD-Risiko assoziiert (HR=1,46; 95%-KI 1,35–1,57). PhenoAge-Beschleunigung erklärte 11,4–25,5 % der Assoziation zwischen ungesundem Lebensstil (Rauchen, Alkohol, schlechte Ernährung, Bewegungsmangel) und MASLD, mit stärkstem Effekt beim Rauchen (25,5 %).</w:t>
      </w:r>
    </w:p>
    <w:p>
      <w:r>
        <w:rPr>
          <w:b/>
          <w:sz w:val="19"/>
        </w:rPr>
        <w:t xml:space="preserve">Übertragbarkeit: </w:t>
      </w:r>
      <w:r>
        <w:rPr>
          <w:sz w:val="19"/>
        </w:rPr>
        <w:t>UK Biobank, übertragbar für europäische Sozialversicherungssysteme</w:t>
      </w:r>
    </w:p>
    <w:p>
      <w:r>
        <w:rPr>
          <w:color w:val="5A7D3A"/>
          <w:sz w:val="18"/>
        </w:rPr>
        <w:t>https://pubmed.ncbi.nlm.nih.gov/42388879/</w:t>
      </w:r>
    </w:p>
    <w:p>
      <w:pPr>
        <w:pStyle w:val="Heading1"/>
      </w:pPr>
      <w:r>
        <w:t>Aufgenommen am 06.09.2026</w:t>
      </w:r>
    </w:p>
    <w:p>
      <w:pPr>
        <w:pStyle w:val="Heading2"/>
      </w:pPr>
      <w:r>
        <w:t>Orale Gesundheit und orale Gebrechlichkeit bei älteren hospitalisierten Patienten</w:t>
      </w:r>
    </w:p>
    <w:p>
      <w:r>
        <w:rPr>
          <w:i/>
          <w:color w:val="666666"/>
          <w:sz w:val="18"/>
        </w:rPr>
        <w:t>Ren Q et al.  ·  J Coll Physicians Surg Pak  ·  Sept. 2026  ·  PMID 42698252</w:t>
      </w:r>
    </w:p>
    <w:p>
      <w:r>
        <w:t>Querschnittsstudie mit 200 älteren Patienten: Beziehung zwischen Mundgesundheitsstatus (GOHAI, Wasserschluck-Test) und Oral Frailty Index-8 (OFI-8).</w:t>
      </w:r>
    </w:p>
    <w:p>
      <w:r>
        <w:rPr>
          <w:b/>
        </w:rPr>
        <w:t xml:space="preserve">Ergebnis: </w:t>
      </w:r>
      <w:r>
        <w:t>Signifikante Unterschiede in Alter, Mundgesundheitsindikatoren und Zahnfunktion zwischen Frailty- (n=55) und Non-Frailty-Gruppe (n=145). OFI-8 zeigt praktische Relevanz für Früherkennung oraler Gebrechlichkeit im klinischen Setting.</w:t>
      </w:r>
    </w:p>
    <w:p>
      <w:r>
        <w:rPr>
          <w:b/>
          <w:sz w:val="19"/>
        </w:rPr>
        <w:t xml:space="preserve">Übertragbarkeit: </w:t>
      </w:r>
      <w:r>
        <w:rPr>
          <w:sz w:val="19"/>
        </w:rPr>
        <w:t>China, geriatrische Versorgung; Screening-Wert für deutsches Gesundheitswesen nutzbar</w:t>
      </w:r>
    </w:p>
    <w:p>
      <w:r>
        <w:rPr>
          <w:color w:val="5A7D3A"/>
          <w:sz w:val="18"/>
        </w:rPr>
        <w:t>https://pubmed.ncbi.nlm.nih.gov/42698252/</w:t>
      </w:r>
    </w:p>
    <w:p>
      <w:pPr>
        <w:pStyle w:val="Heading2"/>
      </w:pPr>
      <w:r>
        <w:t>FRAIL- und SARC-CalF-Skalen vorhersagen HFpEF-Risiko bei älteren Patienten</w:t>
      </w:r>
    </w:p>
    <w:p>
      <w:r>
        <w:rPr>
          <w:i/>
          <w:color w:val="666666"/>
          <w:sz w:val="18"/>
        </w:rPr>
        <w:t>Yu Y et al.  ·  J Coll Physicians Surg Pak  ·  Sept. 2026  ·  PMID 42698238</w:t>
      </w:r>
    </w:p>
    <w:p>
      <w:r>
        <w:t>Querschnittsstudie mit 134 hospitalisierten Patienten ≥60 Jahren: Umfassendes geriatrisches Assessment (CGA) mit Evaluierung von Gebrechlichkeit, Sarkopenie und Ernährung; Vorhersage von Herzinsuffizienz mit erhaltener Ejektionsfraktion (HFpEF).</w:t>
      </w:r>
    </w:p>
    <w:p>
      <w:r>
        <w:rPr>
          <w:b/>
        </w:rPr>
        <w:t xml:space="preserve">Ergebnis: </w:t>
      </w:r>
      <w:r>
        <w:t>FRAIL-Score OR 3,68 (95%KI 1,83–8,39), SARC-CalF-Score OR 1,47 (95%KI 1,21–1,86) unabhängig mit HFpEF assoziiert; AUC FRAIL 0,88, AUC SARC-CalF 0,89; optimale Schwellen 1,5 Punkte (Vor-Frailty) bzw. 11 Punkte.</w:t>
      </w:r>
    </w:p>
    <w:p>
      <w:r>
        <w:rPr>
          <w:b/>
          <w:sz w:val="19"/>
        </w:rPr>
        <w:t xml:space="preserve">Übertragbarkeit: </w:t>
      </w:r>
      <w:r>
        <w:rPr>
          <w:sz w:val="19"/>
        </w:rPr>
        <w:t>China, aber FRAIL und SARC-CalF sind validiert international</w:t>
      </w:r>
    </w:p>
    <w:p>
      <w:r>
        <w:rPr>
          <w:color w:val="5A7D3A"/>
          <w:sz w:val="18"/>
        </w:rPr>
        <w:t>https://pubmed.ncbi.nlm.nih.gov/42698238/</w:t>
      </w:r>
    </w:p>
    <w:p>
      <w:pPr>
        <w:pStyle w:val="Heading2"/>
      </w:pPr>
      <w:r>
        <w:t>Depressive Symptome bei älteren Indonesiern: Prävalenz und Risikofaktoren</w:t>
      </w:r>
    </w:p>
    <w:p>
      <w:r>
        <w:rPr>
          <w:i/>
          <w:color w:val="666666"/>
          <w:sz w:val="18"/>
        </w:rPr>
        <w:t>Pengpid S et al.  ·  Psychogeriatrics  ·  Sept. 2026  ·  PMID 42698196</w:t>
      </w:r>
    </w:p>
    <w:p>
      <w:r>
        <w:t>Querschnittsanalyse von 3.808 Personen ≥45 Jahren aus indonesischer Longitudinal-Studie (ILAS 2023): Depressive Symptome (CES-D-10 ≥10) in Zusammenhang mit Hospitalisierung, Selbsteinschätzung der Gesundheit, Multisite-Schmerz, Übergewicht, Behinderung und religiöser Aktivität.</w:t>
      </w:r>
    </w:p>
    <w:p>
      <w:r>
        <w:rPr>
          <w:b/>
        </w:rPr>
        <w:t xml:space="preserve">Ergebnis: </w:t>
      </w:r>
      <w:r>
        <w:t>Depressive-Symptom-Prävalenz 9,3% (9,0% Männer, 9,6% Frauen). Hospitalisierung im vergangenen Jahr, schlechte Selbsteinschätzung, Multisite-Schmerz, Übergewicht und Behinderung positiv assoziiert; religiöse Aktivität protektiv (unadjustiert); bei Männern Rauchen zusätzlicher Risikofaktor.</w:t>
      </w:r>
    </w:p>
    <w:p>
      <w:r>
        <w:rPr>
          <w:b/>
          <w:sz w:val="19"/>
        </w:rPr>
        <w:t xml:space="preserve">Übertragbarkeit: </w:t>
      </w:r>
      <w:r>
        <w:rPr>
          <w:sz w:val="19"/>
        </w:rPr>
        <w:t>Indonesien; kulturelle/epidemiologische Unterschiede, aber psychosoziale Prädiktoren universal</w:t>
      </w:r>
    </w:p>
    <w:p>
      <w:r>
        <w:rPr>
          <w:color w:val="5A7D3A"/>
          <w:sz w:val="18"/>
        </w:rPr>
        <w:t>https://pubmed.ncbi.nlm.nih.gov/42698196/</w:t>
      </w:r>
    </w:p>
    <w:p>
      <w:pPr>
        <w:pStyle w:val="Heading2"/>
      </w:pPr>
      <w:r>
        <w:t>Geriatrisches Assessment mit Frailty Index optimiert Vorhersage von Sterblichkeit im Alter</w:t>
      </w:r>
    </w:p>
    <w:p>
      <w:r>
        <w:rPr>
          <w:i/>
          <w:color w:val="666666"/>
          <w:sz w:val="18"/>
        </w:rPr>
        <w:t>Quach J et al.  ·  Age Ageing  ·  04.09.2026  ·  PMID 42696642</w:t>
      </w:r>
    </w:p>
    <w:p>
      <w:r>
        <w:t>Analyse von 3.669 Patienten mit kardiovaskulärer Erkrankung: Bei einzelnen Deficit-Items war die Vorhersagekraft für Mortalität besser als bei zusammengefassten Frailty-Index-Scores; 10 Defizite reichten aus, um Vorhersagekraft zu optimieren.</w:t>
      </w:r>
    </w:p>
    <w:p>
      <w:r>
        <w:rPr>
          <w:b/>
        </w:rPr>
        <w:t xml:space="preserve">Ergebnis: </w:t>
      </w:r>
      <w:r>
        <w:t>Mit 46 Einzelitems C-Index 0,71 (95%KI 0,69–0,74) vs. composite FI 0,64–0,67; mit ~10 Items konvergierte Performance der Importance-ranked FI mit zufällig gewählten FI. Die Deficit-Interchangeability-Annahme des FI hält nur bei ausreichender Itemanzahl.</w:t>
      </w:r>
    </w:p>
    <w:p>
      <w:r>
        <w:rPr>
          <w:b/>
          <w:sz w:val="19"/>
        </w:rPr>
        <w:t xml:space="preserve">Übertragbarkeit: </w:t>
      </w:r>
      <w:r>
        <w:rPr>
          <w:sz w:val="19"/>
        </w:rPr>
        <w:t>USA-Daten, aber Frailty-Index-Methodik international anerkannt</w:t>
      </w:r>
    </w:p>
    <w:p>
      <w:r>
        <w:rPr>
          <w:color w:val="5A7D3A"/>
          <w:sz w:val="18"/>
        </w:rPr>
        <w:t>https://pubmed.ncbi.nlm.nih.gov/42696642/</w:t>
      </w:r>
    </w:p>
    <w:p>
      <w:pPr>
        <w:pStyle w:val="Heading2"/>
      </w:pPr>
      <w:r>
        <w:t>Benachteiligte Kindheit verschlechtert kognitive Funktion im Alter unabhängig von Erwachsenen-Erkrankungen</w:t>
      </w:r>
    </w:p>
    <w:p>
      <w:r>
        <w:rPr>
          <w:i/>
          <w:color w:val="666666"/>
          <w:sz w:val="18"/>
        </w:rPr>
        <w:t>Ripamonti E et al.  ·  J Clin Exp Neuropsychol  ·  06.07.2026  ·  PMID 42403102</w:t>
      </w:r>
    </w:p>
    <w:p>
      <w:r>
        <w:t>Longitudinale Studie: 508 schwedische Ältere verfolgt über mehrere Jahre; Analyse der Assoziation zwischen Kindheitsbenachteiligung und kognitiver Funktion (MMSE) bzw. Behinderung (ADL/iADL) im Alter mit Mediationsanalyse durch Krankheitszahl und chronische Schmerzen.</w:t>
      </w:r>
    </w:p>
    <w:p>
      <w:r>
        <w:rPr>
          <w:b/>
        </w:rPr>
        <w:t xml:space="preserve">Ergebnis: </w:t>
      </w:r>
      <w:r>
        <w:t>Benachteiligte Kindheit mit niedrigeren MMSE-Werten bei Baseline assoziiert (β=-0,14 [95%KI -0,27,-0,02]), aber nicht mit zeitlichem Verlauf (β=-0,01 [95%KI -0,03,0,01]); Mediationsanalyse: Krankheitszahl/Schmerz erklären nur minimalen Teil; keine Assoziation mit ADL/iADL. Unterstützt Sensitive-Period-Hypothese.</w:t>
      </w:r>
    </w:p>
    <w:p>
      <w:r>
        <w:rPr>
          <w:b/>
          <w:sz w:val="19"/>
        </w:rPr>
        <w:t xml:space="preserve">Übertragbarkeit: </w:t>
      </w:r>
      <w:r>
        <w:rPr>
          <w:sz w:val="19"/>
        </w:rPr>
        <w:t>Schweden (skandinavisches Sozialversicherungssystem), hochgradig übertragbar auf Deutschland</w:t>
      </w:r>
    </w:p>
    <w:p>
      <w:r>
        <w:rPr>
          <w:color w:val="5A7D3A"/>
          <w:sz w:val="18"/>
        </w:rPr>
        <w:t>https://pubmed.ncbi.nlm.nih.gov/42403102/</w:t>
      </w:r>
    </w:p>
    <w:p>
      <w:pPr>
        <w:pStyle w:val="Heading2"/>
      </w:pPr>
      <w:r>
        <w:t>Muskelleistung aus Sit-to-Stand-Test identifiziert Frailty bei älteren Community-Bewohnern</w:t>
      </w:r>
    </w:p>
    <w:p>
      <w:r>
        <w:rPr>
          <w:i/>
          <w:color w:val="666666"/>
          <w:sz w:val="18"/>
        </w:rPr>
        <w:t>Condon C et al.  ·  PLoS One  ·  02.07.2026  ·  PMID 42391194</w:t>
      </w:r>
    </w:p>
    <w:p>
      <w:r>
        <w:t>Querschnittsstudie mit 2.959 irischen Teilnehmern ≥50 Jahren: Geschätzte Muskelleistung aus 5×STS-Test verglichen mit Frailty-Index und etablierten Tests.</w:t>
      </w:r>
    </w:p>
    <w:p>
      <w:r>
        <w:rPr>
          <w:b/>
        </w:rPr>
        <w:t xml:space="preserve">Ergebnis: </w:t>
      </w:r>
      <w:r>
        <w:t>Schwellenwert &lt;2,5 Watt·kg⁻¹ Männer, &lt;2,08 Watt·kg⁻¹ Frauen mit erhöhtem Frailty-Risiko assoziiert; Sensitivität und Spezifität vergleichbar mit Timed Up and Go; praktisches Screening-Tool mit moderater Vorhersagekraft.</w:t>
      </w:r>
    </w:p>
    <w:p>
      <w:r>
        <w:rPr>
          <w:b/>
          <w:sz w:val="19"/>
        </w:rPr>
        <w:t xml:space="preserve">Übertragbarkeit: </w:t>
      </w:r>
      <w:r>
        <w:rPr>
          <w:sz w:val="19"/>
        </w:rPr>
        <w:t>Irland (vergleichbares Sozialversicherungssystem), einfach durchführbar in Praxen</w:t>
      </w:r>
    </w:p>
    <w:p>
      <w:r>
        <w:rPr>
          <w:color w:val="5A7D3A"/>
          <w:sz w:val="18"/>
        </w:rPr>
        <w:t>https://pubmed.ncbi.nlm.nih.gov/42391194/</w:t>
      </w:r>
    </w:p>
    <w:p>
      <w:pPr>
        <w:pStyle w:val="Heading1"/>
      </w:pPr>
      <w:r>
        <w:t>Aufgenommen am 05.09.2026</w:t>
      </w:r>
    </w:p>
    <w:p>
      <w:pPr>
        <w:pStyle w:val="Heading2"/>
      </w:pPr>
      <w:r>
        <w:t>Reaktive Balanceschulung senkt Sturzrisikofaktoren, nicht aber Stürze im Alltag</w:t>
      </w:r>
    </w:p>
    <w:p>
      <w:r>
        <w:rPr>
          <w:i/>
          <w:color w:val="666666"/>
          <w:sz w:val="18"/>
        </w:rPr>
        <w:t>Sharma S et al.  ·  Age Ageing  ·  04.09.2026  ·  PMID 42696641</w:t>
      </w:r>
    </w:p>
    <w:p>
      <w:r>
        <w:t>Randomisierte kontrollierte Studie mit 88 älteren Menschen: 43 erhielten wöchentliches ReacStep-Training (Reaktives Stepping, bewusste Ausrutscher) über 6 Wochen plus Heimkrafttraining, 45 nur Heimkrafttraining über 8 Wochen; Erhebung von reaktiver Balance, körperlichen Funktionen und Stürzen im Alltag über 12 Monate.</w:t>
      </w:r>
    </w:p>
    <w:p>
      <w:r>
        <w:rPr>
          <w:b/>
        </w:rPr>
        <w:t xml:space="preserve">Ergebnis: </w:t>
      </w:r>
      <w:r>
        <w:t>Adhärenz zum ReacStep-Programm 90 %, Interventionsgruppe zeigte signifikante Verbesserungen in maximaler Schrittlänge und Reaktionszeit beim Stepping (p&lt;0,05), aber keine Unterschiede in laborgestützten Sturzversuchen oder Häuslichkeitsstürzen über 12 Monate (p=0,19).</w:t>
      </w:r>
    </w:p>
    <w:p>
      <w:r>
        <w:rPr>
          <w:b/>
          <w:sz w:val="19"/>
        </w:rPr>
        <w:t xml:space="preserve">Übertragbarkeit: </w:t>
      </w:r>
      <w:r>
        <w:rPr>
          <w:sz w:val="19"/>
        </w:rPr>
        <w:t>Australien, vergleichbares Gesundheitssystem, aber begrenzte Übertragung zur Sturzprävention</w:t>
      </w:r>
    </w:p>
    <w:p>
      <w:r>
        <w:rPr>
          <w:color w:val="5A7D3A"/>
          <w:sz w:val="18"/>
        </w:rPr>
        <w:t>https://pubmed.ncbi.nlm.nih.gov/42696641/</w:t>
      </w:r>
    </w:p>
    <w:p>
      <w:pPr>
        <w:pStyle w:val="Heading2"/>
      </w:pPr>
      <w:r>
        <w:t>Urat-senkende Therapie und Frailty-Risiko bei Nierenpatienten</w:t>
      </w:r>
    </w:p>
    <w:p>
      <w:r>
        <w:rPr>
          <w:i/>
          <w:color w:val="666666"/>
          <w:sz w:val="18"/>
        </w:rPr>
        <w:t>Lee SY et al.  ·  Int J Med Sci  ·  04.08.2026  ·  PMID 42694867</w:t>
      </w:r>
    </w:p>
    <w:p>
      <w:r>
        <w:t>Retrospektive Kohortenstudie mit 19.389 Nephrologiepatienten: Untersuchung der Assoziation zwischen Febuxostat, Allopurinol und keiner Therapie mit neuaufgetretener und verschlimmerter Frailty über medianen Nachbeobachtungszeitraum von 3 Jahren.</w:t>
      </w:r>
    </w:p>
    <w:p>
      <w:r>
        <w:rPr>
          <w:b/>
        </w:rPr>
        <w:t xml:space="preserve">Ergebnis: </w:t>
      </w:r>
      <w:r>
        <w:t>892 (4,6 %) entwickelten neuaufgetretene Frailty, 5.253 (27,1 %) zeigten Verschlimmerung. Febuxostat war mit höherem Frailty-Risiko verbunden (HR 1,22; 95%-KI 1,01–1,48), Allopurinol mit geringerem Risiko (HR 0,65; 95%-KI 0,46–0,93); beide gemeinsam ohne signifikante Assoziation. Keine Effekte auf Frailty-Verschlimmerung.</w:t>
      </w:r>
    </w:p>
    <w:p>
      <w:r>
        <w:rPr>
          <w:b/>
          <w:sz w:val="19"/>
        </w:rPr>
        <w:t xml:space="preserve">Übertragbarkeit: </w:t>
      </w:r>
      <w:r>
        <w:rPr>
          <w:sz w:val="19"/>
        </w:rPr>
        <w:t>Taiwan, Nephrologiedaten vergleichbar, aber begrenzte Generalisierbarkeit</w:t>
      </w:r>
    </w:p>
    <w:p>
      <w:r>
        <w:rPr>
          <w:color w:val="5A7D3A"/>
          <w:sz w:val="18"/>
        </w:rPr>
        <w:t>https://pubmed.ncbi.nlm.nih.gov/42694867/</w:t>
      </w:r>
    </w:p>
    <w:p>
      <w:pPr>
        <w:pStyle w:val="Heading2"/>
      </w:pPr>
      <w:r>
        <w:t>Funkionsstatus und Pflegebedarf bei Eintritt in öffentlich finanzierte Altenhilfe</w:t>
      </w:r>
    </w:p>
    <w:p>
      <w:r>
        <w:rPr>
          <w:i/>
          <w:color w:val="666666"/>
          <w:sz w:val="18"/>
        </w:rPr>
        <w:t>Siljehag PA et al.  ·  BMC Health Serv Res  ·  02.09.2026  ·  PMID 42693458</w:t>
      </w:r>
    </w:p>
    <w:p>
      <w:r>
        <w:t>Schwedische Registeranalyse von 3.649 älteren Menschen (durchschnittlich 80 Jahre), die erstmals Altenhilfe in Anspruch nahmen, mit Erhebung von Komorbiditäten, funktionalen Einschränkungen und Vorbehandlung im Gesundheitswesen.</w:t>
      </w:r>
    </w:p>
    <w:p>
      <w:r>
        <w:rPr>
          <w:b/>
        </w:rPr>
        <w:t xml:space="preserve">Ergebnis: </w:t>
      </w:r>
      <w:r>
        <w:t>92 % hatten Multimorbidität, 25 % umfangreiche funktionale Einschränkungen, 95 % erhielten Pflege zu Hause, bei 50 % folgte die Altenhilfe unmittelbar nach stationärer Behandlung. Primärversorgung war bei 80 % der dominante ambulante Kontakt vor Heimaufnahme.</w:t>
      </w:r>
    </w:p>
    <w:p>
      <w:r>
        <w:rPr>
          <w:b/>
          <w:sz w:val="19"/>
        </w:rPr>
        <w:t xml:space="preserve">Übertragbarkeit: </w:t>
      </w:r>
      <w:r>
        <w:rPr>
          <w:sz w:val="19"/>
        </w:rPr>
        <w:t>Schweden, vergleichbare Sozialversicherung und Pflegefinanzierung</w:t>
      </w:r>
    </w:p>
    <w:p>
      <w:r>
        <w:rPr>
          <w:color w:val="5A7D3A"/>
          <w:sz w:val="18"/>
        </w:rPr>
        <w:t>https://pubmed.ncbi.nlm.nih.gov/42693458/</w:t>
      </w:r>
    </w:p>
    <w:p>
      <w:pPr>
        <w:pStyle w:val="Heading2"/>
      </w:pPr>
      <w:r>
        <w:t>Triglyzerid-Glukose-Frailty-Index zeigt stärkere Mortalitätsvorhersage als Insulinresistanzmarker</w:t>
      </w:r>
    </w:p>
    <w:p>
      <w:r>
        <w:rPr>
          <w:i/>
          <w:color w:val="666666"/>
          <w:sz w:val="18"/>
        </w:rPr>
        <w:t>Liu K et al.  ·  Cardiovasc Diabetol  ·  03.09.2026  ·  PMID 42693435</w:t>
      </w:r>
    </w:p>
    <w:p>
      <w:r>
        <w:t>Sekundäranalyse von 11.228 US-amerikanischen Erwachsenen (20–79 Jahre) aus NHANES 2001–2018: Vergleich des TyG-Frailty-Indexes (TyG-Index × Frailty-Index) mit konventionellen Insulinresistanzmarkern für kardiovaskuläre und Stoffwechselsyndrome sowie Mortalität über medianen Nachbeobachtungszeitraum von 90 Monaten.</w:t>
      </w:r>
    </w:p>
    <w:p>
      <w:r>
        <w:rPr>
          <w:b/>
        </w:rPr>
        <w:t xml:space="preserve">Ergebnis: </w:t>
      </w:r>
      <w:r>
        <w:t>TyG-FI-Quartil 4 vs. 1: fortgeschrittenes kardiovaskuläres-Nierenstoffwechsel-Syndrom OR=4,57 (95%-KI 3,50–5,99), kardiometabolische Multimorbidität OR=5,09 (95%-KI 2,83–9,16), Gesamtmortalität HR=3,90 (95%-KI 2,96–5,13), kardiovaskulär HR=5,82 (95%-KI 3,38–10,03). TyG-FI diskriminierte stärker als Vergleichsindizes, tiefere eGFR erklärte 16–27 % der Mortalitätsassoziation.</w:t>
      </w:r>
    </w:p>
    <w:p>
      <w:r>
        <w:rPr>
          <w:b/>
          <w:sz w:val="19"/>
        </w:rPr>
        <w:t xml:space="preserve">Übertragbarkeit: </w:t>
      </w:r>
      <w:r>
        <w:rPr>
          <w:sz w:val="19"/>
        </w:rPr>
        <w:t>USA-NHANES-Daten, begrenzte Übertragbarkeit auf deutsches System, aber Validierungsfrage ist altersunabhängig</w:t>
      </w:r>
    </w:p>
    <w:p>
      <w:r>
        <w:rPr>
          <w:color w:val="5A7D3A"/>
          <w:sz w:val="18"/>
        </w:rPr>
        <w:t>https://pubmed.ncbi.nlm.nih.gov/42693435/</w:t>
      </w:r>
    </w:p>
    <w:p>
      <w:pPr>
        <w:pStyle w:val="Heading2"/>
      </w:pPr>
      <w:r>
        <w:t>Muskelarchitektur und Kraft: Altern beeinträchtigt Faszickelkinetik trotz lebenslangem Training</w:t>
      </w:r>
    </w:p>
    <w:p>
      <w:r>
        <w:rPr>
          <w:i/>
          <w:color w:val="666666"/>
          <w:sz w:val="18"/>
        </w:rPr>
        <w:t>Michely S et al.  ·  J Appl Physiol (1985)  ·  01.09.2026  ·  PMID 42518311</w:t>
      </w:r>
    </w:p>
    <w:p>
      <w:r>
        <w:t>Querschnittsstudie mit 172 Leistungssportlern im Alter 35–90 Jahren (68 % männlich): Ultraschallmessung der Wadenmuskulatur bei willkürlicher Maximalkontraktion; Analyse von Faszickellänge, Pennationswinkel, -rotation und -verlängerung.</w:t>
      </w:r>
    </w:p>
    <w:p>
      <w:r>
        <w:rPr>
          <w:b/>
        </w:rPr>
        <w:t xml:space="preserve">Ergebnis: </w:t>
      </w:r>
      <w:r>
        <w:t>Oberflächliche Faszickelrotation (Pennationswinkelveränderung) sank um 6,6±51,3 % pro Jahrzehnt (p=0,003), tiefe Rotation blieb stabil (p=0,27). Ruhefaszickellänge sank um 1,8±13,7 % pro Jahrzehnt (p=0,002). Achillessehnen-kraft fiel um 4,3±16,3 % pro Jahrzehnt (p&lt;0,001), unabhängig vom Geschlecht. Eliteathleten (&gt;85 % age grade) erhielten größere oberflächliche Rotation.</w:t>
      </w:r>
    </w:p>
    <w:p>
      <w:r>
        <w:rPr>
          <w:b/>
          <w:sz w:val="19"/>
        </w:rPr>
        <w:t xml:space="preserve">Übertragbarkeit: </w:t>
      </w:r>
      <w:r>
        <w:rPr>
          <w:sz w:val="19"/>
        </w:rPr>
        <w:t>Deutschland, Deutsche Luft- und Raumfahrtforschung, vergleichbare Trainingsmethoden</w:t>
      </w:r>
    </w:p>
    <w:p>
      <w:r>
        <w:rPr>
          <w:color w:val="5A7D3A"/>
          <w:sz w:val="18"/>
        </w:rPr>
        <w:t>https://pubmed.ncbi.nlm.nih.gov/42518311/</w:t>
      </w:r>
    </w:p>
    <w:p>
      <w:pPr>
        <w:pStyle w:val="Heading2"/>
      </w:pPr>
      <w:r>
        <w:t>Soziale Frailty und Bildungsungleichheit: Sechs Ländervergleich mit 83.869 älteren Erwachsenen</w:t>
      </w:r>
    </w:p>
    <w:p>
      <w:r>
        <w:rPr>
          <w:i/>
          <w:color w:val="666666"/>
          <w:sz w:val="18"/>
        </w:rPr>
        <w:t>Xiang X et al.  ·  J Am Med Dir Assoc  ·  14.07.2026  ·  PMID 42447552</w:t>
      </w:r>
    </w:p>
    <w:p>
      <w:r>
        <w:t>Querschnittsanalyse aus sechs Längsschnittstudien in USA, England, Europa, Südkorea, Mexico und China mit 83.869 Personen ≥50 Jahren: Alter- und geschlechtsstandardisierte Prävalenz von sozialer Prefrailty und Frailty sowie Assoziation mit Bildungsabschlüssen.</w:t>
      </w:r>
    </w:p>
    <w:p>
      <w:r>
        <w:rPr>
          <w:b/>
        </w:rPr>
        <w:t xml:space="preserve">Ergebnis: </w:t>
      </w:r>
      <w:r>
        <w:t>Soziale Prefrailty 54,0–74,1 %, soziale Frailty 5,9–14,4 % je nach Land. Klare Bildungsstratifikation: mittlere vs. niedrige Bildung OR=0,72 (95%-KI 0,60–0,86) für Prefrailty und OR=0,54 (95%-KI 0,44–0,67) für Frailty; hohe Bildung OR=0,53 (95%-KI 0,36–0,78) bzw. OR=0,29 (95%-KI 0,17–0,51).</w:t>
      </w:r>
    </w:p>
    <w:p>
      <w:r>
        <w:rPr>
          <w:b/>
          <w:sz w:val="19"/>
        </w:rPr>
        <w:t xml:space="preserve">Übertragbarkeit: </w:t>
      </w:r>
      <w:r>
        <w:rPr>
          <w:sz w:val="19"/>
        </w:rPr>
        <w:t>Mehrländer-Poolanalyse, europäische Länder dabei, aber heterogene Systeme</w:t>
      </w:r>
    </w:p>
    <w:p>
      <w:r>
        <w:rPr>
          <w:color w:val="5A7D3A"/>
          <w:sz w:val="18"/>
        </w:rPr>
        <w:t>https://pubmed.ncbi.nlm.nih.gov/42447552/</w:t>
      </w:r>
    </w:p>
    <w:p>
      <w:pPr>
        <w:pStyle w:val="Heading1"/>
      </w:pPr>
      <w:r>
        <w:t>Aufgenommen am 04.09.2026</w:t>
      </w:r>
    </w:p>
    <w:p>
      <w:pPr>
        <w:pStyle w:val="Heading2"/>
      </w:pPr>
      <w:r>
        <w:t>Feinstaubexposition (PM2,5) erhöht Frailty-Risiko im Alter signifikant</w:t>
      </w:r>
    </w:p>
    <w:p>
      <w:r>
        <w:rPr>
          <w:i/>
          <w:color w:val="666666"/>
          <w:sz w:val="18"/>
        </w:rPr>
        <w:t>Chen K et al.  ·  Sichuan Da Xue Xue Bao Yi Xue Ban  ·  20.07.2026  ·  PMID 42688627</w:t>
      </w:r>
    </w:p>
    <w:p>
      <w:r>
        <w:t>Prospektive Kohortenstudie: 9603 Teilnehmende aus China Health and Retirement Longitudinal Study 2011–2020, Langzeit-PM2,5-Exposition und chemische Komponenten, Outcome Frailty nach Frailty-Index.</w:t>
      </w:r>
    </w:p>
    <w:p>
      <w:r>
        <w:rPr>
          <w:b/>
        </w:rPr>
        <w:t xml:space="preserve">Ergebnis: </w:t>
      </w:r>
      <w:r>
        <w:t>Jede Viertelbereichs-Zunahme der durchschnittlichen PM2,5-Konzentration des Vorjahres war mit 10,0% erhöhtem Frailty-Risiko assoziiert (HR 1,100, 95% KI 1,015–1,193). Organische Substanzen: HR 1,142 (14,2%); schwarzer Kohlenstoff: HR 1,131 (13,1%); Ammonium: HR 1,098 (9,8%). Luftschadstoffe, besonders Ruß und organische Aerosole, sind Risikofaktoren für Gebrechlichkeit bei älteren Menschen.</w:t>
      </w:r>
    </w:p>
    <w:p>
      <w:r>
        <w:rPr>
          <w:b/>
          <w:sz w:val="19"/>
        </w:rPr>
        <w:t xml:space="preserve">Übertragbarkeit: </w:t>
      </w:r>
      <w:r>
        <w:rPr>
          <w:sz w:val="19"/>
        </w:rPr>
        <w:t>China, aber Feinstaubbelastung und Expositionsmessung auch in Deutschland relevant</w:t>
      </w:r>
    </w:p>
    <w:p>
      <w:r>
        <w:rPr>
          <w:color w:val="5A7D3A"/>
          <w:sz w:val="18"/>
        </w:rPr>
        <w:t>https://pubmed.ncbi.nlm.nih.gov/42688627/</w:t>
      </w:r>
    </w:p>
    <w:p>
      <w:pPr>
        <w:pStyle w:val="Heading2"/>
      </w:pPr>
      <w:r>
        <w:t>Multikomponenten-Training und HMB-Supplementierung verbessern Gebrechlichkeit</w:t>
      </w:r>
    </w:p>
    <w:p>
      <w:r>
        <w:rPr>
          <w:i/>
          <w:color w:val="666666"/>
          <w:sz w:val="18"/>
        </w:rPr>
        <w:t>Jiang Y et al.  ·  Sichuan Da Xue Xue Bao Yi Xue Ban  ·  20.07.2026  ·  PMID 42688609</w:t>
      </w:r>
    </w:p>
    <w:p>
      <w:r>
        <w:t>Randomisierte Studie: 136 ältere Patienten mit Frailty erhielten 12 Wochen lang Übungstraining plus 3 g/d HMB oder Placebo; gemessen wurden physische Funktion (SPPB), Gangfähigkeit, Griffstärke, Muskelquerschnitt und Serumalbumin.</w:t>
      </w:r>
    </w:p>
    <w:p>
      <w:r>
        <w:rPr>
          <w:b/>
        </w:rPr>
        <w:t xml:space="preserve">Ergebnis: </w:t>
      </w:r>
      <w:r>
        <w:t>SPPB-Gesamtscore besserte sich in der HMB-Gruppe über 12 Wochen signifikant mehr als in der Kontrolle (Interaktionseffekt p&lt;0,001). HMB-Gruppe zeigte nach 4 Wochen bessere Bilanz (p&lt;0,05) und nach 12 Wochen auch bessere Gangscores und ASMI (p&lt;0,05). Serumalbumin war in der Interventionsgruppe erhöht (p&lt;0,05). HMB 3 g/d plus multikomponentales Training verbessert körperliche Funktion und Muskulatur bei älteren Patienten mit Gebrechlichkeit.</w:t>
      </w:r>
    </w:p>
    <w:p>
      <w:r>
        <w:rPr>
          <w:b/>
          <w:sz w:val="19"/>
        </w:rPr>
        <w:t xml:space="preserve">Übertragbarkeit: </w:t>
      </w:r>
      <w:r>
        <w:rPr>
          <w:sz w:val="19"/>
        </w:rPr>
        <w:t>China, Rehabilitation nach westlichem Standard, Frailty-Diagnostik vergleichbar</w:t>
      </w:r>
    </w:p>
    <w:p>
      <w:r>
        <w:rPr>
          <w:color w:val="5A7D3A"/>
          <w:sz w:val="18"/>
        </w:rPr>
        <w:t>https://pubmed.ncbi.nlm.nih.gov/42688609/</w:t>
      </w:r>
    </w:p>
    <w:p>
      <w:pPr>
        <w:pStyle w:val="Heading2"/>
      </w:pPr>
      <w:r>
        <w:t>Benzodiazepine-Induced Resistance: Drug Use Blunts Frailty-Intervention Effect</w:t>
      </w:r>
    </w:p>
    <w:p>
      <w:r>
        <w:rPr>
          <w:i/>
          <w:color w:val="666666"/>
          <w:sz w:val="18"/>
        </w:rPr>
        <w:t>Levati E et al.  ·  Age Ageing  ·  03.08.2026  ·  PMID 42685256</w:t>
      </w:r>
    </w:p>
    <w:p>
      <w:r>
        <w:t>Sekundäranalyse eines Trials zu multikomponentigen Lebensstiländerungen bei Frailty: 1506 ältere Patienten, 14% mit Benzodiazepin-Nutzung, Verfolgung der Mobilitätsbehindertung über Median 3,3 Jahre.</w:t>
      </w:r>
    </w:p>
    <w:p>
      <w:r>
        <w:rPr>
          <w:b/>
        </w:rPr>
        <w:t xml:space="preserve">Ergebnis: </w:t>
      </w:r>
      <w:r>
        <w:t>Bei Frailty-Patienten mit Benzodiazepin-Nutzung war die Effektivität der kombinierten Intervention (körperliche Übungen plus Ernährungsberatung) erheblich reduziert oder aufgehoben. Im Subgroup mit SPPB-Score 3–7 zeigte sich der präventive Effekt (HR 0,80) nur bei Nicht-Nutzern; Nutzer zeigten keinen Schutz (HR 1,06; p=0,035 für Interaktion). Benzodiazepine signifikant mindern die Wirksamkeit von Lebensstiländerungen bei älteren fragilen Menschen.</w:t>
      </w:r>
    </w:p>
    <w:p>
      <w:r>
        <w:rPr>
          <w:b/>
          <w:sz w:val="19"/>
        </w:rPr>
        <w:t xml:space="preserve">Übertragbarkeit: </w:t>
      </w:r>
      <w:r>
        <w:rPr>
          <w:sz w:val="19"/>
        </w:rPr>
        <w:t>Italien und Deutschland, vergleichbare klinische Versorgung und Frailty-Konzepte</w:t>
      </w:r>
    </w:p>
    <w:p>
      <w:r>
        <w:rPr>
          <w:color w:val="5A7D3A"/>
          <w:sz w:val="18"/>
        </w:rPr>
        <w:t>https://pubmed.ncbi.nlm.nih.gov/42685256/</w:t>
      </w:r>
    </w:p>
    <w:p>
      <w:pPr>
        <w:pStyle w:val="Heading2"/>
      </w:pPr>
      <w:r>
        <w:t>Gebrechlichkeit und Alter erhöhen postoperative Komplikationen nach Meningiom-Resektion</w:t>
      </w:r>
    </w:p>
    <w:p>
      <w:r>
        <w:rPr>
          <w:i/>
          <w:color w:val="666666"/>
          <w:sz w:val="18"/>
        </w:rPr>
        <w:t>Eibl T et al.  ·  J Clin Neurosci  ·  06.07.2026  ·  PMID 42407322</w:t>
      </w:r>
    </w:p>
    <w:p>
      <w:r>
        <w:t>Retrospektive Studie: 120 Patienten mit nicht-schädelbasis-Meningiomen (Alter Median 61 Jahre), Frailty (mFI-5, mFI-11), Charlson-Komorbidität, Outcome Heimententlassung, Aufenthaltssdauer, ICU-Tage, Komplikationen.</w:t>
      </w:r>
    </w:p>
    <w:p>
      <w:r>
        <w:rPr>
          <w:b/>
        </w:rPr>
        <w:t xml:space="preserve">Ergebnis: </w:t>
      </w:r>
      <w:r>
        <w:t>82,5% wurden nach Hause entlassen. Risikofaktoren für Nicht-Heimententlassung: höheres Alter (p&lt;0,001), größere Tumorvolumina (p=0,012), höhere Ödemvolumina (p=0,002), höhere Charlson-Score (p&lt;0,001), höhere mFI-5 und mFI-11 (beide p&lt;0,001). Postoperative Aufenthaltssdauer korrelierte mit mFI (rs=0,34 für beide, p&lt;0,001). Gebrechlichkeit und chronologisches Alter beeinflussen operatives Ergebnis erheblich und verlängern postoperativen Aufenthalt.</w:t>
      </w:r>
    </w:p>
    <w:p>
      <w:r>
        <w:rPr>
          <w:b/>
          <w:sz w:val="19"/>
        </w:rPr>
        <w:t xml:space="preserve">Übertragbarkeit: </w:t>
      </w:r>
      <w:r>
        <w:rPr>
          <w:sz w:val="19"/>
        </w:rPr>
        <w:t>Deutschland, vergleichbare Neurochirurgische Versorgung und Frailty-Konzepte</w:t>
      </w:r>
    </w:p>
    <w:p>
      <w:r>
        <w:rPr>
          <w:color w:val="5A7D3A"/>
          <w:sz w:val="18"/>
        </w:rPr>
        <w:t>https://pubmed.ncbi.nlm.nih.gov/42407322/</w:t>
      </w:r>
    </w:p>
    <w:p>
      <w:pPr>
        <w:pStyle w:val="Heading2"/>
      </w:pPr>
      <w:r>
        <w:t>TyG-Index mit BMI/WHtR vorhersagt Herz-Kreislauf-Erkrankung bei älteren Menschen</w:t>
      </w:r>
    </w:p>
    <w:p>
      <w:r>
        <w:rPr>
          <w:i/>
          <w:color w:val="666666"/>
          <w:sz w:val="18"/>
        </w:rPr>
        <w:t>Liu Z et al.  ·  Cardiovasc Diabetol  ·  05.07.2026  ·  PMID 42402573</w:t>
      </w:r>
    </w:p>
    <w:p>
      <w:r>
        <w:t>Prospektive Kohortenstudie: 1808 CVD-freie Personen ≥50 Jahre aus English Longitudinal Study of Ageing, Gruppierungstrajectorie von TyG mit BMI bzw. WHtR über ~8 Jahre, Outcome Herzinfarkt, Schlaganfall, Herzkrankheit.</w:t>
      </w:r>
    </w:p>
    <w:p>
      <w:r>
        <w:rPr>
          <w:b/>
        </w:rPr>
        <w:t xml:space="preserve">Ergebnis: </w:t>
      </w:r>
      <w:r>
        <w:t>Vier Trajektorie-Gruppen identifiziert. Im BMI+TyG-Modell (vs. Normalgewicht-niedriger TyG): Übergewicht-moderater TyG (HR 2,31, 95% KI 1,40–3,83), adipös-hoher TyG (HR 2,72, 1,63–4,52), stark adipös-hoher TyG (HR 5,06, 3,01–8,51). WHtR+TyG ähnliche Dosisantwort. Für Schlaganfall signifikant nur in höchstem Risiko. Robuste Dosis-Antwort-Gradienten unterstützen Monitoring dieser Indizes bei älteren Personen.</w:t>
      </w:r>
    </w:p>
    <w:p>
      <w:r>
        <w:rPr>
          <w:b/>
          <w:sz w:val="19"/>
        </w:rPr>
        <w:t xml:space="preserve">Übertragbarkeit: </w:t>
      </w:r>
      <w:r>
        <w:rPr>
          <w:sz w:val="19"/>
        </w:rPr>
        <w:t>Großbritannien, vergleichbare Epidemiologie und Metabolismus-Diagnostik</w:t>
      </w:r>
    </w:p>
    <w:p>
      <w:r>
        <w:rPr>
          <w:color w:val="5A7D3A"/>
          <w:sz w:val="18"/>
        </w:rPr>
        <w:t>https://pubmed.ncbi.nlm.nih.gov/42402573/</w:t>
      </w:r>
    </w:p>
    <w:p>
      <w:pPr>
        <w:pStyle w:val="Heading2"/>
      </w:pPr>
      <w:r>
        <w:t>Immunseneszenz-Biomarker für klinische Aging-Interventionsstudien</w:t>
      </w:r>
    </w:p>
    <w:p>
      <w:r>
        <w:rPr>
          <w:i/>
          <w:color w:val="666666"/>
          <w:sz w:val="18"/>
        </w:rPr>
        <w:t>Cipriano A et al.  ·  Nat Med  ·  03.07.2026  ·  PMID 42399672</w:t>
      </w:r>
    </w:p>
    <w:p>
      <w:r>
        <w:t>Konsensusrahmen von 26 Gerontologen und Immunologen zur Evaluierung von Immune-Aging-Biomarkern für klinische Trials; fünf Selektionskriterien, Bewertung von Kandidaten-Biomarkern und Empfehlungen für Lücken.</w:t>
      </w:r>
    </w:p>
    <w:p>
      <w:r>
        <w:rPr>
          <w:b/>
        </w:rPr>
        <w:t xml:space="preserve">Ergebnis: </w:t>
      </w:r>
      <w:r>
        <w:t>Metriken mit multidimensionalem Immunfunktionsspektrum, Inflammaging-Scores und funktionelle Assays schnitten gegen Selektionskriterien am besten ab. Vielversprechende aufkommende Maße identifiziert, aber kritische Lücken für zuverlässige, prädiktive Biomarker erkannt. Rahmen bietet kohärenten Weg zu klinisch aussagekräftigen Immunalterungs-Biomarkern für Geroscience-Interventionen.</w:t>
      </w:r>
    </w:p>
    <w:p>
      <w:r>
        <w:rPr>
          <w:b/>
          <w:sz w:val="19"/>
        </w:rPr>
        <w:t xml:space="preserve">Übertragbarkeit: </w:t>
      </w:r>
      <w:r>
        <w:rPr>
          <w:sz w:val="19"/>
        </w:rPr>
        <w:t>International konsensiert; Framework unabhängig von Ländersystem, aber Implementierung in Deutschland möglich</w:t>
      </w:r>
    </w:p>
    <w:p>
      <w:r>
        <w:rPr>
          <w:color w:val="5A7D3A"/>
          <w:sz w:val="18"/>
        </w:rPr>
        <w:t>https://pubmed.ncbi.nlm.nih.gov/42399672/</w:t>
      </w:r>
    </w:p>
    <w:p>
      <w:pPr>
        <w:pStyle w:val="Heading2"/>
      </w:pPr>
      <w:r>
        <w:t>Sexuelle Aktivitätsveränderung beeinträchtigt Lebensqualität im Alter nachweislich</w:t>
      </w:r>
    </w:p>
    <w:p>
      <w:r>
        <w:rPr>
          <w:i/>
          <w:color w:val="666666"/>
          <w:sz w:val="18"/>
        </w:rPr>
        <w:t>Kujawska A et al.  ·  Maturitas  ·  29.06.2026  ·  PMID 42391932</w:t>
      </w:r>
    </w:p>
    <w:p>
      <w:r>
        <w:t>Zweijahrliche Längsschnittstudie: 199 ältere Polen (80% Frauen, Alter 69,7±6 Jahre), Assessment von Sexualität und Lebensqualität nach WHO-QoL, Kovariaten Alter, Basalwerte, Traurigkeit, Gesundheit.</w:t>
      </w:r>
    </w:p>
    <w:p>
      <w:r>
        <w:rPr>
          <w:b/>
        </w:rPr>
        <w:t xml:space="preserve">Ergebnis: </w:t>
      </w:r>
      <w:r>
        <w:t>Keine signifikanten Veränderungen in Gesamt-QoL-Werten über zwei Jahre (p=0,3). Aber: Aufhören von Sexualität war assoziiert mit signifikant niedrigeren Folgepunkten in Sozialbeziehungen (p=0,006) und Umwelt-Domäne (p=0,007). Effekt hielt nach Ausschluß von Gesundheits- und Depressions-Veränderungen. Beendigung der Sexualität im Alter reduziert Sozialbeziehungen und Umwelt-Wohlbefinden nachweislich.</w:t>
      </w:r>
    </w:p>
    <w:p>
      <w:r>
        <w:rPr>
          <w:b/>
          <w:sz w:val="19"/>
        </w:rPr>
        <w:t xml:space="preserve">Übertragbarkeit: </w:t>
      </w:r>
      <w:r>
        <w:rPr>
          <w:sz w:val="19"/>
        </w:rPr>
        <w:t>Polen, ähnliche Altersstruktur, aber Übertragung auf Deutschland kulturabhängig</w:t>
      </w:r>
    </w:p>
    <w:p>
      <w:r>
        <w:rPr>
          <w:color w:val="5A7D3A"/>
          <w:sz w:val="18"/>
        </w:rPr>
        <w:t>https://pubmed.ncbi.nlm.nih.gov/42391932/</w:t>
      </w:r>
    </w:p>
    <w:p>
      <w:pPr>
        <w:pStyle w:val="Heading1"/>
      </w:pPr>
      <w:r>
        <w:t>Aufgenommen am 03.09.2026</w:t>
      </w:r>
    </w:p>
    <w:p>
      <w:pPr>
        <w:pStyle w:val="Heading2"/>
      </w:pPr>
      <w:r>
        <w:t>Hausarzt-Vertragsdienst in China verbessert Gesundheit älterer Erwachsener</w:t>
      </w:r>
    </w:p>
    <w:p>
      <w:r>
        <w:rPr>
          <w:i/>
          <w:color w:val="666666"/>
          <w:sz w:val="18"/>
        </w:rPr>
        <w:t>Jia C et al.  ·  Front Public Health  ·  18.08.2026  ·  PMID 42682531</w:t>
      </w:r>
    </w:p>
    <w:p>
      <w:r>
        <w:t>Nationale chinesische Querschnittsstudie (n = 11.455, ≥ 65 Jahre) aus der China Longitudinal Aging Social Survey 2023 zur Assoziation zwischen Teilnahme am Family Doctor Contract Service (FDCS) und Selbstbewertung, körperlichem Unbehagen und Lebenszufriedenheit, stratifiziert nach Land/Stadt und Bildung.</w:t>
      </w:r>
    </w:p>
    <w:p>
      <w:r>
        <w:rPr>
          <w:b/>
        </w:rPr>
        <w:t xml:space="preserve">Ergebnis: </w:t>
      </w:r>
      <w:r>
        <w:t>FDCS-Teilnahme assoziiert mit besseren Ergebnissen in allen drei Dimensionen. Ländliche und weniger gebildete Ältere zeigten stärkere Assoziationen mit geringerem körperlichem Unbehagen und höherer Lebenszufriedenheit; urbane und höher gebildete mit besserer Selbstbewertung. Heterogene Effekte nach Wohnort und Bildung.</w:t>
      </w:r>
    </w:p>
    <w:p>
      <w:r>
        <w:rPr>
          <w:b/>
          <w:sz w:val="19"/>
        </w:rPr>
        <w:t xml:space="preserve">Übertragbarkeit: </w:t>
      </w:r>
      <w:r>
        <w:rPr>
          <w:sz w:val="19"/>
        </w:rPr>
        <w:t>China, anderes System; Konzept der primärärztlichen Gatekeeping-Funktion teils übertragbar, Effektgrößen jedoch kontextabhängig.</w:t>
      </w:r>
    </w:p>
    <w:p>
      <w:r>
        <w:rPr>
          <w:color w:val="5A7D3A"/>
          <w:sz w:val="18"/>
        </w:rPr>
        <w:t>https://pubmed.ncbi.nlm.nih.gov/42682531/</w:t>
      </w:r>
    </w:p>
    <w:p>
      <w:pPr>
        <w:pStyle w:val="Heading2"/>
      </w:pPr>
      <w:r>
        <w:t>Serum-Periostin als Biomarker für Frailty bei Typ-2-Diabetes</w:t>
      </w:r>
    </w:p>
    <w:p>
      <w:r>
        <w:rPr>
          <w:i/>
          <w:color w:val="666666"/>
          <w:sz w:val="18"/>
        </w:rPr>
        <w:t>González-Salvatierra S et al.  ·  Int J Mol Sci  ·  21.08.2026  ·  PMID 42653500</w:t>
      </w:r>
    </w:p>
    <w:p>
      <w:r>
        <w:t>Spanische Querschnittsstudie (n = 137, Alter 65 ± 8 Jahre) zur Assoziation zwischen serum-Periostin und Frailty-Status (FRAIL-Skala: robust, pre-frail, frail) bei Typ-2-Diabetes.</w:t>
      </w:r>
    </w:p>
    <w:p>
      <w:r>
        <w:rPr>
          <w:b/>
        </w:rPr>
        <w:t xml:space="preserve">Ergebnis: </w:t>
      </w:r>
      <w:r>
        <w:t>Frailty korrelierte positiv mit Alter (p &lt; 0,001), BMI (p = 0,006), Taille (p = 0,01) und Diabetes-Dauer (p = 0,040), negativ mit TBS, HDL und eGFR. Periostin zeigte stärkste Korrelation mit Frailty (p &lt; 0,001). Frail: höhere Periostin als pre-frail (p = 0,006) und robust (p = 0,008). AUC für Frailty-Diskrimination 0,710 (p &lt; 0,001); kombiniert mit klinischen Variablen AUC 0,900 vs. 0,858. Schwellenwert &gt; 1307 pmol/L: 77,8% Sensitivität, 66,7% Spezifität.</w:t>
      </w:r>
    </w:p>
    <w:p>
      <w:r>
        <w:rPr>
          <w:b/>
          <w:sz w:val="19"/>
        </w:rPr>
        <w:t xml:space="preserve">Übertragbarkeit: </w:t>
      </w:r>
      <w:r>
        <w:rPr>
          <w:sz w:val="19"/>
        </w:rPr>
        <w:t>Spanien, europäisches System, vergleichbar; Biomarker-Entwicklung in progress.</w:t>
      </w:r>
    </w:p>
    <w:p>
      <w:r>
        <w:rPr>
          <w:color w:val="5A7D3A"/>
          <w:sz w:val="18"/>
        </w:rPr>
        <w:t>https://pubmed.ncbi.nlm.nih.gov/42653500/</w:t>
      </w:r>
    </w:p>
    <w:p>
      <w:pPr>
        <w:pStyle w:val="Heading2"/>
      </w:pPr>
      <w:r>
        <w:t>Geschlechtsspezifische Determinanten von Frailty bei alternden Menschen mit HIV</w:t>
      </w:r>
    </w:p>
    <w:p>
      <w:r>
        <w:rPr>
          <w:i/>
          <w:color w:val="666666"/>
          <w:sz w:val="18"/>
        </w:rPr>
        <w:t>Echeverría P et al.  ·  Viruses  ·  04.07.2026  ·  PMID 42515594</w:t>
      </w:r>
    </w:p>
    <w:p>
      <w:r>
        <w:t>Querschnittsstudie zu Frailty (Fried-Kriterien) bei 588 älteren Menschen mit HIV in Spanien, untersucht nach Geschlecht stratifiziert mittels geriatrischem Assessment.</w:t>
      </w:r>
    </w:p>
    <w:p>
      <w:r>
        <w:rPr>
          <w:b/>
        </w:rPr>
        <w:t xml:space="preserve">Ergebnis: </w:t>
      </w:r>
      <w:r>
        <w:t>Frauen mit HIV zeigten höhere Frailty-Prävalenz (17% vs. 9%) trotz jüngeren Alters und besserer Immunstatus. Bei Frauen waren muskuloskelettale Erkrankung (OR 3,85), kognitive Beeinträchtigung (OR 3,21), depressive Symptome (OR 2,67) und Mangelernährung (OR 2,14) unabhängig mit Frailty assoziiert; bei Männern alterstypischere Muster. Forderung nach geschlechtsspezifischer, ganzheitlicher geriatrischer Versorgung.</w:t>
      </w:r>
    </w:p>
    <w:p>
      <w:r>
        <w:rPr>
          <w:b/>
          <w:sz w:val="19"/>
        </w:rPr>
        <w:t xml:space="preserve">Übertragbarkeit: </w:t>
      </w:r>
      <w:r>
        <w:rPr>
          <w:sz w:val="19"/>
        </w:rPr>
        <w:t>Spanien, europäisches System, direkt vergleichbare Versorgungsstrukturen.</w:t>
      </w:r>
    </w:p>
    <w:p>
      <w:r>
        <w:rPr>
          <w:color w:val="5A7D3A"/>
          <w:sz w:val="18"/>
        </w:rPr>
        <w:t>https://pubmed.ncbi.nlm.nih.gov/42515594/</w:t>
      </w:r>
    </w:p>
    <w:p>
      <w:pPr>
        <w:pStyle w:val="Heading2"/>
      </w:pPr>
      <w:r>
        <w:t>Express-Screening für Frailty verbessert Versorgung älteren Patienten mit Notfallbedarf</w:t>
      </w:r>
    </w:p>
    <w:p>
      <w:r>
        <w:rPr>
          <w:i/>
          <w:color w:val="666666"/>
          <w:sz w:val="18"/>
        </w:rPr>
        <w:t>Ilnitski AN et al.  ·  Adv Gerontol  ·  2026  ·  PMID 42502931</w:t>
      </w:r>
    </w:p>
    <w:p>
      <w:r>
        <w:t>Russische Studie an 333 älteren Patienten (65–90 Jahre) in Notfallambulanz: Vergleich zwischen 234 Patienten mit Frailty-Screening (Gruppe 1) und 99 ohne Screening (Gruppe 2); Nachverfolgung 1 Monat.</w:t>
      </w:r>
    </w:p>
    <w:p>
      <w:r>
        <w:rPr>
          <w:b/>
        </w:rPr>
        <w:t xml:space="preserve">Ergebnis: </w:t>
      </w:r>
      <w:r>
        <w:t>Gruppe 1: 62,8% unter hausärztlicher Beobachtung, 0% Wiedervorstellungen, 0,4% Mortalität. Gruppe 2: 41,4% beobachtet, 6,1% Wiedervorstellungen, 2% Mortalität (p &lt; 0,001). Express-Screening ermöglichte bessere Nachbeobachtung und senkte Sterblichkeit und Inanspruchnahme.</w:t>
      </w:r>
    </w:p>
    <w:p>
      <w:r>
        <w:rPr>
          <w:b/>
          <w:sz w:val="19"/>
        </w:rPr>
        <w:t xml:space="preserve">Übertragbarkeit: </w:t>
      </w:r>
      <w:r>
        <w:rPr>
          <w:sz w:val="19"/>
        </w:rPr>
        <w:t>Russland, weniger direkt übertragbar; Konzept des Frailty-Screening in Notfallambulanzen adaptierbar.</w:t>
      </w:r>
    </w:p>
    <w:p>
      <w:r>
        <w:rPr>
          <w:color w:val="5A7D3A"/>
          <w:sz w:val="18"/>
        </w:rPr>
        <w:t>https://pubmed.ncbi.nlm.nih.gov/42502931/</w:t>
      </w:r>
    </w:p>
    <w:p>
      <w:pPr>
        <w:pStyle w:val="Heading2"/>
      </w:pPr>
      <w:r>
        <w:t>Geschlechtsspezifische Heterogenität der Handkraftveränderung im Alter: UK Biobank</w:t>
      </w:r>
    </w:p>
    <w:p>
      <w:r>
        <w:rPr>
          <w:i/>
          <w:color w:val="666666"/>
          <w:sz w:val="18"/>
        </w:rPr>
        <w:t>Fortinsky RH et al.  ·  J Gerontol A Biol Sci Med Sci  ·  04.08.2026  ·  PMID 42435411</w:t>
      </w:r>
    </w:p>
    <w:p>
      <w:r>
        <w:t>Longitudinale Kohorte aus UK Biobank (n = 73.134, 52% Frauen, 40–69 Jahre bei Baseline, 4–18 Jahre Nachverfolgung) zur Analyse der Varianz in Handkraft nach Altersgruppen und Geschlecht.</w:t>
      </w:r>
    </w:p>
    <w:p>
      <w:r>
        <w:rPr>
          <w:b/>
        </w:rPr>
        <w:t xml:space="preserve">Ergebnis: </w:t>
      </w:r>
      <w:r>
        <w:t>Frauen zeigten stabile Handkraft-Varianz über alle Altersgruppen querschnittlich und longitudinal; Männer zeigten cross-sectional Varianzabnahme mit Alter, longitudinal aber Varianzanstieg. Kovariaten schwächten Trends ab, eliminierten sie aber nicht. Heterogenität des Alterns operiert bei Männern und Frauen unterschiedlich; longitudinale und querschnittliche Muster divergieren deutlich.</w:t>
      </w:r>
    </w:p>
    <w:p>
      <w:r>
        <w:rPr>
          <w:b/>
          <w:sz w:val="19"/>
        </w:rPr>
        <w:t xml:space="preserve">Übertragbarkeit: </w:t>
      </w:r>
      <w:r>
        <w:rPr>
          <w:sz w:val="19"/>
        </w:rPr>
        <w:t>UK Biobank, vergleichbares englisches System, hohe Übertragbarkeit auf deutsche Bevölkerung.</w:t>
      </w:r>
    </w:p>
    <w:p>
      <w:r>
        <w:rPr>
          <w:color w:val="5A7D3A"/>
          <w:sz w:val="18"/>
        </w:rPr>
        <w:t>https://pubmed.ncbi.nlm.nih.gov/42435411/</w:t>
      </w:r>
    </w:p>
    <w:p>
      <w:pPr>
        <w:pStyle w:val="Heading2"/>
      </w:pPr>
      <w:r>
        <w:t>Gezielte epigenetische Uhr (TaM-Uhr) zeigt Grenzen bei Frailty-Vorhersage</w:t>
      </w:r>
    </w:p>
    <w:p>
      <w:r>
        <w:rPr>
          <w:i/>
          <w:color w:val="666666"/>
          <w:sz w:val="18"/>
        </w:rPr>
        <w:t>Awuah J et al.  ·  Clin Epigenetics  ·  07.07.2026  ·  PMID 42415175</w:t>
      </w:r>
    </w:p>
    <w:p>
      <w:r>
        <w:t>Deutsche Studie (Ulm, Aachen) zur Validierung einer verkürzten epigenetischen Uhr basierend auf drei Sterblichkeits-assoziierten CpG-Stellen gegen Frailty und Mortalität in der ActiFE-Kohorte (n = 446 bzw. 20 Frail/non-Frail).</w:t>
      </w:r>
    </w:p>
    <w:p>
      <w:r>
        <w:rPr>
          <w:b/>
        </w:rPr>
        <w:t xml:space="preserve">Ergebnis: </w:t>
      </w:r>
      <w:r>
        <w:t>In der kleinen Subset (n = 40) war das Delta-Alter mit Frailty assoziiert, jedoch in der größeren Kohorte keine signifikanten Assoziationen mit Frailty oder Mortalität. Ein CpG-Locus (cg20595453) zeigte Assoziation mit beiden Endpunkten, doch insgesamt war die Vorhersagekraft begrenzt. Die Autoren konstatieren, dass epigenetische Uhren in relativ gesunden Populationen nicht sensitiv genug sind.</w:t>
      </w:r>
    </w:p>
    <w:p>
      <w:r>
        <w:rPr>
          <w:b/>
          <w:sz w:val="19"/>
        </w:rPr>
        <w:t xml:space="preserve">Übertragbarkeit: </w:t>
      </w:r>
      <w:r>
        <w:rPr>
          <w:sz w:val="19"/>
        </w:rPr>
        <w:t>Deutschland (Aachen, Ulm), deutsches Studiendesign, hohe Übertragbarkeit; zeigt jedoch auch Grenzen der Methode.</w:t>
      </w:r>
    </w:p>
    <w:p>
      <w:r>
        <w:rPr>
          <w:color w:val="5A7D3A"/>
          <w:sz w:val="18"/>
        </w:rPr>
        <w:t>https://pubmed.ncbi.nlm.nih.gov/42415175/</w:t>
      </w:r>
    </w:p>
    <w:p>
      <w:pPr>
        <w:pStyle w:val="Heading1"/>
      </w:pPr>
      <w:r>
        <w:t>Aufgenommen am 02.09.2026</w:t>
      </w:r>
    </w:p>
    <w:p>
      <w:pPr>
        <w:pStyle w:val="Heading2"/>
      </w:pPr>
      <w:r>
        <w:t>Psychische Gesundheit älteren Menschen: Evidenzbasierte Prävention mit moderater körperlicher Aktivität</w:t>
      </w:r>
    </w:p>
    <w:p>
      <w:r>
        <w:rPr>
          <w:i/>
          <w:color w:val="666666"/>
          <w:sz w:val="18"/>
        </w:rPr>
        <w:t>Acoulon G et al.  ·  Sante Publique  ·  2026  ·  PMID 42674988</w:t>
      </w:r>
    </w:p>
    <w:p>
      <w:r>
        <w:t>Systematische Übersicht von Primärprävention psychischer Erkrankungen bei selbstständig lebenden älteren Menschen ab 60 Jahren.</w:t>
      </w:r>
    </w:p>
    <w:p>
      <w:r>
        <w:rPr>
          <w:b/>
        </w:rPr>
        <w:t xml:space="preserve">Ergebnis: </w:t>
      </w:r>
      <w:r>
        <w:t>Sieben Interventionskategorien identifiziert; moderate körperliche Aktivität (2–3 Sitzungen/Woche, ≥12 Wochen) reduzierte depressive und Angstsymptome am stärksten. Multimodale und in Gemeinderessourcen verankerte Programme zeigten beste Effektivität. Hauptchallenge: Dissemination und Anpassung an vulnerable Bevölkerungsgruppen, nicht die Identifikation wirksamer Interventionen.</w:t>
      </w:r>
    </w:p>
    <w:p>
      <w:r>
        <w:rPr>
          <w:b/>
          <w:sz w:val="19"/>
        </w:rPr>
        <w:t xml:space="preserve">Übertragbarkeit: </w:t>
      </w:r>
      <w:r>
        <w:rPr>
          <w:sz w:val="19"/>
        </w:rPr>
        <w:t>Frankreich, vergleichbare Sozialversicherung; Empfehlungen auf deutsches System übertragbar</w:t>
      </w:r>
    </w:p>
    <w:p>
      <w:r>
        <w:rPr>
          <w:color w:val="5A7D3A"/>
          <w:sz w:val="18"/>
        </w:rPr>
        <w:t>https://pubmed.ncbi.nlm.nih.gov/42674988/</w:t>
      </w:r>
    </w:p>
    <w:p>
      <w:pPr>
        <w:pStyle w:val="Heading2"/>
      </w:pPr>
      <w:r>
        <w:t>Sozial assistive Roboter in der Altenpflege: Phasen-orientierte Implementierung statt Technologie-Fokus</w:t>
      </w:r>
    </w:p>
    <w:p>
      <w:r>
        <w:rPr>
          <w:i/>
          <w:color w:val="666666"/>
          <w:sz w:val="18"/>
        </w:rPr>
        <w:t>Bubeck M et al.  ·  Arch Gerontol Geriatr  ·  28.07.2026  ·  PMID 42603460</w:t>
      </w:r>
    </w:p>
    <w:p>
      <w:r>
        <w:t>Qualitative Studie mit 14 professionellen Pflegekräften in deutschen Einrichtungen zur Erfahrung mit Robotern am Krankenbett.</w:t>
      </w:r>
    </w:p>
    <w:p>
      <w:r>
        <w:rPr>
          <w:b/>
        </w:rPr>
        <w:t xml:space="preserve">Ergebnis: </w:t>
      </w:r>
      <w:r>
        <w:t>Vier analytische Phasen der Implementierung identifiziert: Orientierung, Einführung, Routinenutzung, Neubewertung. Praktische und moralische Anforderungen verschoben sich systematisch. Zentrale Erkenntnisse: Nachhaltige, ethisch verantwortungsvolle Nutzung erfordert Unterstützung des professionellen Urteils und kontextuelle Sensibilität – nicht technisches Rollout ohne Reflexion.</w:t>
      </w:r>
    </w:p>
    <w:p>
      <w:r>
        <w:rPr>
          <w:b/>
          <w:sz w:val="19"/>
        </w:rPr>
        <w:t xml:space="preserve">Übertragbarkeit: </w:t>
      </w:r>
      <w:r>
        <w:rPr>
          <w:sz w:val="19"/>
        </w:rPr>
        <w:t>Deutschland, direkt auf deutsches Versorgungssystem anwendbar</w:t>
      </w:r>
    </w:p>
    <w:p>
      <w:r>
        <w:rPr>
          <w:color w:val="5A7D3A"/>
          <w:sz w:val="18"/>
        </w:rPr>
        <w:t>https://pubmed.ncbi.nlm.nih.gov/42603460/</w:t>
      </w:r>
    </w:p>
    <w:p>
      <w:pPr>
        <w:pStyle w:val="Heading2"/>
      </w:pPr>
      <w:r>
        <w:t>Urinmetabolom als biologische Alter-Uhr: Längsschnitt-Heterogenität und Mortalitätsvorhersage</w:t>
      </w:r>
    </w:p>
    <w:p>
      <w:r>
        <w:rPr>
          <w:i/>
          <w:color w:val="666666"/>
          <w:sz w:val="18"/>
        </w:rPr>
        <w:t>Gauß KF et al.  ·  J Gerontol A Biol Sci Med Sci  ·  04.08.2026  ·  PMID 42440338</w:t>
      </w:r>
    </w:p>
    <w:p>
      <w:r>
        <w:t>Entwicklung und Validierung eines biologischen Alter-Scores aus hochauflösender ¹H-Kernresonanzspektroskopie von Urinmetaboliten in großer populationsbasierter Kohorte mit &gt;10-Jahr Nachverfolgung.</w:t>
      </w:r>
    </w:p>
    <w:p>
      <w:r>
        <w:rPr>
          <w:b/>
        </w:rPr>
        <w:t xml:space="preserve">Ergebnis: </w:t>
      </w:r>
      <w:r>
        <w:t>Metabolisches Altern variiert zwischen Individuen, unterstreicht inter-individuelle Heterogenität. Metabolisches Alter zeigte Assoziation mit altersrelevanten klinischen Phänotypen und war prädiktiv für multiple Erkrankungen und Gesamtmortalität unabhängig vom chronologischen Alter. Urinmetabolom als non-invasives Werkzeug zur Risikostratifizierung validiert.</w:t>
      </w:r>
    </w:p>
    <w:p>
      <w:r>
        <w:rPr>
          <w:b/>
          <w:sz w:val="19"/>
        </w:rPr>
        <w:t xml:space="preserve">Übertragbarkeit: </w:t>
      </w:r>
      <w:r>
        <w:rPr>
          <w:sz w:val="19"/>
        </w:rPr>
        <w:t>Deutschland, Greifswald; deutsche Klinikdaten, vergleichbare Dokumentationspflichten</w:t>
      </w:r>
    </w:p>
    <w:p>
      <w:r>
        <w:rPr>
          <w:color w:val="5A7D3A"/>
          <w:sz w:val="18"/>
        </w:rPr>
        <w:t>https://pubmed.ncbi.nlm.nih.gov/42440338/</w:t>
      </w:r>
    </w:p>
    <w:p>
      <w:pPr>
        <w:pStyle w:val="Heading2"/>
      </w:pPr>
      <w:r>
        <w:t>Frailty-Übergänge und Schlaganfall-Risiko: China und Großbritannien im Vergleich</w:t>
      </w:r>
    </w:p>
    <w:p>
      <w:r>
        <w:rPr>
          <w:i/>
          <w:color w:val="666666"/>
          <w:sz w:val="18"/>
        </w:rPr>
        <w:t>Zhong S et al.  ·  Arch Gerontol Geriatr  ·  04.07.2026  ·  PMID 42418874</w:t>
      </w:r>
    </w:p>
    <w:p>
      <w:r>
        <w:t>Längsschnittstudie (CHARLS/ELSA) mit 14.682 älteren Erwachsenen zu Frailty-Verlauf und Schlaganfall-Inzidenz über 2 Jahre.</w:t>
      </w:r>
    </w:p>
    <w:p>
      <w:r>
        <w:rPr>
          <w:b/>
        </w:rPr>
        <w:t xml:space="preserve">Ergebnis: </w:t>
      </w:r>
      <w:r>
        <w:t>Baseline-Frailty erhöhte Schlaganfall-Risiko in beiden Ländern. Progression von robust zu pre-frail/frail: signifikant erhöhtes Risiko; Verbesserung von frail zu robust/pre-frail: Risikoreduktion. Höherer kumulativer Frailty-Index zeigte Dosis-Wirkungs-Beziehung (alle p&lt;0,0001). Frailty-Monitoring als Prognose-Instrument für Hochrisiko-Patienten bestätigt.</w:t>
      </w:r>
    </w:p>
    <w:p>
      <w:r>
        <w:rPr>
          <w:b/>
          <w:sz w:val="19"/>
        </w:rPr>
        <w:t xml:space="preserve">Übertragbarkeit: </w:t>
      </w:r>
      <w:r>
        <w:rPr>
          <w:sz w:val="19"/>
        </w:rPr>
        <w:t>Großbritannien und China, vorsichtig auf Deutschland; Altersstruktur und Versorgung unterschiedlich, Frailty-Mechanismus universal</w:t>
      </w:r>
    </w:p>
    <w:p>
      <w:r>
        <w:rPr>
          <w:color w:val="5A7D3A"/>
          <w:sz w:val="18"/>
        </w:rPr>
        <w:t>https://pubmed.ncbi.nlm.nih.gov/42418874/</w:t>
      </w:r>
    </w:p>
    <w:p>
      <w:pPr>
        <w:pStyle w:val="Heading2"/>
      </w:pPr>
      <w:r>
        <w:t>Soziale, psychische und spirituelle Versorgung am Lebensende: Ungleichheiten durch fehlende Formaldienste</w:t>
      </w:r>
    </w:p>
    <w:p>
      <w:r>
        <w:rPr>
          <w:i/>
          <w:color w:val="666666"/>
          <w:sz w:val="18"/>
        </w:rPr>
        <w:t>Meier C et al.  ·  Age Ageing  ·  02.07.2026  ·  PMID 42407095</w:t>
      </w:r>
    </w:p>
    <w:p>
      <w:r>
        <w:t>Analyse von 507 Proxy-Interviews verstorbener Personen (≥55 Jahre) aus der ELSA zur Unterstützung non-medizinischer Bedarf in den letzten drei Lebensmonaten.</w:t>
      </w:r>
    </w:p>
    <w:p>
      <w:r>
        <w:rPr>
          <w:b/>
        </w:rPr>
        <w:t xml:space="preserve">Ergebnis: </w:t>
      </w:r>
      <w:r>
        <w:t>Soziale Bedürfnisse bei 81,8%, psychische bei 77,8%, spirituelle bei 74,4% erfüllt. Überwiegend Familie als Unterstützer, kaum formale Dienste. Alleinleben assoziiert mit niedrigerer Erfüllungswahrscheinlichkeit; Demenz korreliert mit schlechterer psychischer und sozialer Unterstützung. Mangel an integrierten Angeboten verstärkt soziale Ungleichheiten am Lebensende.</w:t>
      </w:r>
    </w:p>
    <w:p>
      <w:r>
        <w:rPr>
          <w:b/>
          <w:sz w:val="19"/>
        </w:rPr>
        <w:t xml:space="preserve">Übertragbarkeit: </w:t>
      </w:r>
      <w:r>
        <w:rPr>
          <w:sz w:val="19"/>
        </w:rPr>
        <w:t>Großbritannien, vergleichbar mit deutschem NHS; Befund zur Systemabhängigkeit nicht-medizinischer Versorgung bedeutsam</w:t>
      </w:r>
    </w:p>
    <w:p>
      <w:r>
        <w:rPr>
          <w:color w:val="5A7D3A"/>
          <w:sz w:val="18"/>
        </w:rPr>
        <w:t>https://pubmed.ncbi.nlm.nih.gov/42407095/</w:t>
      </w:r>
    </w:p>
    <w:p>
      <w:pPr>
        <w:pStyle w:val="Heading2"/>
      </w:pPr>
      <w:r>
        <w:t>Schlafstörungen und Muskelkraftverlust im Alter: Geschlechtsspezifische Unterschiede bei älteren Erwachsenen</w:t>
      </w:r>
    </w:p>
    <w:p>
      <w:r>
        <w:rPr>
          <w:i/>
          <w:color w:val="666666"/>
          <w:sz w:val="18"/>
        </w:rPr>
        <w:t>Silveira LC et al.  ·  Age Ageing  ·  02.07.2026  ·  PMID 42407094</w:t>
      </w:r>
    </w:p>
    <w:p>
      <w:r>
        <w:t>Längsschnittstudie (8 Jahre, n=6.429, ELSA) zu Einfluss von Insomnie und Schlafdauer auf Handgriff-Kraft-Abnahme.</w:t>
      </w:r>
    </w:p>
    <w:p>
      <w:r>
        <w:rPr>
          <w:b/>
        </w:rPr>
        <w:t xml:space="preserve">Ergebnis: </w:t>
      </w:r>
      <w:r>
        <w:t>Männer mit erhöhter Insomnie: schnellerer Kraftverlust (–0,02 kg/Jahr; 95%-KI –0,04 bis –0,01). Frauen mit Schlafdauer ≥9 Stunden: stärkerer Rückgang (–0,14 kg/Jahr; 95%-KI –0,26 bis –0,03). Schlafprobleme beeinflussen Muskelabbau geschlechtsspezifisch unterschiedlich – bei Männern Insomnie, bei Frauen lange Schlafdauer.</w:t>
      </w:r>
    </w:p>
    <w:p>
      <w:r>
        <w:rPr>
          <w:b/>
          <w:sz w:val="19"/>
        </w:rPr>
        <w:t xml:space="preserve">Übertragbarkeit: </w:t>
      </w:r>
      <w:r>
        <w:rPr>
          <w:sz w:val="19"/>
        </w:rPr>
        <w:t>Großbritannien, epidemiologisch auf Deutschland übertragbar; Geschlechtsdimension in Prävention relevant</w:t>
      </w:r>
    </w:p>
    <w:p>
      <w:r>
        <w:rPr>
          <w:color w:val="5A7D3A"/>
          <w:sz w:val="18"/>
        </w:rPr>
        <w:t>https://pubmed.ncbi.nlm.nih.gov/42407094/</w:t>
      </w:r>
    </w:p>
    <w:p>
      <w:pPr>
        <w:pStyle w:val="Heading1"/>
      </w:pPr>
      <w:r>
        <w:t>Aufgenommen am 01.09.2026</w:t>
      </w:r>
    </w:p>
    <w:p>
      <w:pPr>
        <w:pStyle w:val="Heading2"/>
      </w:pPr>
      <w:r>
        <w:t>Geriatrisches Assessment vor Gefäßinterventionen senkt perioperative Risiken bei älteren Patienten</w:t>
      </w:r>
    </w:p>
    <w:p>
      <w:r>
        <w:rPr>
          <w:i/>
          <w:color w:val="666666"/>
          <w:sz w:val="18"/>
        </w:rPr>
        <w:t>Kolb G et al.  ·  Vasa  ·  Sept. 2026  ·  PMID 42669422</w:t>
      </w:r>
    </w:p>
    <w:p>
      <w:r>
        <w:t>Positionspapier dreier Fachgesellschaften zur Notwendigkeit geriatrischer Assessments vor gefäßmedizinischen Eingriffen bei älteren Menschen, da Frailty die Outcomes nach Gefäßchirurgie und Interventionen bestimmt.</w:t>
      </w:r>
    </w:p>
    <w:p>
      <w:r>
        <w:rPr>
          <w:b/>
        </w:rPr>
        <w:t xml:space="preserve">Ergebnis: </w:t>
      </w:r>
      <w:r>
        <w:t>Frailty-Status bestimmt Komplikationen und Outcomes nach Gefäßinterventionen; geriatrisches Assessment wird zur Risikostratifizierung empfohlen, konkrete Zahlen zu Outcome-Verbesserungen durch das Positionspapier nicht genannt.</w:t>
      </w:r>
    </w:p>
    <w:p>
      <w:r>
        <w:rPr>
          <w:b/>
          <w:sz w:val="19"/>
        </w:rPr>
        <w:t xml:space="preserve">Übertragbarkeit: </w:t>
      </w:r>
      <w:r>
        <w:rPr>
          <w:sz w:val="19"/>
        </w:rPr>
        <w:t>Deutschland: Stellungnahmen deutscher Fachgesellschaften, direkt relevant für Versorgungspraxis.</w:t>
      </w:r>
    </w:p>
    <w:p>
      <w:r>
        <w:rPr>
          <w:color w:val="5A7D3A"/>
          <w:sz w:val="18"/>
        </w:rPr>
        <w:t>https://pubmed.ncbi.nlm.nih.gov/42669422/</w:t>
      </w:r>
    </w:p>
    <w:p>
      <w:pPr>
        <w:pStyle w:val="Heading2"/>
      </w:pPr>
      <w:r>
        <w:t>Gesunde Ernährung verlangsamt epigenetisches Altern unabhängig von Ernährungsstil</w:t>
      </w:r>
    </w:p>
    <w:p>
      <w:r>
        <w:rPr>
          <w:i/>
          <w:color w:val="666666"/>
          <w:sz w:val="18"/>
        </w:rPr>
        <w:t>Tavares JF et al.  ·  Nat Commun  ·  29.08.2026  ·  PMID 42668319</w:t>
      </w:r>
    </w:p>
    <w:p>
      <w:r>
        <w:t>Zwei bevölkerungsbasierte Kohorten zeigten, dass Adhärenz zu gesunden Ernährungsmustern mit verlangsamtem epigenetischem Altern assoziiert ist, obwohl verschiedene Ernährungsstile unterschiedliche epigenetische Profile aufweisen.</w:t>
      </w:r>
    </w:p>
    <w:p>
      <w:r>
        <w:rPr>
          <w:b/>
        </w:rPr>
        <w:t xml:space="preserve">Ergebnis: </w:t>
      </w:r>
      <w:r>
        <w:t>Zehn verschiedene Ernährungsbewertungsindizes: minimale Überschneidung in der höchsten Adhärenz-Quartile, aber alle mit reduziertem epigenetischen Altern assoziiert; verschiedene Ernährungsstile konvergierten auf gleiche biologische Signalwege.</w:t>
      </w:r>
    </w:p>
    <w:p>
      <w:r>
        <w:rPr>
          <w:b/>
          <w:sz w:val="19"/>
        </w:rPr>
        <w:t xml:space="preserve">Übertragbarkeit: </w:t>
      </w:r>
      <w:r>
        <w:rPr>
          <w:sz w:val="19"/>
        </w:rPr>
        <w:t>Deutschland und deutschsprachiger Raum: Rhineland-Studie, vergleichbare Populationsstruktur, externe Validierung mit EPIC-Potsdam.</w:t>
      </w:r>
    </w:p>
    <w:p>
      <w:r>
        <w:rPr>
          <w:color w:val="5A7D3A"/>
          <w:sz w:val="18"/>
        </w:rPr>
        <w:t>https://pubmed.ncbi.nlm.nih.gov/42668319/</w:t>
      </w:r>
    </w:p>
    <w:p>
      <w:pPr>
        <w:pStyle w:val="Heading2"/>
      </w:pPr>
      <w:r>
        <w:t>Arbeitsplatzgewalt verkürzt die Erwerbstätigkeit älterer Arbeitnehmer um bis zu sieben Monate</w:t>
      </w:r>
    </w:p>
    <w:p>
      <w:r>
        <w:rPr>
          <w:i/>
          <w:color w:val="666666"/>
          <w:sz w:val="18"/>
        </w:rPr>
        <w:t>Holmgren R et al.  ·  Scand J Work Environ Health  ·  01.09.2026  ·  PMID 42563557</w:t>
      </w:r>
    </w:p>
    <w:p>
      <w:r>
        <w:t>Prospektive schwedische Kohortenstudie mit multistate Markov-Modellen zur Assoziation von Mobbing und Gewalt am Arbeitsplatz mit der verbleibenden Erwerbstätigkeit von über 50-Jährigen.</w:t>
      </w:r>
    </w:p>
    <w:p>
      <w:r>
        <w:rPr>
          <w:b/>
        </w:rPr>
        <w:t xml:space="preserve">Ergebnis: </w:t>
      </w:r>
      <w:r>
        <w:t>Exposition gegenüber Arbeitsplatzgewalt/Drohungen verkürzte die Erwerbstätigkeit ab 50 Jahren um 0,56 Jahre (95%-KI: −1,02–−0,10); Mobbing zeigte ähnliche Effektgröße (−0,63 Jahre, 95%-KI: −1,39–0,14), war aber nicht statistisch signifikant.</w:t>
      </w:r>
    </w:p>
    <w:p>
      <w:r>
        <w:rPr>
          <w:b/>
          <w:sz w:val="19"/>
        </w:rPr>
        <w:t xml:space="preserve">Übertragbarkeit: </w:t>
      </w:r>
      <w:r>
        <w:rPr>
          <w:sz w:val="19"/>
        </w:rPr>
        <w:t>Schweden, vergleichbares Sozialversicherungssystem, Längsschnitt-Follow-up 2008–2020.</w:t>
      </w:r>
    </w:p>
    <w:p>
      <w:r>
        <w:rPr>
          <w:color w:val="5A7D3A"/>
          <w:sz w:val="18"/>
        </w:rPr>
        <w:t>https://pubmed.ncbi.nlm.nih.gov/42563557/</w:t>
      </w:r>
    </w:p>
    <w:p>
      <w:pPr>
        <w:pStyle w:val="Heading2"/>
      </w:pPr>
      <w:r>
        <w:t>Frailty-Messung mit elektronischen Daten ist kontextabhängig und zeigt begrenzte Übertragbarkeit</w:t>
      </w:r>
    </w:p>
    <w:p>
      <w:r>
        <w:rPr>
          <w:i/>
          <w:color w:val="666666"/>
          <w:sz w:val="18"/>
        </w:rPr>
        <w:t>Cavanaugh R et al.  ·  J Gerontol A Biol Sci Med Sci  ·  04.08.2026  ·  PMID 42550179</w:t>
      </w:r>
    </w:p>
    <w:p>
      <w:r>
        <w:t>Internationale Vergleichsstudie zweier elektronischer Frailty-Indizes (VAFI, eFI) über fünf Datenbanken zeigte inkonsistente Frailty-Prävalenzen je nach Land und lokalen Kodierungsverhalten.</w:t>
      </w:r>
    </w:p>
    <w:p>
      <w:r>
        <w:rPr>
          <w:b/>
        </w:rPr>
        <w:t xml:space="preserve">Ergebnis: </w:t>
      </w:r>
      <w:r>
        <w:t>USA-Datenbanken: VAFI identifizierte höhere Frailty-Raten (All of Us: 10,3% vs. 2,5% eFI; Pharmetrics: 9,6% vs. 2%); UK-Datenbanken zeigten umgekehrtes Muster (eFI höher); FI-Messungen stark abhängig vom Entwicklungskontext und lokalen Kodierungsinzentiven.</w:t>
      </w:r>
    </w:p>
    <w:p>
      <w:r>
        <w:rPr>
          <w:b/>
          <w:sz w:val="19"/>
        </w:rPr>
        <w:t xml:space="preserve">Übertragbarkeit: </w:t>
      </w:r>
      <w:r>
        <w:rPr>
          <w:sz w:val="19"/>
        </w:rPr>
        <w:t>USA und UK: Warnung vor direkter Anwendung außerhalb des Entwicklungskontextes; deutsche Systeme benötigen eigene Validierung.</w:t>
      </w:r>
    </w:p>
    <w:p>
      <w:r>
        <w:rPr>
          <w:color w:val="5A7D3A"/>
          <w:sz w:val="18"/>
        </w:rPr>
        <w:t>https://pubmed.ncbi.nlm.nih.gov/42550179/</w:t>
      </w:r>
    </w:p>
    <w:p>
      <w:pPr>
        <w:pStyle w:val="Heading2"/>
      </w:pPr>
      <w:r>
        <w:t>Datenaustausch für Hirnalterungsforschung: Barrieren und Strategien in der Open Science</w:t>
      </w:r>
    </w:p>
    <w:p>
      <w:r>
        <w:rPr>
          <w:i/>
          <w:color w:val="666666"/>
          <w:sz w:val="18"/>
        </w:rPr>
        <w:t>Giehl K et al.  ·  Eur J Neurol  ·  Juli 2026  ·  PMID 42496021</w:t>
      </w:r>
    </w:p>
    <w:p>
      <w:r>
        <w:t>Übersichtsarbeit zu Hindernissen bei der Freigabe von Neuroimaging-Daten in der Alternsforschung und Vorschläge für vereinheitlichte rechtliche Rahmen, Standardisierung und akademische Anreize.</w:t>
      </w:r>
    </w:p>
    <w:p>
      <w:r>
        <w:rPr>
          <w:b/>
        </w:rPr>
        <w:t xml:space="preserve">Ergebnis: </w:t>
      </w:r>
      <w:r>
        <w:t>Die Hürden reichen von technischen und infrastrukturellen Grenzen bis zu rechtlichen Fragen. Die Arbeit plädiert für einen einheitlichen, DSGVO-konformen Rahmen, für die akademische Anerkennung von Data Stewardship und für ein abgestimmtes Vorgehen der Fachgemeinschaft hin zu Open Science in der Erforschung neurodegenerativer Erkrankungen.</w:t>
      </w:r>
    </w:p>
    <w:p>
      <w:r>
        <w:rPr>
          <w:b/>
          <w:sz w:val="19"/>
        </w:rPr>
        <w:t xml:space="preserve">Übertragbarkeit: </w:t>
      </w:r>
      <w:r>
        <w:rPr>
          <w:sz w:val="19"/>
        </w:rPr>
        <w:t>Europa: GDPR-Konformität, direkt auf EU-Systeme anwendbar, insbesondere Deutschland.</w:t>
      </w:r>
    </w:p>
    <w:p>
      <w:r>
        <w:rPr>
          <w:color w:val="5A7D3A"/>
          <w:sz w:val="18"/>
        </w:rPr>
        <w:t>https://pubmed.ncbi.nlm.nih.gov/42496021/</w:t>
      </w:r>
    </w:p>
    <w:p>
      <w:pPr>
        <w:pStyle w:val="Heading2"/>
      </w:pPr>
      <w:r>
        <w:t>Direkt wirkende Antivirale bei Hepatitis C verlängern Lebenserwartung um bis zu neun Jahre</w:t>
      </w:r>
    </w:p>
    <w:p>
      <w:r>
        <w:rPr>
          <w:i/>
          <w:color w:val="666666"/>
          <w:sz w:val="18"/>
        </w:rPr>
        <w:t>Etoori D et al.  ·  J Viral Hepat  ·  Aug. 2026  ·  PMID 42438144</w:t>
      </w:r>
    </w:p>
    <w:p>
      <w:r>
        <w:t>Englische Überwachungs- und Mortalitätsdaten zeigten, dass behandelte Hepatitis-C-Patienten eine um 8,5 bis 8,9 Jahre längere Lebenserwartung hatten, wobei dieser Vorsprung zwischen 2015–2018 und 2019–2022 abnahm.</w:t>
      </w:r>
    </w:p>
    <w:p>
      <w:r>
        <w:rPr>
          <w:b/>
        </w:rPr>
        <w:t xml:space="preserve">Ergebnis: </w:t>
      </w:r>
      <w:r>
        <w:t>Periode 2015–2018: behandelte Frauen +8,5 Jahre LE (95%-KI: 5,4–11,5), Männer +8,9 Jahre (95%-KI: 5,6–12,2); Periode 2019–2022: Frauen +6,7 Jahre (95%-KI: 3,3–10,2), Männer +5,3 Jahre (95%-KI: 3,0–7,6); Rückgang durch höhere Suizid-, Alkohol- und Drogentodesfälle in behandelter Population.</w:t>
      </w:r>
    </w:p>
    <w:p>
      <w:r>
        <w:rPr>
          <w:b/>
          <w:sz w:val="19"/>
        </w:rPr>
        <w:t xml:space="preserve">Übertragbarkeit: </w:t>
      </w:r>
      <w:r>
        <w:rPr>
          <w:sz w:val="19"/>
        </w:rPr>
        <w:t>Vereinigtes Königreich, vergleichbare westliche Versorgungsstrukturen, nationale Überwachungsdaten mit Mortalitätslinkage verfügbar.</w:t>
      </w:r>
    </w:p>
    <w:p>
      <w:r>
        <w:rPr>
          <w:color w:val="5A7D3A"/>
          <w:sz w:val="18"/>
        </w:rPr>
        <w:t>https://pubmed.ncbi.nlm.nih.gov/42438144/</w:t>
      </w:r>
    </w:p>
    <w:p>
      <w:pPr>
        <w:pStyle w:val="Heading2"/>
      </w:pPr>
      <w:r>
        <w:t>Französische Geriater fordern Fortbildung in Nephrologie: 75% Bedarf bei chronischen Nierenerkrankungen im Alter</w:t>
      </w:r>
    </w:p>
    <w:p>
      <w:r>
        <w:rPr>
          <w:i/>
          <w:color w:val="666666"/>
          <w:sz w:val="18"/>
        </w:rPr>
        <w:t>Mésinèle L et al.  ·  Geriatr Psychol Neuropsychiatr Vieil  ·  01.06.2026  ·  PMID 42412499</w:t>
      </w:r>
    </w:p>
    <w:p>
      <w:r>
        <w:t>Online-Befragung von 252 französischen Geriatrien zur Zusammenarbeit mit Nephrologie und Fortbildungsbedarf; 89% haben Zugang zu Nephrologen, aber nur 37% nennen einen Ansprechpartner für nephrogeriatrische Fragen.</w:t>
      </w:r>
    </w:p>
    <w:p>
      <w:r>
        <w:rPr>
          <w:b/>
        </w:rPr>
        <w:t xml:space="preserve">Ergebnis: </w:t>
      </w:r>
      <w:r>
        <w:t>89% haben Zugang zu Nephrologen, 37% identifizieren einen Ansprechpartner; häufigster Fortbildungswunsch: metabolische und kardiovaskuläre Komplikationen der CKD (60%), CKD-Stadien 1–4 (46%), Arzneimitteltherapie bei Niereninsuffizienz (38%); Geriater mit Nephro-Fortbildung häufiger in Shared Decision-Making zu Dialyse involviert.</w:t>
      </w:r>
    </w:p>
    <w:p>
      <w:r>
        <w:rPr>
          <w:b/>
          <w:sz w:val="19"/>
        </w:rPr>
        <w:t xml:space="preserve">Übertragbarkeit: </w:t>
      </w:r>
      <w:r>
        <w:rPr>
          <w:sz w:val="19"/>
        </w:rPr>
        <w:t>Frankreich, vergleichbares westeuropäisches Gesundheitssystem und Aus­bildungsanforderungen, Befragungsdaten direkt zur Versorgungsorganisation.</w:t>
      </w:r>
    </w:p>
    <w:p>
      <w:r>
        <w:rPr>
          <w:color w:val="5A7D3A"/>
          <w:sz w:val="18"/>
        </w:rPr>
        <w:t>https://pubmed.ncbi.nlm.nih.gov/42412499/</w:t>
      </w:r>
    </w:p>
    <w:p>
      <w:pPr>
        <w:pStyle w:val="Heading1"/>
      </w:pPr>
      <w:r>
        <w:t>Aufgenommen am 31.08.2026</w:t>
      </w:r>
    </w:p>
    <w:p>
      <w:pPr>
        <w:pStyle w:val="Heading2"/>
      </w:pPr>
      <w:r>
        <w:t>Gezieltes Geriatrie-Training in Intensivstationen verbessert Fachkompetenz des Personals</w:t>
      </w:r>
    </w:p>
    <w:p>
      <w:r>
        <w:rPr>
          <w:i/>
          <w:color w:val="666666"/>
          <w:sz w:val="18"/>
        </w:rPr>
        <w:t>Beernaert L et al.  ·  Soins Gerontol  ·  20.07.2026  ·  PMID 42542357</w:t>
      </w:r>
    </w:p>
    <w:p>
      <w:r>
        <w:t>Pilottudie zur Wirksamkeit gezielter Schulung von Pflegekräften und Paramedizinern in Geriatrie-Kompetenzen auf Intensivstationen.</w:t>
      </w:r>
    </w:p>
    <w:p>
      <w:r>
        <w:rPr>
          <w:b/>
        </w:rPr>
        <w:t xml:space="preserve">Ergebnis: </w:t>
      </w:r>
      <w:r>
        <w:t>Gezielte Schulungen führten zu signifikanten Verbesserungen der Geriatrie-Kenntnisse des Personals. Die Studie unterstützt den Wert kontinuierlicher Fortbildung, sollte aber durch multizentrische Studien bestätigt werden.</w:t>
      </w:r>
    </w:p>
    <w:p>
      <w:r>
        <w:rPr>
          <w:b/>
          <w:sz w:val="19"/>
        </w:rPr>
        <w:t xml:space="preserve">Übertragbarkeit: </w:t>
      </w:r>
      <w:r>
        <w:rPr>
          <w:sz w:val="19"/>
        </w:rPr>
        <w:t>Belgisches Universitätsspital, konzeptuell auf deutschsprachige Kliniken übertragbar.</w:t>
      </w:r>
    </w:p>
    <w:p>
      <w:r>
        <w:rPr>
          <w:color w:val="5A7D3A"/>
          <w:sz w:val="18"/>
        </w:rPr>
        <w:t>https://pubmed.ncbi.nlm.nih.gov/42542357/</w:t>
      </w:r>
    </w:p>
    <w:p>
      <w:pPr>
        <w:pStyle w:val="Heading2"/>
      </w:pPr>
      <w:r>
        <w:t>Triglyceride-Cholesterin-Körpergewicht-Index vorhersagt Hypertonie-Risiko bei älteren Menschen</w:t>
      </w:r>
    </w:p>
    <w:p>
      <w:r>
        <w:rPr>
          <w:i/>
          <w:color w:val="666666"/>
          <w:sz w:val="18"/>
        </w:rPr>
        <w:t>Luo F et al.  ·  J Int Med Res  ·  30.07.2026  ·  PMID 42530895</w:t>
      </w:r>
    </w:p>
    <w:p>
      <w:r>
        <w:t>Longitudinalanalyse der English Longitudinal Study of Ageing mit 5.731 älteren Erwachsenen über 12 Jahre zur Assoziation eines Stoffwechsel-Indexes mit Hypertonie-Inzidenz.</w:t>
      </w:r>
    </w:p>
    <w:p>
      <w:r>
        <w:rPr>
          <w:b/>
        </w:rPr>
        <w:t xml:space="preserve">Ergebnis: </w:t>
      </w:r>
      <w:r>
        <w:t>Jede Einheit Anstieg des log-transformierten Index war mit 43% höherer Hypertonie-Odds assoziiert (OR=1,43; 95% KI: 1,31–1,55). Prospektiv: adjustierte HR=1,16 (1,05–1,28). Trajektorien zeigten dosisabhängige Risikoerhöhung (hohe vs. niedrige Gruppe: OR=1,69, p&lt;0,001).</w:t>
      </w:r>
    </w:p>
    <w:p>
      <w:r>
        <w:rPr>
          <w:b/>
          <w:sz w:val="19"/>
        </w:rPr>
        <w:t xml:space="preserve">Übertragbarkeit: </w:t>
      </w:r>
      <w:r>
        <w:rPr>
          <w:sz w:val="19"/>
        </w:rPr>
        <w:t>England, demografische und epidemiologische Parallelität mit Deutschland gegeben.</w:t>
      </w:r>
    </w:p>
    <w:p>
      <w:r>
        <w:rPr>
          <w:color w:val="5A7D3A"/>
          <w:sz w:val="18"/>
        </w:rPr>
        <w:t>https://pubmed.ncbi.nlm.nih.gov/42530895/</w:t>
      </w:r>
    </w:p>
    <w:p>
      <w:pPr>
        <w:pStyle w:val="Heading2"/>
      </w:pPr>
      <w:r>
        <w:t>Gesundheitliche Behandlungspräferenzen Älterer: Alters- und Geschlechtsunterschiede in England</w:t>
      </w:r>
    </w:p>
    <w:p>
      <w:r>
        <w:rPr>
          <w:i/>
          <w:color w:val="666666"/>
          <w:sz w:val="18"/>
        </w:rPr>
        <w:t>Steel N et al.  ·  PLoS One  ·  29.07.2026  ·  PMID 42525585</w:t>
      </w:r>
    </w:p>
    <w:p>
      <w:r>
        <w:t>Querschnittsanalyse der English Longitudinal Study of Ageing (Wave 8, 2016/17) zu Präferenzen von über 50-Jährigen bei sechs Gesundheitsfragen (Risikobereitschaft, Zeitorientierung, Qualität vs. Länge des Lebens).</w:t>
      </w:r>
    </w:p>
    <w:p>
      <w:r>
        <w:rPr>
          <w:b/>
        </w:rPr>
        <w:t xml:space="preserve">Ergebnis: </w:t>
      </w:r>
      <w:r>
        <w:t>Frauen delegierten Entscheidungen weniger häufig an Ärzte und priorisierten Lebensqualität über Lebensdauer. Personen über 75 Jahre bevorzugten mehr Risikominderung und Delegierung. Substanzielle Variabilität zwischen Personen, systematische Unterschiede nach Alter und Geschlecht unterstützen strukturiertes Elicitierungsgesprächs-Protokoll.</w:t>
      </w:r>
    </w:p>
    <w:p>
      <w:r>
        <w:rPr>
          <w:b/>
          <w:sz w:val="19"/>
        </w:rPr>
        <w:t xml:space="preserve">Übertragbarkeit: </w:t>
      </w:r>
      <w:r>
        <w:rPr>
          <w:sz w:val="19"/>
        </w:rPr>
        <w:t>Großbritannien; übertragbar auf deutsches Versorgungssystem mit ähnlichen Partizipationsnormen.</w:t>
      </w:r>
    </w:p>
    <w:p>
      <w:r>
        <w:rPr>
          <w:color w:val="5A7D3A"/>
          <w:sz w:val="18"/>
        </w:rPr>
        <w:t>https://pubmed.ncbi.nlm.nih.gov/42525585/</w:t>
      </w:r>
    </w:p>
    <w:p>
      <w:pPr>
        <w:pStyle w:val="Heading2"/>
      </w:pPr>
      <w:r>
        <w:t>Depressive Symptome von Ehepartnern zeigen stabiles Muster, aber schwache prospektive Kopplung im Alter</w:t>
      </w:r>
    </w:p>
    <w:p>
      <w:r>
        <w:rPr>
          <w:i/>
          <w:color w:val="666666"/>
          <w:sz w:val="18"/>
        </w:rPr>
        <w:t>Miao J et al.  ·  Psychol Med  ·  29.07.2026  ·  PMID 42522229</w:t>
      </w:r>
    </w:p>
    <w:p>
      <w:r>
        <w:t>Harmonisierte Längsschnittanalyse aus CHARLS (China), HRS (USA) und ELSA (England) mit insgesamt 7.759 Paaren über 5–9 Wellen zu Depressionen, Aktivitätseinschränkungen und Partnereffekte.</w:t>
      </w:r>
    </w:p>
    <w:p>
      <w:r>
        <w:rPr>
          <w:b/>
        </w:rPr>
        <w:t xml:space="preserve">Ergebnis: </w:t>
      </w:r>
      <w:r>
        <w:t>Hohe Konkordanz depressiver Symptome zwischen Partnern (r=0,14–0,43) über alle Kohorten. Prospektive Cross-Spouse-Assoziationen waren nach Kontrolle stabiler Ähnlichkeiten schwach und nur in ELSA und multipel-imputierter HRS signifikant. Bidirektionale Depression-Funktionsstörung-Kopplung in westlichen Kohorten stärker, unterstützt kombinierte Behandlung und Rehabilitation.</w:t>
      </w:r>
    </w:p>
    <w:p>
      <w:r>
        <w:rPr>
          <w:b/>
          <w:sz w:val="19"/>
        </w:rPr>
        <w:t xml:space="preserve">Übertragbarkeit: </w:t>
      </w:r>
      <w:r>
        <w:rPr>
          <w:sz w:val="19"/>
        </w:rPr>
        <w:t>ELSA ist englische Bevölkerungsstichprobe; Ergebnisse auf deutsches Versorgungssystem moderat übertragbar.</w:t>
      </w:r>
    </w:p>
    <w:p>
      <w:r>
        <w:rPr>
          <w:color w:val="5A7D3A"/>
          <w:sz w:val="18"/>
        </w:rPr>
        <w:t>https://pubmed.ncbi.nlm.nih.gov/42522229/</w:t>
      </w:r>
    </w:p>
    <w:p>
      <w:pPr>
        <w:pStyle w:val="Heading2"/>
      </w:pPr>
      <w:r>
        <w:t>Frailty und psychische Gesundheit bei älteren Menschen: Längsschnittstudie aus Slowenien</w:t>
      </w:r>
    </w:p>
    <w:p>
      <w:r>
        <w:rPr>
          <w:i/>
          <w:color w:val="666666"/>
          <w:sz w:val="18"/>
        </w:rPr>
        <w:t>Mikolič Brence P et al.  ·  Front Public Health  ·  06.07.2026  ·  PMID 42518591</w:t>
      </w:r>
    </w:p>
    <w:p>
      <w:r>
        <w:t>Studienprotokoll einer prospektiven Kohortenstudie mit Erwachsenen ≥50 Jahren (geplant n=5.000, 2026–2028) zu Assoziationen zwischen Frailty und mentalen Gesundheitsfaktoren (Wohlbefinden, Resilienz, soziale Kohäsion).</w:t>
      </w:r>
    </w:p>
    <w:p>
      <w:r>
        <w:rPr>
          <w:b/>
        </w:rPr>
        <w:t xml:space="preserve">Ergebnis: </w:t>
      </w:r>
      <w:r>
        <w:t>Studie noch nicht abgeschlossen; das Protokoll wird zur Seite gelegt, da keine Ergebnisse vorliegen.</w:t>
      </w:r>
    </w:p>
    <w:p>
      <w:r>
        <w:rPr>
          <w:b/>
          <w:sz w:val="19"/>
        </w:rPr>
        <w:t xml:space="preserve">Übertragbarkeit: </w:t>
      </w:r>
      <w:r>
        <w:rPr>
          <w:sz w:val="19"/>
        </w:rPr>
        <w:t>Nicht anwendbar – Protokoll ohne Befunde.</w:t>
      </w:r>
    </w:p>
    <w:p>
      <w:r>
        <w:rPr>
          <w:color w:val="5A7D3A"/>
          <w:sz w:val="18"/>
        </w:rPr>
        <w:t>https://pubmed.ncbi.nlm.nih.gov/42518591/</w:t>
      </w:r>
    </w:p>
    <w:p>
      <w:pPr>
        <w:pStyle w:val="Heading2"/>
      </w:pPr>
      <w:r>
        <w:t>Lockdown-bedingte Immobilität beschleunigt Frailty: Sechs-Monats-Progression bei älteren Erwachsenen</w:t>
      </w:r>
    </w:p>
    <w:p>
      <w:r>
        <w:rPr>
          <w:i/>
          <w:color w:val="666666"/>
          <w:sz w:val="18"/>
        </w:rPr>
        <w:t>Rukavishnikov AS et al.  ·  Adv Gerontol  ·  2026  ·  PMID 42502942</w:t>
      </w:r>
    </w:p>
    <w:p>
      <w:r>
        <w:t>Quasiexperimentelle Studie mit 525 älteren Patienten (65–74 Jahre) in Pflege-Wohneinrichtungen während COVID-19-Lockdown; Geriatrisches Assessment mit Handgriffkraft und Sechs-Minuten-Gehtest zu Baseline, 1 und 6 Monaten.</w:t>
      </w:r>
    </w:p>
    <w:p>
      <w:r>
        <w:rPr>
          <w:b/>
        </w:rPr>
        <w:t xml:space="preserve">Ergebnis: </w:t>
      </w:r>
      <w:r>
        <w:t>Prävalenz der Präfrailty sank von 35,8% auf 14,1%, Frailty nahm von 49,5% auf 72% zu. Milde, moderate und schwere Frailty-Formen nahmen jeweils um 11,6%, 6,1% und 4,4% zu. Verlängerte Immobilität und soziale Isolation waren signifikante Beschleuniger der Frailty-Progression und Funktionsverschlechterung.</w:t>
      </w:r>
    </w:p>
    <w:p>
      <w:r>
        <w:rPr>
          <w:b/>
          <w:sz w:val="19"/>
        </w:rPr>
        <w:t xml:space="preserve">Übertragbarkeit: </w:t>
      </w:r>
      <w:r>
        <w:rPr>
          <w:sz w:val="19"/>
        </w:rPr>
        <w:t>Russland (Sankt-Petersburg); Befunde zur Dekonditionierung durch Immobilität universal, aber Pflegeheim-Setting unterscheidet sich von deutschem Versorgungskontext.</w:t>
      </w:r>
    </w:p>
    <w:p>
      <w:r>
        <w:rPr>
          <w:color w:val="5A7D3A"/>
          <w:sz w:val="18"/>
        </w:rPr>
        <w:t>https://pubmed.ncbi.nlm.nih.gov/42502942/</w:t>
      </w:r>
    </w:p>
    <w:p>
      <w:pPr>
        <w:pStyle w:val="Heading1"/>
      </w:pPr>
      <w:r>
        <w:t>Aufgenommen am 30.08.2026</w:t>
      </w:r>
    </w:p>
    <w:p>
      <w:pPr>
        <w:pStyle w:val="Heading2"/>
      </w:pPr>
      <w:r>
        <w:t>Frailty und Ernährung bei Herzinsuffizienz im Alter: prognostische Faktoren</w:t>
      </w:r>
    </w:p>
    <w:p>
      <w:r>
        <w:rPr>
          <w:i/>
          <w:color w:val="666666"/>
          <w:sz w:val="18"/>
        </w:rPr>
        <w:t>Li J et al.  ·  Front Public Health  ·  14.08.2026  ·  PMID 42666459</w:t>
      </w:r>
    </w:p>
    <w:p>
      <w:r>
        <w:t>Retrospektive Studie an 200 älteren Patienten mit Herzinsuffizienz untersuchte Frailty und Ernährungsstatus als Prognosefaktoren für 6-Monats-Ergebnisse.</w:t>
      </w:r>
    </w:p>
    <w:p>
      <w:r>
        <w:rPr>
          <w:b/>
        </w:rPr>
        <w:t xml:space="preserve">Ergebnis: </w:t>
      </w:r>
      <w:r>
        <w:t>Bei gebrechlichen Patienten (n=92) waren Mortalität (4,35 % vs. 0,93 %) und Rehospitalisierungsrate (14,13 % vs. 1,85 %) höher als bei nicht gebrechlichen (n=108). Unter gebrechlichen Patienten stieg die Ereignisrate mit Mangelernährung: moderat-schwer 26,19 %, mild 16,13 %, normal 5,26 %. GNRI und HDL waren unabhängig mit ungünstiger Prognose assoziiert.</w:t>
      </w:r>
    </w:p>
    <w:p>
      <w:r>
        <w:rPr>
          <w:b/>
          <w:sz w:val="19"/>
        </w:rPr>
        <w:t xml:space="preserve">Übertragbarkeit: </w:t>
      </w:r>
      <w:r>
        <w:rPr>
          <w:sz w:val="19"/>
        </w:rPr>
        <w:t>China, internationales Instrument (Fried-Kriterien), begrenzte Direktübertragung auf Deutschland</w:t>
      </w:r>
    </w:p>
    <w:p>
      <w:r>
        <w:rPr>
          <w:color w:val="5A7D3A"/>
          <w:sz w:val="18"/>
        </w:rPr>
        <w:t>https://pubmed.ncbi.nlm.nih.gov/42666459/</w:t>
      </w:r>
    </w:p>
    <w:p>
      <w:pPr>
        <w:pStyle w:val="Heading2"/>
      </w:pPr>
      <w:r>
        <w:t>Gastrointestinale Erkrankungen und funktioneller Verfall im Alter: CHARLS und ELSA</w:t>
      </w:r>
    </w:p>
    <w:p>
      <w:r>
        <w:rPr>
          <w:i/>
          <w:color w:val="666666"/>
          <w:sz w:val="18"/>
        </w:rPr>
        <w:t>Peng D et al.  ·  Geriatr Gerontol Int  ·  Sept. 2026  ·  PMID 42665870</w:t>
      </w:r>
    </w:p>
    <w:p>
      <w:r>
        <w:t>Longitudinale Analyse in zwei Kohorten (CHARLS China; ELSA England) untersuchte, ob wiederholte Meldungen gastrointestinaler Erkrankungen mit kognitiven, ADL- oder depressiven Verschlechterungen assoziiert sind.</w:t>
      </w:r>
    </w:p>
    <w:p>
      <w:r>
        <w:rPr>
          <w:b/>
        </w:rPr>
        <w:t xml:space="preserve">Ergebnis: </w:t>
      </w:r>
      <w:r>
        <w:t>CHARLS (n=9.555): wiederholte Meldung war mit 6–10 % erhöhtem Relativrisiko für Multidomain-Verschlechterung assoziiert (aRR 1,06–1,10). ELSA-Schätzungen waren richtungsgleich aber weniger präzise (aOR 1,21; 95%-KI 0,90–1,63). Gastrointestinale Exposition bot geringe diskriminative Aussagekraft.</w:t>
      </w:r>
    </w:p>
    <w:p>
      <w:r>
        <w:rPr>
          <w:b/>
          <w:sz w:val="19"/>
        </w:rPr>
        <w:t xml:space="preserve">Übertragbarkeit: </w:t>
      </w:r>
      <w:r>
        <w:rPr>
          <w:sz w:val="19"/>
        </w:rPr>
        <w:t>China und Großbritannien; Ergebnisse konsistent aber schwach, begrenzte Übertragbarkeit</w:t>
      </w:r>
    </w:p>
    <w:p>
      <w:r>
        <w:rPr>
          <w:color w:val="5A7D3A"/>
          <w:sz w:val="18"/>
        </w:rPr>
        <w:t>https://pubmed.ncbi.nlm.nih.gov/42665870/</w:t>
      </w:r>
    </w:p>
    <w:p>
      <w:pPr>
        <w:pStyle w:val="Heading2"/>
      </w:pPr>
      <w:r>
        <w:t>Schlafqualität und Sturzrisiko im Alter: prospektive Kohortenstudie</w:t>
      </w:r>
    </w:p>
    <w:p>
      <w:r>
        <w:rPr>
          <w:i/>
          <w:color w:val="666666"/>
          <w:sz w:val="18"/>
        </w:rPr>
        <w:t>Li Y et al.  ·  Brain Behav  ·  Aug. 2026  ·  PMID 42644837</w:t>
      </w:r>
    </w:p>
    <w:p>
      <w:r>
        <w:t>Prospektive Kohorte mit 3.224 Personen (≥50 Jahre) aus der English Longitudinal Study of Ageing; Schlafroutenuntersuchung über 4 Jahre mit Analyse der Assoziation zwischen Schlafqualität und neuaufgetretenen Stürzen.</w:t>
      </w:r>
    </w:p>
    <w:p>
      <w:r>
        <w:rPr>
          <w:b/>
        </w:rPr>
        <w:t xml:space="preserve">Ergebnis: </w:t>
      </w:r>
      <w:r>
        <w:t>Schlechtere Schlafqualität war mit höherem Sturzrisiko assoziiert (OR 1,04; 95%-KI 1,01–1,07). Depressive Symptome vermittelten 28,2 % dieser Assoziation. Dosisabhängige Beziehung zwischen Schlafqualität und Sturzrisiko.</w:t>
      </w:r>
    </w:p>
    <w:p>
      <w:r>
        <w:rPr>
          <w:b/>
          <w:sz w:val="19"/>
        </w:rPr>
        <w:t xml:space="preserve">Übertragbarkeit: </w:t>
      </w:r>
      <w:r>
        <w:rPr>
          <w:sz w:val="19"/>
        </w:rPr>
        <w:t>Großbritannien, vergleichbare Gesundheitsversorgung und Altersstruktur</w:t>
      </w:r>
    </w:p>
    <w:p>
      <w:r>
        <w:rPr>
          <w:color w:val="5A7D3A"/>
          <w:sz w:val="18"/>
        </w:rPr>
        <w:t>https://pubmed.ncbi.nlm.nih.gov/42644837/</w:t>
      </w:r>
    </w:p>
    <w:p>
      <w:pPr>
        <w:pStyle w:val="Heading2"/>
      </w:pPr>
      <w:r>
        <w:t>Lebensstil, Übergewicht und Lebenserwartung in der EU: Systemanalyse</w:t>
      </w:r>
    </w:p>
    <w:p>
      <w:r>
        <w:rPr>
          <w:i/>
          <w:color w:val="666666"/>
          <w:sz w:val="18"/>
        </w:rPr>
        <w:t>Vărzaru AA  ·  Nutrients  ·  11.07.2026  ·  PMID 42514344</w:t>
      </w:r>
    </w:p>
    <w:p>
      <w:r>
        <w:t>Querschnittsanalyse von 27 EU-Ländern mittels EHIS und Eurostat untersuchte Assoziationen zwischen Ernährung, körperlicher Aktivität, Rauchen, Übergewicht und Lebenserwartung sowie Healthy Life Years.</w:t>
      </w:r>
    </w:p>
    <w:p>
      <w:r>
        <w:rPr>
          <w:b/>
        </w:rPr>
        <w:t xml:space="preserve">Ergebnis: </w:t>
      </w:r>
      <w:r>
        <w:t>Gesunde Ernährung korrelierte mit Lebenserwartung (r=0,459; p=0,016), ebenso körperliche Aktivität (r=0,435; p=0,023). Übergewichtsprävalenz war invers mit Lebenserwartung assoziiert (r=−0,505; p=0,007). Das reduzierte Modell erklärte 47,4 % der Varianz in der Lebenserwartung. Clusteranalyse identifizierte drei Lebensstil-Gesundheits-Profile mit unterschiedlichen Outcomes.</w:t>
      </w:r>
    </w:p>
    <w:p>
      <w:r>
        <w:rPr>
          <w:b/>
          <w:sz w:val="19"/>
        </w:rPr>
        <w:t xml:space="preserve">Übertragbarkeit: </w:t>
      </w:r>
      <w:r>
        <w:rPr>
          <w:sz w:val="19"/>
        </w:rPr>
        <w:t>EU-weit, direkt auf deutsches Gesundheitssystem übertragbar</w:t>
      </w:r>
    </w:p>
    <w:p>
      <w:r>
        <w:rPr>
          <w:color w:val="5A7D3A"/>
          <w:sz w:val="18"/>
        </w:rPr>
        <w:t>https://pubmed.ncbi.nlm.nih.gov/42514344/</w:t>
      </w:r>
    </w:p>
    <w:p>
      <w:pPr>
        <w:pStyle w:val="Heading2"/>
      </w:pPr>
      <w:r>
        <w:t>Frailty im Hämodialyse: Visuelle Analogskala vereinfacht Screening</w:t>
      </w:r>
    </w:p>
    <w:p>
      <w:r>
        <w:rPr>
          <w:i/>
          <w:color w:val="666666"/>
          <w:sz w:val="18"/>
        </w:rPr>
        <w:t>Schulte-Kemna L et al.  ·  BMC Nephrol  ·  22.07.2026  ·  PMID 42493781</w:t>
      </w:r>
    </w:p>
    <w:p>
      <w:r>
        <w:t>Studie untersuchte die Genauigkeit einer Selbst-Rating-Skala (VAS) zur Frailty-Früherkennung bei 122 Hämodialysepatienten und identifizierte klinische Prädiktoren der Gebrechlichkeit anhand modifizierter Fried-Kriterien.</w:t>
      </w:r>
    </w:p>
    <w:p>
      <w:r>
        <w:rPr>
          <w:b/>
        </w:rPr>
        <w:t xml:space="preserve">Ergebnis: </w:t>
      </w:r>
      <w:r>
        <w:t>Die VAS hatte gute Spezifität (94,3%), übersah aber viele gebrechliche Patienten (Sensitivität 36,5%). Ein Modell mit Routineparametern zeigte gute Vorhersageleistung (AUC 0,816). Patienten mit Fried-Frailty hatten häufiger zentrale Venenkatheter, niedrigere Diurese, Kreatinin und Albumin sowie mehr Herz-Kreislauf-Erkrankungen.</w:t>
      </w:r>
    </w:p>
    <w:p>
      <w:r>
        <w:rPr>
          <w:b/>
          <w:sz w:val="19"/>
        </w:rPr>
        <w:t xml:space="preserve">Übertragbarkeit: </w:t>
      </w:r>
      <w:r>
        <w:rPr>
          <w:sz w:val="19"/>
        </w:rPr>
        <w:t>Deutsche Kliniken, vergleichbare Dialysedokumentation und Versorgungsstrukturen</w:t>
      </w:r>
    </w:p>
    <w:p>
      <w:r>
        <w:rPr>
          <w:color w:val="5A7D3A"/>
          <w:sz w:val="18"/>
        </w:rPr>
        <w:t>https://pubmed.ncbi.nlm.nih.gov/42493781/</w:t>
      </w:r>
    </w:p>
    <w:p>
      <w:pPr>
        <w:pStyle w:val="Heading2"/>
      </w:pPr>
      <w:r>
        <w:t>Diabetes-Epidemiologie in Dänemark: Trends von 1996 bis 2024</w:t>
      </w:r>
    </w:p>
    <w:p>
      <w:r>
        <w:rPr>
          <w:i/>
          <w:color w:val="666666"/>
          <w:sz w:val="18"/>
        </w:rPr>
        <w:t>Wibaek R et al.  ·  BMJ Open Diabetes Res Care  ·  10.07.2026  ·  PMID 42431705</w:t>
      </w:r>
    </w:p>
    <w:p>
      <w:r>
        <w:t>Nationale Register-Kohortenstudie (1996–2024) quantifizierte Trends in Prävalenz, Inzidenz, Mortalität und Lebensjahren verloren durch Diabetes in Dänemark.</w:t>
      </w:r>
    </w:p>
    <w:p>
      <w:r>
        <w:rPr>
          <w:b/>
        </w:rPr>
        <w:t xml:space="preserve">Ergebnis: </w:t>
      </w:r>
      <w:r>
        <w:t>Diabetes-Prävalenz verdreifachte sich auf 6,1 % (366.174 Personen); Typ 2 Diabetes stieg jährlich ~4,1 %. Typ 1 Inzidenz sank um 1,1 % pro Jahr. Mortalität sank bis 2012, dann Stabilisierung. Standardisierte Mortalitätsquoten sanken für Typ 1 (nach 2008), stiegen aber für Typ 2. Männer hatten höhere Typ 2 Inzidenz als Frauen.</w:t>
      </w:r>
    </w:p>
    <w:p>
      <w:r>
        <w:rPr>
          <w:b/>
          <w:sz w:val="19"/>
        </w:rPr>
        <w:t xml:space="preserve">Übertragbarkeit: </w:t>
      </w:r>
      <w:r>
        <w:rPr>
          <w:sz w:val="19"/>
        </w:rPr>
        <w:t>Skandinavien, vergleichbares Sozialversicherungssystem und Datenzugang</w:t>
      </w:r>
    </w:p>
    <w:p>
      <w:r>
        <w:rPr>
          <w:color w:val="5A7D3A"/>
          <w:sz w:val="18"/>
        </w:rPr>
        <w:t>https://pubmed.ncbi.nlm.nih.gov/42431705/</w:t>
      </w:r>
    </w:p>
    <w:p>
      <w:pPr>
        <w:pStyle w:val="Heading2"/>
      </w:pPr>
      <w:r>
        <w:t>Darmmikrobiota und Frailty bei älteren Frauen: schwedische Kohorte, bestätigt in China</w:t>
      </w:r>
    </w:p>
    <w:p>
      <w:r>
        <w:rPr>
          <w:i/>
          <w:color w:val="666666"/>
          <w:sz w:val="18"/>
        </w:rPr>
        <w:t>Vilar Geraldi M et al.  ·  Nat Commun  ·  08.07.2026  ·  PMID 42420265</w:t>
      </w:r>
    </w:p>
    <w:p>
      <w:r>
        <w:t>Studie analysierte Darmmetagenomik-Profile bei 2.081 schwedischen Frauen (75-80 Jahre) im Bezug auf einen entwickelten Frailty-Mortality-Index (FMI) und validierte Ergebnisse in einer chinesischen Kohorte.</w:t>
      </w:r>
    </w:p>
    <w:p>
      <w:r>
        <w:rPr>
          <w:b/>
        </w:rPr>
        <w:t xml:space="preserve">Ergebnis: </w:t>
      </w:r>
      <w:r>
        <w:t>FMI war invers assoziiert mit mikrobieller Diversität, Genreichtum und funktionaler Kapazität. 404 Bakterienarten waren signifikant mit FMI assoziiert; die meisten zeigten konsistente Assoziationen in der chinesischen Kohorte (n=1.448). Mikrobielle Signaturen waren mit Mortalität und funktioneller Einschränkung verknüpft.</w:t>
      </w:r>
    </w:p>
    <w:p>
      <w:r>
        <w:rPr>
          <w:b/>
          <w:sz w:val="19"/>
        </w:rPr>
        <w:t xml:space="preserve">Übertragbarkeit: </w:t>
      </w:r>
      <w:r>
        <w:rPr>
          <w:sz w:val="19"/>
        </w:rPr>
        <w:t>Skandinavien, ähnliche Sozialversicherung und Alterspopulation</w:t>
      </w:r>
    </w:p>
    <w:p>
      <w:r>
        <w:rPr>
          <w:color w:val="5A7D3A"/>
          <w:sz w:val="18"/>
        </w:rPr>
        <w:t>https://pubmed.ncbi.nlm.nih.gov/42420265/</w:t>
      </w:r>
    </w:p>
    <w:p>
      <w:pPr>
        <w:pStyle w:val="Heading1"/>
      </w:pPr>
      <w:r>
        <w:t>Aufgenommen am 29.08.2026</w:t>
      </w:r>
    </w:p>
    <w:p>
      <w:pPr>
        <w:pStyle w:val="Heading2"/>
      </w:pPr>
      <w:r>
        <w:t>Frailty verdoppelt Mortalität und Pflegebedarf bei hospitalisierten Älteren</w:t>
      </w:r>
    </w:p>
    <w:p>
      <w:r>
        <w:rPr>
          <w:i/>
          <w:color w:val="666666"/>
          <w:sz w:val="18"/>
        </w:rPr>
        <w:t>Kamo T et al.  ·  Geriatr Gerontol Int  ·  Sept. 2026  ·  PMID 42642794</w:t>
      </w:r>
    </w:p>
    <w:p>
      <w:r>
        <w:t>Systematische Übersicht und Metaanalyse von 57 Kohortenstudien zu Auswirkungen von Frailty auf Aktivitäten des täglichen Lebens und klinische Outcomes bei hospitalisierten älteren Erwachsenen (≥65 Jahre).</w:t>
      </w:r>
    </w:p>
    <w:p>
      <w:r>
        <w:rPr>
          <w:b/>
        </w:rPr>
        <w:t xml:space="preserve">Ergebnis: </w:t>
      </w:r>
      <w:r>
        <w:t>Frailty war assoziiert mit schlechterer ADL-Funktionsfähigkeit (SMD –1,04), höherer Mortalität (RR 2,26), niedrigerer Wahrscheinlichkeit von Entlassung nach Hause (RR 0,79) und höherem Wiederaufnahmerisiko in 30 Tagen (RR 1,47). Diese Effekte waren konsistent über Studien hinweg.</w:t>
      </w:r>
    </w:p>
    <w:p>
      <w:r>
        <w:rPr>
          <w:b/>
          <w:sz w:val="19"/>
        </w:rPr>
        <w:t xml:space="preserve">Übertragbarkeit: </w:t>
      </w:r>
      <w:r>
        <w:rPr>
          <w:sz w:val="19"/>
        </w:rPr>
        <w:t>Überwiegend anglo-amerikanische und europäische Studien; Frailty-Screening ist systemübergreifend anwendbar</w:t>
      </w:r>
    </w:p>
    <w:p>
      <w:r>
        <w:rPr>
          <w:color w:val="5A7D3A"/>
          <w:sz w:val="18"/>
        </w:rPr>
        <w:t>https://pubmed.ncbi.nlm.nih.gov/42642794/</w:t>
      </w:r>
    </w:p>
    <w:p>
      <w:pPr>
        <w:pStyle w:val="Heading2"/>
      </w:pPr>
      <w:r>
        <w:t>Plasma-Biomarker p-tau217 bei älteren Patienten: Nierenfunktion erklärt mehr Varianz als Gebrechlichkeit</w:t>
      </w:r>
    </w:p>
    <w:p>
      <w:r>
        <w:rPr>
          <w:i/>
          <w:color w:val="666666"/>
          <w:sz w:val="18"/>
        </w:rPr>
        <w:t>Goll J et al.  ·  Alzheimers Dement  ·  Aug. 2026  ·  PMID 42625502</w:t>
      </w:r>
    </w:p>
    <w:p>
      <w:r>
        <w:t>Querschnittsuntersuchung von 283 älteren Patienten (Norfrail- und Dementia-Cohort) zur Assoziation zwischen Gebrechlichkeit und Plasma-Biomarkern (p-tau217, Neurofilament-Leichte-Kette, GFAP) für Alzheimer-Pathologie.</w:t>
      </w:r>
    </w:p>
    <w:p>
      <w:r>
        <w:rPr>
          <w:b/>
        </w:rPr>
        <w:t xml:space="preserve">Ergebnis: </w:t>
      </w:r>
      <w:r>
        <w:t>Keine signifikante Assoziation zwischen p-tau217 und Gebrechlichkeit; die eGFR erklärte 27% der p-tau217-Varianz (p &lt; 0,001). Neurofilament-Leichte-Kette war einziger Biomarker signifikant mit Gebrechlichkeit assoziiert (p &lt; 0,01). Kliniker müssen Nierenfunktion bei Interpretation berücksichtigen.</w:t>
      </w:r>
    </w:p>
    <w:p>
      <w:r>
        <w:rPr>
          <w:b/>
          <w:sz w:val="19"/>
        </w:rPr>
        <w:t xml:space="preserve">Übertragbarkeit: </w:t>
      </w:r>
      <w:r>
        <w:rPr>
          <w:sz w:val="19"/>
        </w:rPr>
        <w:t>Norwegen, europäisches Gesundheitssystem; Befund zum Niereneinflusses auf Blutbiomarker ist systemunabhängig</w:t>
      </w:r>
    </w:p>
    <w:p>
      <w:r>
        <w:rPr>
          <w:color w:val="5A7D3A"/>
          <w:sz w:val="18"/>
        </w:rPr>
        <w:t>https://pubmed.ncbi.nlm.nih.gov/42625502/</w:t>
      </w:r>
    </w:p>
    <w:p>
      <w:pPr>
        <w:pStyle w:val="Heading2"/>
      </w:pPr>
      <w:r>
        <w:t>Frühe Zuckerrestriktion reduziert Krebsrisiko um 30–70% und verlangsamt biologisches Altern</w:t>
      </w:r>
    </w:p>
    <w:p>
      <w:r>
        <w:rPr>
          <w:i/>
          <w:color w:val="666666"/>
          <w:sz w:val="18"/>
        </w:rPr>
        <w:t>Zhu C et al.  ·  Proc Natl Acad Sci U S A  ·  11.08.2026  ·  PMID 42550905</w:t>
      </w:r>
    </w:p>
    <w:p>
      <w:r>
        <w:t>Kausalitätsanalyse mittels natürliches Experiment (Ende der UK-Zuckerrationierung 1953) mit 64.761 Biobank-Teilnehmern geboren 1951–1956, zur Langzeitwirkung früher Zuckerexposition auf Krebsinzidenz und biologisches Altern.</w:t>
      </w:r>
    </w:p>
    <w:p>
      <w:r>
        <w:rPr>
          <w:b/>
        </w:rPr>
        <w:t xml:space="preserve">Ergebnis: </w:t>
      </w:r>
      <w:r>
        <w:t>Geburtskohortenunter Rationierung zeigten dosisabhängig reduzierte Krebsraten: Leber (HR 0,31), Rektum (HR 0,60), Lunge (HR 0,59), Prostata (HR 0,48), Brust (HR 0,64). Mechanismen: Persistente gesündere Ernährungsgewohnheiten (verhaltoral) und längere Telomere (2,2 Jahre weniger biologisches Altern), niedrigeres Granzym B. Kausalitätsevidenzen für frühe Ernährungsprägung.</w:t>
      </w:r>
    </w:p>
    <w:p>
      <w:r>
        <w:rPr>
          <w:b/>
          <w:sz w:val="19"/>
        </w:rPr>
        <w:t xml:space="preserve">Übertragbarkeit: </w:t>
      </w:r>
      <w:r>
        <w:rPr>
          <w:sz w:val="19"/>
        </w:rPr>
        <w:t>Großbritannien, vergleichbare Geburtskohortenstruktur; Befund zu prägenden Effekten früher Ernährung fundamental, aber Realisierbarkeit in Deutschland unterschiedlich</w:t>
      </w:r>
    </w:p>
    <w:p>
      <w:r>
        <w:rPr>
          <w:color w:val="5A7D3A"/>
          <w:sz w:val="18"/>
        </w:rPr>
        <w:t>https://pubmed.ncbi.nlm.nih.gov/42550905/</w:t>
      </w:r>
    </w:p>
    <w:p>
      <w:pPr>
        <w:pStyle w:val="Heading2"/>
      </w:pPr>
      <w:r>
        <w:t>Immediate orthostatic hypotension zeigt keine Assoziation mit Stürzen und Synkopen im Alter</w:t>
      </w:r>
    </w:p>
    <w:p>
      <w:r>
        <w:rPr>
          <w:i/>
          <w:color w:val="666666"/>
          <w:sz w:val="18"/>
        </w:rPr>
        <w:t>Reddin C et al.  ·  Age Ageing  ·  02.07.2026  ·  PMID 42462204</w:t>
      </w:r>
    </w:p>
    <w:p>
      <w:r>
        <w:t>Querschnitts- und prospektive Kohortenstudie mit 4.596 älteren Erwachsenen über 8 Jahre, die die Assoziation von orthosensitiver Hypotonie (OH) und unmittelbarer OH mit Stürzen und Synkopen untersuchte.</w:t>
      </w:r>
    </w:p>
    <w:p>
      <w:r>
        <w:rPr>
          <w:b/>
        </w:rPr>
        <w:t xml:space="preserve">Ergebnis: </w:t>
      </w:r>
      <w:r>
        <w:t>Unmittelbare OH kam bei 20,7% vor und war nicht signifikant mit Stürzen/Synkopen assoziiert (OR 1,22, 95% KI 0,93–1,57); hingegen war persistente OH assoziiert (OR 1,31, 95% KI 1,04–1,66, p &lt; 0,05). Die Unterscheidung zwischen beiden Varianten ist klinisch relevant.</w:t>
      </w:r>
    </w:p>
    <w:p>
      <w:r>
        <w:rPr>
          <w:b/>
          <w:sz w:val="19"/>
        </w:rPr>
        <w:t xml:space="preserve">Übertragbarkeit: </w:t>
      </w:r>
      <w:r>
        <w:rPr>
          <w:sz w:val="19"/>
        </w:rPr>
        <w:t>Irland, vergleichbares europäisches Gesundheitssystem, bevölkerungsrepräsentative Stichprobe</w:t>
      </w:r>
    </w:p>
    <w:p>
      <w:r>
        <w:rPr>
          <w:color w:val="5A7D3A"/>
          <w:sz w:val="18"/>
        </w:rPr>
        <w:t>https://pubmed.ncbi.nlm.nih.gov/42462204/</w:t>
      </w:r>
    </w:p>
    <w:p>
      <w:pPr>
        <w:pStyle w:val="Heading2"/>
      </w:pPr>
      <w:r>
        <w:t>Gebrechlichkeit in etablierten Surveys messbar – ein Framework für nationale Monitoring in Europa</w:t>
      </w:r>
    </w:p>
    <w:p>
      <w:r>
        <w:rPr>
          <w:i/>
          <w:color w:val="666666"/>
          <w:sz w:val="18"/>
        </w:rPr>
        <w:t>Aicardi T et al.  ·  Eur J Public Health  ·  10.06.2026  ·  PMID 42452852</w:t>
      </w:r>
    </w:p>
    <w:p>
      <w:r>
        <w:t>Querschnittsstudie mit drei etablierten Frailty-Indikatoren (Tilburg, Groningen, Edmonton) in vier italienischen Bevölkerungssurveillance-Datensätzen (SHARE, EU-SILC, EHIS, AVQ).</w:t>
      </w:r>
    </w:p>
    <w:p>
      <w:r>
        <w:rPr>
          <w:b/>
        </w:rPr>
        <w:t xml:space="preserve">Ergebnis: </w:t>
      </w:r>
      <w:r>
        <w:t>Der Groningen Frailty Indicator war am replizierbaren über Surveys hinweg; die Edmonton Frail Scale zeigte stärkste Vorhersagekraft. EHIS-Daten waren optimal für Messungen geeignet. Gebrechlichkeit erklärte Gesundheitsoutcomes besser als Chronologisches Alter allein; klarer Nord-Süd-Gradient in Italien (p &lt; 0,001).</w:t>
      </w:r>
    </w:p>
    <w:p>
      <w:r>
        <w:rPr>
          <w:b/>
          <w:sz w:val="19"/>
        </w:rPr>
        <w:t xml:space="preserve">Übertragbarkeit: </w:t>
      </w:r>
      <w:r>
        <w:rPr>
          <w:sz w:val="19"/>
        </w:rPr>
        <w:t>Italien, EU-Mitgliedstaaten, vergleichbare Datensysteme mit Deutschland übertragbar</w:t>
      </w:r>
    </w:p>
    <w:p>
      <w:r>
        <w:rPr>
          <w:color w:val="5A7D3A"/>
          <w:sz w:val="18"/>
        </w:rPr>
        <w:t>https://pubmed.ncbi.nlm.nih.gov/42452852/</w:t>
      </w:r>
    </w:p>
    <w:p>
      <w:pPr>
        <w:pStyle w:val="Heading2"/>
      </w:pPr>
      <w:r>
        <w:t>Gesunde Lebensjahre regional stark abhängig von Einkommen und sozialen Faktoren</w:t>
      </w:r>
    </w:p>
    <w:p>
      <w:r>
        <w:rPr>
          <w:i/>
          <w:color w:val="666666"/>
          <w:sz w:val="18"/>
        </w:rPr>
        <w:t>Bachmann M et al.  ·  BMJ Open  ·  13.07.2026  ·  PMID 42442804</w:t>
      </w:r>
    </w:p>
    <w:p>
      <w:r>
        <w:t>Querschnittsanalyse zur Variabilität der gesunden Lebenserwartung (HLE) und Risikofaktoren in 128 kleinen geografischen Bereichen eines britischen integrierten Versorgungssystems.</w:t>
      </w:r>
    </w:p>
    <w:p>
      <w:r>
        <w:rPr>
          <w:b/>
        </w:rPr>
        <w:t xml:space="preserve">Ergebnis: </w:t>
      </w:r>
      <w:r>
        <w:t>HLE betrug durchschnittlich 66,5 Jahre (Männer, Spannweite 52–73) und 67,5 Jahre (Frauen, Spannweite 56–74). £100 höheres Wocheneinkommen war assoziiert mit 4,4 (95% KI 3,5–5,2) beziehungsweise 4,6 (95% KI 3,8–5,4) zusätzlichen HLE-Jahren. Alleinsein älterer Personen, körperliche Inaktivität und Deprivation zeigten starke Assoziationen mit niedrigerer HLE.</w:t>
      </w:r>
    </w:p>
    <w:p>
      <w:r>
        <w:rPr>
          <w:b/>
          <w:sz w:val="19"/>
        </w:rPr>
        <w:t xml:space="preserve">Übertragbarkeit: </w:t>
      </w:r>
      <w:r>
        <w:rPr>
          <w:sz w:val="19"/>
        </w:rPr>
        <w:t>Großbritannien, NHS-ähnliche Systeme; Ungleichheitsmessung direkt auf deutsche Regionen übertragbar</w:t>
      </w:r>
    </w:p>
    <w:p>
      <w:r>
        <w:rPr>
          <w:color w:val="5A7D3A"/>
          <w:sz w:val="18"/>
        </w:rPr>
        <w:t>https://pubmed.ncbi.nlm.nih.gov/42442804/</w:t>
      </w:r>
    </w:p>
    <w:p>
      <w:pPr>
        <w:pStyle w:val="Heading1"/>
      </w:pPr>
      <w:r>
        <w:t>Aufgenommen am 28.08.2026</w:t>
      </w:r>
    </w:p>
    <w:p>
      <w:pPr>
        <w:pStyle w:val="Heading2"/>
      </w:pPr>
      <w:r>
        <w:t>Territoriale Ungleichheiten von Gebrechlichkeit und Langlebigkeit in Italien</w:t>
      </w:r>
    </w:p>
    <w:p>
      <w:r>
        <w:rPr>
          <w:i/>
          <w:color w:val="666666"/>
          <w:sz w:val="18"/>
        </w:rPr>
        <w:t>Maccheroni C et al.  ·  Int J Environ Res Public Health  ·  23.07.2026  ·  PMID 42652263</w:t>
      </w:r>
    </w:p>
    <w:p>
      <w:r>
        <w:t>Analyse der geografischen Verteilung von Frailty, funktionalen Einschränkungen und Anspruch auf öffentliche Unterstützung in 21 italienischen Regionen auf Basis von Istat-, Eurostat- und INPS-Daten.</w:t>
      </w:r>
    </w:p>
    <w:p>
      <w:r>
        <w:rPr>
          <w:b/>
        </w:rPr>
        <w:t xml:space="preserve">Ergebnis: </w:t>
      </w:r>
      <w:r>
        <w:t>Italien zeigt hohe Lebenserwartung (Frauen 85,4, Männer 81,4 Jahre), aber gesunde Lebensjahre von nur 69,6 bzw. 68,5 Jahren. Der Süden und die Inseln weisen deutlich höhere Frailty-Prävalenz, mehr funktionale Einschränkungen und höhere Ansprüche auf öffentliche Hilfe auf als Zentrum-Nord. Frauen erleben längere Leben mit mehr Behinderung und Abhängigkeit.</w:t>
      </w:r>
    </w:p>
    <w:p>
      <w:r>
        <w:rPr>
          <w:b/>
          <w:sz w:val="19"/>
        </w:rPr>
        <w:t xml:space="preserve">Übertragbarkeit: </w:t>
      </w:r>
      <w:r>
        <w:rPr>
          <w:sz w:val="19"/>
        </w:rPr>
        <w:t>Italien, vollständige nationale Registeranalyse, europäisches Wohlfahrtssystem</w:t>
      </w:r>
    </w:p>
    <w:p>
      <w:r>
        <w:rPr>
          <w:color w:val="5A7D3A"/>
          <w:sz w:val="18"/>
        </w:rPr>
        <w:t>https://pubmed.ncbi.nlm.nih.gov/42652263/</w:t>
      </w:r>
    </w:p>
    <w:p>
      <w:pPr>
        <w:pStyle w:val="Heading2"/>
      </w:pPr>
      <w:r>
        <w:t>Kognitive Frailty bei älteren Herzinsuffizienzpatienten: systematische Übersicht</w:t>
      </w:r>
    </w:p>
    <w:p>
      <w:r>
        <w:rPr>
          <w:i/>
          <w:color w:val="666666"/>
          <w:sz w:val="18"/>
        </w:rPr>
        <w:t>Cheng M et al.  ·  Front Public Health  ·  11.08.2026  ·  PMID 42644078</w:t>
      </w:r>
    </w:p>
    <w:p>
      <w:r>
        <w:t>Systematische Übersicht und Metaanalyse von 22 Kohortenstudien (8.892 Patienten ≥65 Jahre mit Herzinsuffizienz) zur Prävalenz und Faktoren kognitiver Frailty.</w:t>
      </w:r>
    </w:p>
    <w:p>
      <w:r>
        <w:rPr>
          <w:b/>
        </w:rPr>
        <w:t xml:space="preserve">Ergebnis: </w:t>
      </w:r>
      <w:r>
        <w:t>Gepoolte Prävalenz kognitiver Frailty: 32 % (95%-KI 27–37 %). Bei Frauen 37 %, bei Männern 31 %. Nach NYHA-Klassifikation bei Klasse IV 44 %, Klasse II–III 28 %. Mit COPD-Komorbidität 46 %. Höheres Alter (bereinigt OR 1,12, 95%-KI 1,06–1,18) und Depression assoziiert mit höheren Odds; körperliche Aktivität und intellektuelle Aktivität mit niedrigeren Odds.</w:t>
      </w:r>
    </w:p>
    <w:p>
      <w:r>
        <w:rPr>
          <w:b/>
          <w:sz w:val="19"/>
        </w:rPr>
        <w:t xml:space="preserve">Übertragbarkeit: </w:t>
      </w:r>
      <w:r>
        <w:rPr>
          <w:sz w:val="19"/>
        </w:rPr>
        <w:t>Mehrländerstudie, überwiegend observativ, Versorgungsrelevanz für Herzinsuffizienz</w:t>
      </w:r>
    </w:p>
    <w:p>
      <w:r>
        <w:rPr>
          <w:color w:val="5A7D3A"/>
          <w:sz w:val="18"/>
        </w:rPr>
        <w:t>https://pubmed.ncbi.nlm.nih.gov/42644078/</w:t>
      </w:r>
    </w:p>
    <w:p>
      <w:pPr>
        <w:pStyle w:val="Heading2"/>
      </w:pPr>
      <w:r>
        <w:t>Erhöhte Arbeitsunfälle durch verzögerte Pensionierung im Alter</w:t>
      </w:r>
    </w:p>
    <w:p>
      <w:r>
        <w:rPr>
          <w:i/>
          <w:color w:val="666666"/>
          <w:sz w:val="18"/>
        </w:rPr>
        <w:t>Ardito C et al.  ·  Econ Hum Biol  ·  10.08.2026  ·  PMID 42617339</w:t>
      </w:r>
    </w:p>
    <w:p>
      <w:r>
        <w:t>Evaluation des Effekts der italienischen Rentenreform 2012 (Erhöhung der Anspruchsaltersgrenze) auf Arbeitsunfallrisiken bei älteren Erwerbstätigen mittels administrativer Daten aus der Privatwirtschaft.</w:t>
      </w:r>
    </w:p>
    <w:p>
      <w:r>
        <w:rPr>
          <w:b/>
        </w:rPr>
        <w:t xml:space="preserve">Ergebnis: </w:t>
      </w:r>
      <w:r>
        <w:t>Verzögerte Pensionierung führte zu statistisch signifikantem Anstieg krankheitsbedingter Abwesenheit durch Arbeitsunfälle um 2,6 % gegenüber dem Ausgangswert. Der Effekt konzentriert sich auf Kleinbetriebe (unter 15 Angestellten) und körperlich oder kognitiv fordernde Sektoren wie Fertigung. Kein Spillover-Effekt auf Arbeitskollegen.</w:t>
      </w:r>
    </w:p>
    <w:p>
      <w:r>
        <w:rPr>
          <w:b/>
          <w:sz w:val="19"/>
        </w:rPr>
        <w:t xml:space="preserve">Übertragbarkeit: </w:t>
      </w:r>
      <w:r>
        <w:rPr>
          <w:sz w:val="19"/>
        </w:rPr>
        <w:t>Italien, administrative Privatwirtschaftsdaten, vergleichbare Sozialversicherungssysteme</w:t>
      </w:r>
    </w:p>
    <w:p>
      <w:r>
        <w:rPr>
          <w:color w:val="5A7D3A"/>
          <w:sz w:val="18"/>
        </w:rPr>
        <w:t>https://pubmed.ncbi.nlm.nih.gov/42617339/</w:t>
      </w:r>
    </w:p>
    <w:p>
      <w:pPr>
        <w:pStyle w:val="Heading2"/>
      </w:pPr>
      <w:r>
        <w:t>Lebenserwartung und Gesundheitslebensjahre von Migranten in England und Wales</w:t>
      </w:r>
    </w:p>
    <w:p>
      <w:r>
        <w:rPr>
          <w:i/>
          <w:color w:val="666666"/>
          <w:sz w:val="18"/>
        </w:rPr>
        <w:t>Harrison J et al.  ·  PLoS One  ·  19.08.2026  ·  PMID 42616754</w:t>
      </w:r>
    </w:p>
    <w:p>
      <w:r>
        <w:t>Vergleich der Lebenserwartung und behinderungsfreien Lebensjahre bei 37 Ländern von Geburtsort in England und Wales über drei Zeitpunkte (2000–02, 2010–12, 2020–22) mittels Lebenstafeln und Sullivan-Methode.</w:t>
      </w:r>
    </w:p>
    <w:p>
      <w:r>
        <w:rPr>
          <w:b/>
        </w:rPr>
        <w:t xml:space="preserve">Ergebnis: </w:t>
      </w:r>
      <w:r>
        <w:t>Heterogene Muster: Die meisten Migrantengruppen zeigten höhere Lebenserwartung und behinderungsfreie Lebensjahre als in England und Wales geborene; einige der größten Migrantengruppen (Schottland, Irland, Polen, Litauen) zeigten niedrigere Lebenserwartung und höhere Behinderungslasten. Frauen aus Pakistan und Bangladesch lebten länger, aber mit mehr Behinderung.</w:t>
      </w:r>
    </w:p>
    <w:p>
      <w:r>
        <w:rPr>
          <w:b/>
          <w:sz w:val="19"/>
        </w:rPr>
        <w:t xml:space="preserve">Übertragbarkeit: </w:t>
      </w:r>
      <w:r>
        <w:rPr>
          <w:sz w:val="19"/>
        </w:rPr>
        <w:t>Großbritannien, nationale Zensus- und Mortalitätsdaten, vergleichbares Versicherungssystem</w:t>
      </w:r>
    </w:p>
    <w:p>
      <w:r>
        <w:rPr>
          <w:color w:val="5A7D3A"/>
          <w:sz w:val="18"/>
        </w:rPr>
        <w:t>https://pubmed.ncbi.nlm.nih.gov/42616754/</w:t>
      </w:r>
    </w:p>
    <w:p>
      <w:pPr>
        <w:pStyle w:val="Heading2"/>
      </w:pPr>
      <w:r>
        <w:t>Milde Bewegungstremor korreliert mit kognitiver Beeinträchtigung im Alter</w:t>
      </w:r>
    </w:p>
    <w:p>
      <w:r>
        <w:rPr>
          <w:i/>
          <w:color w:val="666666"/>
          <w:sz w:val="18"/>
        </w:rPr>
        <w:t>Kuhlenbäumer G et al.  ·  J Neurol  ·  11.08.2026  ·  PMID 42581283</w:t>
      </w:r>
    </w:p>
    <w:p>
      <w:r>
        <w:t>Querschnittsanalyse der KORA-Age-Studie (65–93 Jahre) zur Assoziation zwischen Tremorschweregrad (Archimedes-Spiral-Rating) und kognitiver Leistung (TICS-m) unter Verwendung multivariater Regression.</w:t>
      </w:r>
    </w:p>
    <w:p>
      <w:r>
        <w:rPr>
          <w:b/>
        </w:rPr>
        <w:t xml:space="preserve">Ergebnis: </w:t>
      </w:r>
      <w:r>
        <w:t>Tremorschweregrad war unabhängig mit kognitiver Leistung assoziiert. Im finalen Modell waren wichtigste Prädiktoren: Alter, Geschlecht, Parkinson-Score, Frailty und Tremor. Sensitivitätsanalysen unter Ausschluss wahrscheinlich pathologischer Tremoren attenuierten die Assoziation nicht. Altersbedingte Hirnveränderungen könnten gemeinsame Ursache sein.</w:t>
      </w:r>
    </w:p>
    <w:p>
      <w:r>
        <w:rPr>
          <w:b/>
          <w:sz w:val="19"/>
        </w:rPr>
        <w:t xml:space="preserve">Übertragbarkeit: </w:t>
      </w:r>
      <w:r>
        <w:rPr>
          <w:sz w:val="19"/>
        </w:rPr>
        <w:t>Deutschland, KORA-Bevölkerungskohort, nationale Datengrundlage</w:t>
      </w:r>
    </w:p>
    <w:p>
      <w:r>
        <w:rPr>
          <w:color w:val="5A7D3A"/>
          <w:sz w:val="18"/>
        </w:rPr>
        <w:t>https://pubmed.ncbi.nlm.nih.gov/42581283/</w:t>
      </w:r>
    </w:p>
    <w:p>
      <w:pPr>
        <w:pStyle w:val="Heading2"/>
      </w:pPr>
      <w:r>
        <w:t>Geriatrische Rehabilitation verbessert Funktionalität bei Mangelernährungsrisiko</w:t>
      </w:r>
    </w:p>
    <w:p>
      <w:r>
        <w:rPr>
          <w:i/>
          <w:color w:val="666666"/>
          <w:sz w:val="18"/>
        </w:rPr>
        <w:t>Runikhina NK et al.  ·  Adv Gerontol  ·  2026  ·  PMID 42502926</w:t>
      </w:r>
    </w:p>
    <w:p>
      <w:r>
        <w:t>Evaluierung von 21-Tage-Rehabilitationsprogrammen bei 482 älteren Patienten (60+ Jahre) mit (96, 19,9 %) und ohne Mangelernährungsrisiko durch umfassende geriatrische Bewertung vor und nach Intervention.</w:t>
      </w:r>
    </w:p>
    <w:p>
      <w:r>
        <w:rPr>
          <w:b/>
        </w:rPr>
        <w:t xml:space="preserve">Ergebnis: </w:t>
      </w:r>
      <w:r>
        <w:t>Beide Gruppen verbesserten sich signifikant in Funktionalität, kognitiver Leistung und Schmerz/Schlaf/Depression. Patienten mit Mangelernährungsrisiko waren älter (80,3 vs. 78,2 Jahre), hatten mehr Frailty (52,1 % vs. 30,9 %), mehr Stürze (36,8 % vs. 25,3 %) und Depression (40,6 % vs. 20,8 %). Diese Gruppe zeigte deutlich größere Verbesserungen in basaler und instrumenteller Funktionalität.</w:t>
      </w:r>
    </w:p>
    <w:p>
      <w:r>
        <w:rPr>
          <w:b/>
          <w:sz w:val="19"/>
        </w:rPr>
        <w:t xml:space="preserve">Übertragbarkeit: </w:t>
      </w:r>
      <w:r>
        <w:rPr>
          <w:sz w:val="19"/>
        </w:rPr>
        <w:t>Russland, Pirogov-Universitätsklinik, europäischer Gesundheitsauftrag vergleichbar</w:t>
      </w:r>
    </w:p>
    <w:p>
      <w:r>
        <w:rPr>
          <w:color w:val="5A7D3A"/>
          <w:sz w:val="18"/>
        </w:rPr>
        <w:t>https://pubmed.ncbi.nlm.nih.gov/42502926/</w:t>
      </w:r>
    </w:p>
    <w:p>
      <w:pPr>
        <w:pStyle w:val="Heading1"/>
      </w:pPr>
      <w:r>
        <w:t>Aufgenommen am 27.08.2026</w:t>
      </w:r>
    </w:p>
    <w:p>
      <w:pPr>
        <w:pStyle w:val="Heading2"/>
      </w:pPr>
      <w:r>
        <w:t>Verzögerte Sterblichkeit und Multimorbiditätsaufbau bei Nachkommen von Hundertjährigen</w:t>
      </w:r>
    </w:p>
    <w:p>
      <w:r>
        <w:rPr>
          <w:i/>
          <w:color w:val="666666"/>
          <w:sz w:val="18"/>
        </w:rPr>
        <w:t>Reed ER et al.  ·  JAMA Netw Open  ·  03.08.2026  ·  PMID 42646838</w:t>
      </w:r>
    </w:p>
    <w:p>
      <w:r>
        <w:t>Studie an drei unabhängigen Kohorten (LonGenity, NECS, UK Biobank) verglich Sterblichkeit und Erkrankungsbeginn bei Nachkommen von Hundertjährigen (≥100 Jahre) mit Kontrollpersonen.</w:t>
      </w:r>
    </w:p>
    <w:p>
      <w:r>
        <w:rPr>
          <w:b/>
        </w:rPr>
        <w:t xml:space="preserve">Ergebnis: </w:t>
      </w:r>
      <w:r>
        <w:t>Hundertjährige-Nachkommen zeigten reduzierte Mortalität (HR 0,58; 95%-KI 0,41–0,81), verzögerter Beginn von Herzerkrankungen (HR 0,67) und Hypertonie (HR 0,68; Verzögerung 5,21 Jahre). Der Effekt ist konsistent über drei Länder und zeigt, dass Longevität familial transmittiert wird.</w:t>
      </w:r>
    </w:p>
    <w:p>
      <w:r>
        <w:rPr>
          <w:b/>
          <w:sz w:val="19"/>
        </w:rPr>
        <w:t xml:space="preserve">Übertragbarkeit: </w:t>
      </w:r>
      <w:r>
        <w:rPr>
          <w:sz w:val="19"/>
        </w:rPr>
        <w:t>USA und Großbritannien; Generalisierbarkeit durch multiple Länder hoch</w:t>
      </w:r>
    </w:p>
    <w:p>
      <w:r>
        <w:rPr>
          <w:color w:val="5A7D3A"/>
          <w:sz w:val="18"/>
        </w:rPr>
        <w:t>https://pubmed.ncbi.nlm.nih.gov/42646838/</w:t>
      </w:r>
    </w:p>
    <w:p>
      <w:pPr>
        <w:pStyle w:val="Heading2"/>
      </w:pPr>
      <w:r>
        <w:t>Gebrechlichkeit und periphere Schwindel-Inzidenz: Dosis-Wirkungs-Befund in UK Biobank</w:t>
      </w:r>
    </w:p>
    <w:p>
      <w:r>
        <w:rPr>
          <w:i/>
          <w:color w:val="666666"/>
          <w:sz w:val="18"/>
        </w:rPr>
        <w:t>Zhai Z et al.  ·  Front Neurol  ·  11.08.2026  ·  PMID 42643260</w:t>
      </w:r>
    </w:p>
    <w:p>
      <w:r>
        <w:t>489266 UK-Biobank-Teilnehmer wurden auf Assoziationen zwischen Frailty-Status (Fried-Phänotyp) und Inzidenz von Schwindel (Vertigo) über 13,2 Jahre Nachverfolgung untersucht.</w:t>
      </w:r>
    </w:p>
    <w:p>
      <w:r>
        <w:rPr>
          <w:b/>
        </w:rPr>
        <w:t xml:space="preserve">Ergebnis: </w:t>
      </w:r>
      <w:r>
        <w:t>Präfrailty (HR 1,36; 95%-KI 1,26–1,48) und Frailty (HR 2,05; 95%-KI 1,77–2,37) waren unabhängig mit erhöhtem Schwindel-Risiko assoziiert. Linearer Dosis-Wirkungs-Trend: jeder Punkt Frailty-Score erhöhte Risiko um 24% (95%-KI 19–29%). Effekt stärker bei Frauen.</w:t>
      </w:r>
    </w:p>
    <w:p>
      <w:r>
        <w:rPr>
          <w:b/>
          <w:sz w:val="19"/>
        </w:rPr>
        <w:t xml:space="preserve">Übertragbarkeit: </w:t>
      </w:r>
      <w:r>
        <w:rPr>
          <w:sz w:val="19"/>
        </w:rPr>
        <w:t>UK Biobank, vergleichbare Dokumentation; relevanter Befund für Sturzrisiko-Assessment</w:t>
      </w:r>
    </w:p>
    <w:p>
      <w:r>
        <w:rPr>
          <w:color w:val="5A7D3A"/>
          <w:sz w:val="18"/>
        </w:rPr>
        <w:t>https://pubmed.ncbi.nlm.nih.gov/42643260/</w:t>
      </w:r>
    </w:p>
    <w:p>
      <w:pPr>
        <w:pStyle w:val="Heading2"/>
      </w:pPr>
      <w:r>
        <w:t>Mobiltelefonnutzung und körperliche Gebrechlichkeit: temporale Querschnittsanalyse ohne kausale Assoziation</w:t>
      </w:r>
    </w:p>
    <w:p>
      <w:r>
        <w:rPr>
          <w:i/>
          <w:color w:val="666666"/>
          <w:sz w:val="18"/>
        </w:rPr>
        <w:t>Kong S et al.  ·  Front Public Health  ·  10.08.2026  ·  PMID 42638665</w:t>
      </w:r>
    </w:p>
    <w:p>
      <w:r>
        <w:t>5533 Personen der UK Biobank (40–70 Jahre) wurden über drei Wellen auf zeitliche Beziehungen zwischen wöchentlicher Telefonanrufdauer und vier Dimensionen von Frailty untersucht.</w:t>
      </w:r>
    </w:p>
    <w:p>
      <w:r>
        <w:rPr>
          <w:b/>
        </w:rPr>
        <w:t xml:space="preserve">Ergebnis: </w:t>
      </w:r>
      <w:r>
        <w:t>Nach Korrektur für multiples Testen (FDR) zeigten sich nur zwei schwache, intermittierende Assoziationen: psychische Frailty T1→Telefonzeit T2 (β 0,086, p_FDR 0,048) und soziale Frailty T2→Telefonzeit T3 (β 0,078, p_FDR 0,033). Keine robusten bidirektionalen Effekte.</w:t>
      </w:r>
    </w:p>
    <w:p>
      <w:r>
        <w:rPr>
          <w:b/>
          <w:sz w:val="19"/>
        </w:rPr>
        <w:t xml:space="preserve">Übertragbarkeit: </w:t>
      </w:r>
      <w:r>
        <w:rPr>
          <w:sz w:val="19"/>
        </w:rPr>
        <w:t>UK Biobank, aber Ergebnis negativ (keine Effekt); Übertragbarkeit für Aussage 'kein Zusammenhang' gegeben</w:t>
      </w:r>
    </w:p>
    <w:p>
      <w:r>
        <w:rPr>
          <w:color w:val="5A7D3A"/>
          <w:sz w:val="18"/>
        </w:rPr>
        <w:t>https://pubmed.ncbi.nlm.nih.gov/42638665/</w:t>
      </w:r>
    </w:p>
    <w:p>
      <w:pPr>
        <w:pStyle w:val="Heading2"/>
      </w:pPr>
      <w:r>
        <w:t>Impfbotschaften im Fokus "gesundes Altern" erhöhen Impfintention bei älteren Erwachsenen</w:t>
      </w:r>
    </w:p>
    <w:p>
      <w:r>
        <w:rPr>
          <w:i/>
          <w:color w:val="666666"/>
          <w:sz w:val="18"/>
        </w:rPr>
        <w:t>Addario A et al.  ·  Vaccine  ·  17.09.2026  ·  PMID 42594637</w:t>
      </w:r>
    </w:p>
    <w:p>
      <w:r>
        <w:t>Querschnittsumfrage bei 2416 Personen ≥60 Jahren in Frankreich zu Effektivität von Impfbotschaften unter Einsatz von Social Marketing; drei Verhaltensadhärenz-Profile.</w:t>
      </w:r>
    </w:p>
    <w:p>
      <w:r>
        <w:rPr>
          <w:b/>
        </w:rPr>
        <w:t xml:space="preserve">Ergebnis: </w:t>
      </w:r>
      <w:r>
        <w:t>Zustimmung zu 'Impfung trägt zu gesundem Altern bei' stieg von 3% (niedrige Adhärenz) auf 56% (mittlere) und 78% (hohe). Botschaften zu Schlaganfall- und Herzinfarktreduktion zeigten höchste Impfabsicht (69% und 67% in hoher-Adhärenz-Gruppe). Vertrauenswürdige Gesundheitsfachleute waren Informationsquelle Nr. 1 (93–95%). Impfgutscheine: 57% (mittlere) bis 81% (hohe Adhärenz) würden sich impfen lassen.</w:t>
      </w:r>
    </w:p>
    <w:p>
      <w:r>
        <w:rPr>
          <w:b/>
          <w:sz w:val="19"/>
        </w:rPr>
        <w:t xml:space="preserve">Übertragbarkeit: </w:t>
      </w:r>
      <w:r>
        <w:rPr>
          <w:sz w:val="19"/>
        </w:rPr>
        <w:t>Frankreich, europäisches Gesundheitssystem; Transfer für Kommunikationsstrategie hoch</w:t>
      </w:r>
    </w:p>
    <w:p>
      <w:r>
        <w:rPr>
          <w:color w:val="5A7D3A"/>
          <w:sz w:val="18"/>
        </w:rPr>
        <w:t>https://pubmed.ncbi.nlm.nih.gov/42594637/</w:t>
      </w:r>
    </w:p>
    <w:p>
      <w:pPr>
        <w:pStyle w:val="Heading2"/>
      </w:pPr>
      <w:r>
        <w:t>Chair-Stand-Test als Mortalitätsprädiktor bei hochfunktionalen älteren Erwachsenen</w:t>
      </w:r>
    </w:p>
    <w:p>
      <w:r>
        <w:rPr>
          <w:i/>
          <w:color w:val="666666"/>
          <w:sz w:val="18"/>
        </w:rPr>
        <w:t>Máximo RO et al.  ·  Maturitas  ·  04.08.2026  ·  PMID 42570528</w:t>
      </w:r>
    </w:p>
    <w:p>
      <w:r>
        <w:t>2747 hochfunktionale ältere Erwachsene (Gehgeschwindigkeit &gt;0,8 oder &gt;1,0 m/s) der English Longitudinal Study of Ageing wurden 15 Jahre lang verfolgt; Mortalität nach Chair Stand Test und SPPB verglichen.</w:t>
      </w:r>
    </w:p>
    <w:p>
      <w:r>
        <w:rPr>
          <w:b/>
        </w:rPr>
        <w:t xml:space="preserve">Ergebnis: </w:t>
      </w:r>
      <w:r>
        <w:t>Mortalitätsraten: CST &gt;15 s: 41,4 pro 1000 Personenjahre vs. ≤15 s: 21,9. HR für CST &gt;15 s: 1,36 (95%-KI 1,13–1,62); für SPPB ≤10: HR 1,31 (95%-KI 1,12–1,54). Bei Gehgeschwindigkeit &gt;1,0 m/s: CST-HR 1,75 (95%-KI 1,30–2,36). CST ist einfacher anwendbar.</w:t>
      </w:r>
    </w:p>
    <w:p>
      <w:r>
        <w:rPr>
          <w:b/>
          <w:sz w:val="19"/>
        </w:rPr>
        <w:t xml:space="preserve">Übertragbarkeit: </w:t>
      </w:r>
      <w:r>
        <w:rPr>
          <w:sz w:val="19"/>
        </w:rPr>
        <w:t>England, vergleichbare Klinikpopulationen; schnelles, praktisches Test-Screening</w:t>
      </w:r>
    </w:p>
    <w:p>
      <w:r>
        <w:rPr>
          <w:color w:val="5A7D3A"/>
          <w:sz w:val="18"/>
        </w:rPr>
        <w:t>https://pubmed.ncbi.nlm.nih.gov/42570528/</w:t>
      </w:r>
    </w:p>
    <w:p>
      <w:pPr>
        <w:pStyle w:val="Heading2"/>
      </w:pPr>
      <w:r>
        <w:t>Renteneintritt und psychische Gesundheit: Kurzfristig besser, langfristig Erholung begrenzt</w:t>
      </w:r>
    </w:p>
    <w:p>
      <w:r>
        <w:rPr>
          <w:i/>
          <w:color w:val="666666"/>
          <w:sz w:val="18"/>
        </w:rPr>
        <w:t>Maddock J et al.  ·  Epidemiol Psychiatr Sci  ·  05.08.2026  ·  PMID 42552948</w:t>
      </w:r>
    </w:p>
    <w:p>
      <w:r>
        <w:t>Multilevel und instrumentale Variable Analyse bei 10698 Personen (48815 Beobachtungen) aus Survey of Health, Ageing and Retirement in Europe über 20 Jahre (10 Länder); Renteneintritt und Depressivität (EURO-D-Skala).</w:t>
      </w:r>
    </w:p>
    <w:p>
      <w:r>
        <w:rPr>
          <w:b/>
        </w:rPr>
        <w:t xml:space="preserve">Ergebnis: </w:t>
      </w:r>
      <w:r>
        <w:t>Spline-Modelle: minimal Veränderung vor Rente. Bei Renteneintritt leichte EURO-D-Reduktion (–0,07 Punkte/Jahr; 95%-KI –0,13 bis –0,0003), dann ab 2 Jahre post-Rente Anstieg (0,09/Jahr; 95%-KI 0,02–0,16). IV-Analyse: Rente assoziiert mit weniger Depressionssymptomen (–0,26; 95%-KI –0,45 bis –0,07). Alleinstehende berichteten höhere Depressivität, aber Wohnstatus moderierte Effekt nicht.</w:t>
      </w:r>
    </w:p>
    <w:p>
      <w:r>
        <w:rPr>
          <w:b/>
          <w:sz w:val="19"/>
        </w:rPr>
        <w:t xml:space="preserve">Übertragbarkeit: </w:t>
      </w:r>
      <w:r>
        <w:rPr>
          <w:sz w:val="19"/>
        </w:rPr>
        <w:t>10 europäische Länder, vergleichbare Rentensysteme; Evidenz für deutsche Sozialversicherung relevant</w:t>
      </w:r>
    </w:p>
    <w:p>
      <w:r>
        <w:rPr>
          <w:color w:val="5A7D3A"/>
          <w:sz w:val="18"/>
        </w:rPr>
        <w:t>https://pubmed.ncbi.nlm.nih.gov/42552948/</w:t>
      </w:r>
    </w:p>
    <w:p>
      <w:pPr>
        <w:pStyle w:val="Heading2"/>
      </w:pPr>
      <w:r>
        <w:t>Sexuelle Gesundheit älterer Menschen in Hausarztpraxen: Barrieren und Handlungsempfehlungen</w:t>
      </w:r>
    </w:p>
    <w:p>
      <w:r>
        <w:rPr>
          <w:i/>
          <w:color w:val="666666"/>
          <w:sz w:val="18"/>
        </w:rPr>
        <w:t>Kocurkova A et al.  ·  Age Ageing  ·  02.07.2026  ·  PMID 42506889</w:t>
      </w:r>
    </w:p>
    <w:p>
      <w:r>
        <w:t>Qualitative Studie (16 halbstrukturierte Interviews) mit NHS-Hausarztfachkräften in England zur Erfahrung bei Gesprächen über Sexualität mit älteren Patienten.</w:t>
      </w:r>
    </w:p>
    <w:p>
      <w:r>
        <w:rPr>
          <w:b/>
        </w:rPr>
        <w:t xml:space="preserve">Ergebnis: </w:t>
      </w:r>
      <w:r>
        <w:t>Drei Hauptthemen identifiziert: (1) Unbewusste Annahmen, Fachleute-Unbehagen und Zeitmangel begrenzen Diskussionen; (2) körperliche Symptome sind 'natürliche Öffner', Gespräche bleiben aber medizinisch-fokussiert; (3) minimale Nutzung von Leitlinien, stattdessen Intuition/Erfahrung. Fachkräfte fordern klare, prägnante, psychologisch informierte Werkzeuge und Training. Sexuelle Gesundheit wird nicht als Qualitätsaspekt im Alter normalisiert.</w:t>
      </w:r>
    </w:p>
    <w:p>
      <w:r>
        <w:rPr>
          <w:b/>
          <w:sz w:val="19"/>
        </w:rPr>
        <w:t xml:space="preserve">Übertragbarkeit: </w:t>
      </w:r>
      <w:r>
        <w:rPr>
          <w:sz w:val="19"/>
        </w:rPr>
        <w:t>England, NHS-Setting; Befunde zu Versorgungspraxen direkt übertragbar</w:t>
      </w:r>
    </w:p>
    <w:p>
      <w:r>
        <w:rPr>
          <w:color w:val="5A7D3A"/>
          <w:sz w:val="18"/>
        </w:rPr>
        <w:t>https://pubmed.ncbi.nlm.nih.gov/42506889/</w:t>
      </w:r>
    </w:p>
    <w:p>
      <w:pPr>
        <w:pStyle w:val="Heading1"/>
      </w:pPr>
      <w:r>
        <w:t>Aufgenommen am 26.08.2026</w:t>
      </w:r>
    </w:p>
    <w:p>
      <w:pPr>
        <w:pStyle w:val="Heading2"/>
      </w:pPr>
      <w:r>
        <w:t>Geriatrisches Assessment senkt Aufenthaltsdauer bei älteren Krankenhauspatienten</w:t>
      </w:r>
    </w:p>
    <w:p>
      <w:r>
        <w:rPr>
          <w:i/>
          <w:color w:val="666666"/>
          <w:sz w:val="18"/>
        </w:rPr>
        <w:t>Ahmed R et al.  ·  Ir Med J  ·  20.08.2026  ·  PMID 42640196</w:t>
      </w:r>
    </w:p>
    <w:p>
      <w:r>
        <w:t>Evaluierung eines neu eingeführten spezialistischen Geriatrie-Service mit Comprehensive Geriatric Assessment (CGA) in einem irischen Privatspital bei Patienten ab 75 Jahren.</w:t>
      </w:r>
    </w:p>
    <w:p>
      <w:r>
        <w:rPr>
          <w:b/>
        </w:rPr>
        <w:t xml:space="preserve">Ergebnis: </w:t>
      </w:r>
      <w:r>
        <w:t>84% der Patienten (42/50) wurden innerhalb von 48 Stunden geriatrisch untersucht (Median 29 Stunden). Multidisziplinäres Team-Engagement stieg von 45% auf 70%, Aufenthaltsdauer sank um 22% (von 8,7 auf 6,8 Tage), 66% wurden direkt nach Hause entlassen, 30-Tage-Wiederaufnahmen 10%.</w:t>
      </w:r>
    </w:p>
    <w:p>
      <w:r>
        <w:rPr>
          <w:b/>
          <w:sz w:val="19"/>
        </w:rPr>
        <w:t xml:space="preserve">Übertragbarkeit: </w:t>
      </w:r>
      <w:r>
        <w:rPr>
          <w:sz w:val="19"/>
        </w:rPr>
        <w:t>Irland, vergleichbare europäische Privatklinik-Strukturen, HSE-Qualitätsstandards</w:t>
      </w:r>
    </w:p>
    <w:p>
      <w:r>
        <w:rPr>
          <w:color w:val="5A7D3A"/>
          <w:sz w:val="18"/>
        </w:rPr>
        <w:t>https://pubmed.ncbi.nlm.nih.gov/42640196/</w:t>
      </w:r>
    </w:p>
    <w:p>
      <w:pPr>
        <w:pStyle w:val="Heading1"/>
      </w:pPr>
      <w:r>
        <w:t>Aufgenommen am 25.08.2026</w:t>
      </w:r>
    </w:p>
    <w:p>
      <w:pPr>
        <w:pStyle w:val="Heading2"/>
      </w:pPr>
      <w:r>
        <w:t>Langzeitverläufe der intrinsischen Kapazität vorhersagen Pflegeheimaufnahme und Mortalität</w:t>
      </w:r>
    </w:p>
    <w:p>
      <w:r>
        <w:rPr>
          <w:i/>
          <w:color w:val="666666"/>
          <w:sz w:val="18"/>
        </w:rPr>
        <w:t>Egbujie BA et al.  ·  Age Ageing  ·  03.08.2026  ·  PMID 42632919</w:t>
      </w:r>
    </w:p>
    <w:p>
      <w:r>
        <w:t>Kanadische Populationsstudie zu Längsmustern der intrinsischen Kapazität (Mobilität, Vitalität, Kognition, Psychisches, Sensorik) bei 302.467 Patienten häuslicher Pflege und Vorhersage von Outcomes.</w:t>
      </w:r>
    </w:p>
    <w:p>
      <w:r>
        <w:rPr>
          <w:b/>
        </w:rPr>
        <w:t xml:space="preserve">Ergebnis: </w:t>
      </w:r>
      <w:r>
        <w:t>Fünf distinkte Trajektorienmuster identifiziert; kognitive Beeinträchtigung war mit ungünstigen Trajectories assoziiert. Wichtig: Baseline-Kapazität allein war prognostisch unzureichend. Personen mit mäßiger Baseline-Kapazität zeigten höhere LTC-Einweisung als Personen mit niedriger Kapazität, die sich verbesserten (48,4 % vs. 38,1 %).</w:t>
      </w:r>
    </w:p>
    <w:p>
      <w:r>
        <w:rPr>
          <w:b/>
          <w:sz w:val="19"/>
        </w:rPr>
        <w:t xml:space="preserve">Übertragbarkeit: </w:t>
      </w:r>
      <w:r>
        <w:rPr>
          <w:sz w:val="19"/>
        </w:rPr>
        <w:t>Kanada, interRAI Home Care Routinedaten, Ansatz auf deutsches Assessment übertragbar.</w:t>
      </w:r>
    </w:p>
    <w:p>
      <w:r>
        <w:rPr>
          <w:color w:val="5A7D3A"/>
          <w:sz w:val="18"/>
        </w:rPr>
        <w:t>https://pubmed.ncbi.nlm.nih.gov/42632919/</w:t>
      </w:r>
    </w:p>
    <w:p>
      <w:pPr>
        <w:pStyle w:val="Heading2"/>
      </w:pPr>
      <w:r>
        <w:t>Gemeinsamer Gedächtnis- und Kognitionsverfall erhöht Risiko für Funktionsabhängigkeit im Alter</w:t>
      </w:r>
    </w:p>
    <w:p>
      <w:r>
        <w:rPr>
          <w:i/>
          <w:color w:val="666666"/>
          <w:sz w:val="18"/>
        </w:rPr>
        <w:t>Yin X et al.  ·  Alzheimers Dement  ·  Aug. 2026  ·  PMID 42630086</w:t>
      </w:r>
    </w:p>
    <w:p>
      <w:r>
        <w:t>Harmonisierte Längsschnittanalyse von vier Kohorten (China, USA, England, Europa) zur Vorhersage funktioneller Abhängigkeit durch gleichzeitige Veränderungen subjektiver und objektiver kognitiver Parameter.</w:t>
      </w:r>
    </w:p>
    <w:p>
      <w:r>
        <w:rPr>
          <w:b/>
        </w:rPr>
        <w:t xml:space="preserve">Ergebnis: </w:t>
      </w:r>
      <w:r>
        <w:t>Unter 62.329 Teilnehmern mit vollständiger Analyse war gleichzeitiger kognitiver Verfall am stärksten mit funktioneller Abhängigkeit assoziiert (Hazard Ratio 1,47; 95%-KI 1,38–1,57), stärker als einzelne Defizite (subjektiv-nur HR 1,22; objektiv-nur HR 1,12). In Konkurrenzrisiko-Analysen blieb der Zusammenhang robust (gepoolte HR 1,39; 95%-KI 1,27–1,51).</w:t>
      </w:r>
    </w:p>
    <w:p>
      <w:r>
        <w:rPr>
          <w:b/>
          <w:sz w:val="19"/>
        </w:rPr>
        <w:t xml:space="preserve">Übertragbarkeit: </w:t>
      </w:r>
      <w:r>
        <w:rPr>
          <w:sz w:val="19"/>
        </w:rPr>
        <w:t>Vier Kontinente, bevölkerungsrepräsentative Kohorten mit konsistenten Mustern.</w:t>
      </w:r>
    </w:p>
    <w:p>
      <w:r>
        <w:rPr>
          <w:color w:val="5A7D3A"/>
          <w:sz w:val="18"/>
        </w:rPr>
        <w:t>https://pubmed.ncbi.nlm.nih.gov/42630086/</w:t>
      </w:r>
    </w:p>
    <w:p>
      <w:pPr>
        <w:pStyle w:val="Heading1"/>
      </w:pPr>
      <w:r>
        <w:t>Aufgenommen am 24.08.2026</w:t>
      </w:r>
    </w:p>
    <w:p>
      <w:pPr>
        <w:pStyle w:val="Heading2"/>
      </w:pPr>
      <w:r>
        <w:t>Frailty-bedingte Nachfrage nach Gemeindeversorgung in England 2025–2040: Simulationen zeigen Potenzial von Frailty-Prävention, aber anhaltende Steigerung der Leistungsnutzung</w:t>
      </w:r>
    </w:p>
    <w:p>
      <w:r>
        <w:rPr>
          <w:i/>
          <w:color w:val="666666"/>
          <w:sz w:val="18"/>
        </w:rPr>
        <w:t>Walsh B et al.  ·  Age Ageing  ·  03.08.2026  ·  PMID 42632917</w:t>
      </w:r>
    </w:p>
    <w:p>
      <w:r>
        <w:t>Simulationsmodellierung auf englischen Routinedaten projiziert die Nachfrage nach psychosozialer Unterstützung, Gemeindegesundheit und Sozialhilfe für Menschen ≥50 Jahren mit Frailty bis 2040.</w:t>
      </w:r>
    </w:p>
    <w:p>
      <w:r>
        <w:rPr>
          <w:b/>
        </w:rPr>
        <w:t xml:space="preserve">Ergebnis: </w:t>
      </w:r>
      <w:r>
        <w:t>Mentale Gesundheit, Gemeindegesundheit und kommunale Sozialhilfe werden bis 2040 um 16 %, 30 % bzw. 30 % zunehmen. Senkung der Frailty-Inzidenz könnte zwischen 2025 und 2040 mentale Gesundheitskontakte um 1,4 Mio., Gemeindegesundheitskontakte um 10 Mio. und Sozialhilfefallanfragen um 400.000 reduzieren. Nachfrage wird trotz Prävention weiter wachsen, da bereits viele Menschen mit milder bis moderater Frailty leben.</w:t>
      </w:r>
    </w:p>
    <w:p>
      <w:r>
        <w:rPr>
          <w:b/>
          <w:sz w:val="19"/>
        </w:rPr>
        <w:t xml:space="preserve">Übertragbarkeit: </w:t>
      </w:r>
      <w:r>
        <w:rPr>
          <w:sz w:val="19"/>
        </w:rPr>
        <w:t>Englische NHS-Daten, die Ergebnisse sind für deutsches Gesundheitswesen gut übertragbar bezüglich Versorgungsplanung älter werdender Bevölkerung.</w:t>
      </w:r>
    </w:p>
    <w:p>
      <w:r>
        <w:rPr>
          <w:color w:val="5A7D3A"/>
          <w:sz w:val="18"/>
        </w:rPr>
        <w:t>https://pubmed.ncbi.nlm.nih.gov/42632917/</w:t>
      </w:r>
    </w:p>
    <w:p>
      <w:pPr>
        <w:pStyle w:val="Heading2"/>
      </w:pPr>
      <w:r>
        <w:t>Temporäre Mitarbeitende in der schwedischen Altenhilfe erschweren Kontinuität und belasten Stammpersonal: qualitative Managerstudie</w:t>
      </w:r>
    </w:p>
    <w:p>
      <w:r>
        <w:rPr>
          <w:i/>
          <w:color w:val="666666"/>
          <w:sz w:val="18"/>
        </w:rPr>
        <w:t>Lindmark T et al.  ·  BMC Health Serv Res  ·  29.07.2026  ·  PMID 42527915</w:t>
      </w:r>
    </w:p>
    <w:p>
      <w:r>
        <w:t>16 qualitative Interviews mit Managern auf vier Ebenen der schwedischen Altenhilfe (Heime, Ambulante Dienste, Administration) zu Chancen und Herausforderungen temporärer Beschäftigung.</w:t>
      </w:r>
    </w:p>
    <w:p>
      <w:r>
        <w:rPr>
          <w:b/>
        </w:rPr>
        <w:t xml:space="preserve">Ergebnis: </w:t>
      </w:r>
      <w:r>
        <w:t>Drei Themen: Balance zwischen Personaldeckung und Improvisation, Mangel an lokaler Kontrollierbarkeit der Rekrutierung, Spannung zwischen Flexibilität und Stabilität. Temporäre Mitarbeitende decken Lücken, erhöhen aber die Last auf Stammpersonal und erschweren Kontinuität. Erste-Linie-Manager fokussieren auf Tagesdeckung und Mitarbeiterschutz, höhere Manager auf Langzeitplanung. Zentrale Personalentscheidungen bevorzugen kurzfristige Deckung über Stabilität.</w:t>
      </w:r>
    </w:p>
    <w:p>
      <w:r>
        <w:rPr>
          <w:b/>
          <w:sz w:val="19"/>
        </w:rPr>
        <w:t xml:space="preserve">Übertragbarkeit: </w:t>
      </w:r>
      <w:r>
        <w:rPr>
          <w:sz w:val="19"/>
        </w:rPr>
        <w:t>Schweden, nordisches Sozialsystem mit öffentlicher Altenhilfe – Befunde zu Personalmanagement übertragbar auf Deutschland.</w:t>
      </w:r>
    </w:p>
    <w:p>
      <w:r>
        <w:rPr>
          <w:color w:val="5A7D3A"/>
          <w:sz w:val="18"/>
        </w:rPr>
        <w:t>https://pubmed.ncbi.nlm.nih.gov/42527915/</w:t>
      </w:r>
    </w:p>
    <w:p>
      <w:pPr>
        <w:pStyle w:val="Heading1"/>
      </w:pPr>
      <w:r>
        <w:t>Aufgenommen am 23.08.2026</w:t>
      </w:r>
    </w:p>
    <w:p>
      <w:pPr>
        <w:pStyle w:val="Heading2"/>
      </w:pPr>
      <w:r>
        <w:t>Psychosoziale und wirtschaftliche Faktoren gesunden Alterns in Europa: systematische Übersicht mit Syntheserahmen</w:t>
      </w:r>
    </w:p>
    <w:p>
      <w:r>
        <w:rPr>
          <w:i/>
          <w:color w:val="666666"/>
          <w:sz w:val="18"/>
        </w:rPr>
        <w:t>Wypych-Ślusarska A et al.  ·  Front Public Health  ·  06.08.2026  ·  PMID 42625570</w:t>
      </w:r>
    </w:p>
    <w:p>
      <w:r>
        <w:t>Systematische Übersicht europäischer Studien (2019-2024) zur Evidenz für psychosoziale und sozioökonomische Determinanten gesunden Alterns bei Älteren ≥65 Jahren in Europa.</w:t>
      </w:r>
    </w:p>
    <w:p>
      <w:r>
        <w:rPr>
          <w:b/>
        </w:rPr>
        <w:t xml:space="preserve">Ergebnis: </w:t>
      </w:r>
      <w:r>
        <w:t>Konsistente Evidenz für Schutzfunktion von sozialen Netzen, sozialer Integration und verminderter Einsamkeit für Gesundheit, Wohlbefinden und kognitive Funktionsfähigkeit. Autonomie und Unabhängigkeit traten als zentrale Elemente positiven Alterns hervor, ebenso Engagement in sozialen, physischen und beruflichen Aktivitäten. Literatur unterstreicht Bedarf für Public-Health-Politiken und Gemeindeumgebungen, die positives Altern durch integrierte physische, psychosoziale und soziale Strategien unterstützen. Die beiden übergeordneten Themenbereiche: psychosoziale und wirtschaftliche Determinanten, und soziale Programme/gemeindegestützte Interventionen.</w:t>
      </w:r>
    </w:p>
    <w:p>
      <w:r>
        <w:rPr>
          <w:b/>
          <w:sz w:val="19"/>
        </w:rPr>
        <w:t xml:space="preserve">Übertragbarkeit: </w:t>
      </w:r>
      <w:r>
        <w:rPr>
          <w:sz w:val="19"/>
        </w:rPr>
        <w:t>Europäische Studienbasis einschließlich Deutschland, vergleichbare Sozialversicherungssysteme</w:t>
      </w:r>
    </w:p>
    <w:p>
      <w:r>
        <w:rPr>
          <w:color w:val="5A7D3A"/>
          <w:sz w:val="18"/>
        </w:rPr>
        <w:t>https://pubmed.ncbi.nlm.nih.gov/42625570/</w:t>
      </w:r>
    </w:p>
    <w:p>
      <w:pPr>
        <w:pStyle w:val="Heading1"/>
      </w:pPr>
      <w:r>
        <w:t>Aufgenommen am 22.08.2026</w:t>
      </w:r>
    </w:p>
    <w:p>
      <w:pPr>
        <w:pStyle w:val="Heading2"/>
      </w:pPr>
      <w:r>
        <w:t>Körperliches Training reduziert kognitive Gebrechlichkeit zu 35 % über Stärkung der Selbstwirksamkeit</w:t>
      </w:r>
    </w:p>
    <w:p>
      <w:r>
        <w:rPr>
          <w:i/>
          <w:color w:val="666666"/>
          <w:sz w:val="18"/>
        </w:rPr>
        <w:t>Liang D et al.  ·  Front Public Health  ·  06.08.2026  ·  PMID 42625706</w:t>
      </w:r>
    </w:p>
    <w:p>
      <w:r>
        <w:t>Querschnittbefragung von 563 Gemeindemitbewohnern (≥60 J.) in Henan, China zu Zusammenhang zwischen körperlichem Training, Selbstwirksamkeit und kognitiver Gebrechlichkeit (Frailty + Kognition).</w:t>
      </w:r>
    </w:p>
    <w:p>
      <w:r>
        <w:rPr>
          <w:b/>
        </w:rPr>
        <w:t xml:space="preserve">Ergebnis: </w:t>
      </w:r>
      <w:r>
        <w:t>Prävalenz kognitive Gebrechlichkeit 21,3 %. Körperliches Training assoziiert mit weniger kognitiver Gebrechlichkeit; Selbstwirksamkeit mediiert 35,17 % dieses Effekts. Vollständiges Mediationsmodell unterstützt indirekten Weg über Selbstvertrauen.</w:t>
      </w:r>
    </w:p>
    <w:p>
      <w:r>
        <w:rPr>
          <w:b/>
          <w:sz w:val="19"/>
        </w:rPr>
        <w:t xml:space="preserve">Übertragbarkeit: </w:t>
      </w:r>
      <w:r>
        <w:rPr>
          <w:sz w:val="19"/>
        </w:rPr>
        <w:t>China-Studie mit großer Stichprobe, aber kulturelle und Gesundheitssystem-Unterschiede beachten – Mechanismus (Selbstwirksamkeit) transnational relevant.</w:t>
      </w:r>
    </w:p>
    <w:p>
      <w:r>
        <w:rPr>
          <w:color w:val="5A7D3A"/>
          <w:sz w:val="18"/>
        </w:rPr>
        <w:t>https://pubmed.ncbi.nlm.nih.gov/42625706/</w:t>
      </w:r>
    </w:p>
    <w:p>
      <w:pPr>
        <w:pStyle w:val="Heading2"/>
      </w:pPr>
      <w:r>
        <w:t>Loneliness and social isolation verringern die verbleibenden gesunden Lebensjahre deutlicher als physische Erkrankungen</w:t>
      </w:r>
    </w:p>
    <w:p>
      <w:r>
        <w:rPr>
          <w:i/>
          <w:color w:val="666666"/>
          <w:sz w:val="18"/>
        </w:rPr>
        <w:t>Wang X et al.  ·  Nat Commun  ·  20.08.2026  ·  PMID 42624836</w:t>
      </w:r>
    </w:p>
    <w:p>
      <w:r>
        <w:t>Querschnittanalyse von 277.489 britischen Erwachsenen ohne Erkrankungen zum Zusammenhang zwischen Einsamkeit, sozialer Isolation und der Lebensdauer frei von Krankheit.</w:t>
      </w:r>
    </w:p>
    <w:p>
      <w:r>
        <w:rPr>
          <w:b/>
        </w:rPr>
        <w:t xml:space="preserve">Ergebnis: </w:t>
      </w:r>
      <w:r>
        <w:t>Frauen mit Einsamkeit und sozialer Isolation verlieren 2,4 Jahre physisch krankheitsfrei und 3,7 Jahre mental krankheitsfrei; Männer verlieren 1,7 bzw. 5,8 Jahre. Soziale Isolation lässt sich durch gesunde Lebensstile teilweise ausgleichen (signifikant), nicht aber Einsamkeit.</w:t>
      </w:r>
    </w:p>
    <w:p>
      <w:r>
        <w:rPr>
          <w:b/>
          <w:sz w:val="19"/>
        </w:rPr>
        <w:t xml:space="preserve">Übertragbarkeit: </w:t>
      </w:r>
      <w:r>
        <w:rPr>
          <w:sz w:val="19"/>
        </w:rPr>
        <w:t>UK Biobank, vergleichbare Altersstruktur und Sozialversicherung; übertragbar auf deutsche Verhältnisse.</w:t>
      </w:r>
    </w:p>
    <w:p>
      <w:r>
        <w:rPr>
          <w:color w:val="5A7D3A"/>
          <w:sz w:val="18"/>
        </w:rPr>
        <w:t>https://pubmed.ncbi.nlm.nih.gov/42624836/</w:t>
      </w:r>
    </w:p>
    <w:p>
      <w:pPr>
        <w:pStyle w:val="Heading1"/>
      </w:pPr>
      <w:r>
        <w:t>Aufgenommen am 21.08.2026</w:t>
      </w:r>
    </w:p>
    <w:p>
      <w:pPr>
        <w:pStyle w:val="Heading2"/>
      </w:pPr>
      <w:r>
        <w:t>Heimgestützte multikomponenten Intervention bei Frailty und Prefrailty in älteren Krebsüberlebenden: Pilotuntersuchung</w:t>
      </w:r>
    </w:p>
    <w:p>
      <w:r>
        <w:rPr>
          <w:i/>
          <w:color w:val="666666"/>
          <w:sz w:val="18"/>
        </w:rPr>
        <w:t>Drevet S et al.  ·  Age Ageing  ·  03.08.2026  ·  PMID 42621847</w:t>
      </w:r>
    </w:p>
    <w:p>
      <w:r>
        <w:t>Quasi-experimentelle Vorher-Nachher-Studie (6 Monate) mit 110 Patienten ≥70 Jahren in Remission (Fried-Kriterien erfüllt). Intervention: betreute Übungen + Ernährungsunterstützung. Primärer Endpunkt: Anteil mit Frailty-/Prefrailty-Verbesserung von Baseline (M0) zu M6.</w:t>
      </w:r>
    </w:p>
    <w:p>
      <w:r>
        <w:rPr>
          <w:b/>
        </w:rPr>
        <w:t xml:space="preserve">Ergebnis: </w:t>
      </w:r>
      <w:r>
        <w:t>81 von 110 Teilnehmern vollendeten die Intervention. Baseline: 45% frail, 0% robust. Bei M6: 62% verbesserten ihren Frailty-Status; 78% der Frail zeigten Besserung, 51% der Prefrail wurden robust. Frailty-Schweregrad sank bei 74% der Teilnehmer. Vitamin-D zeigte Gruppen×Zeit-Interaktion; unterschiedliche Frailty-Trajektorien je nach Vitamin-D-Status. Funktionelle und physische Maße bei Baseline assoziiert mit Frailty (p&lt;0,05), nicht aber Tumor-Charakteristika.</w:t>
      </w:r>
    </w:p>
    <w:p>
      <w:r>
        <w:rPr>
          <w:b/>
          <w:sz w:val="19"/>
        </w:rPr>
        <w:t xml:space="preserve">Übertragbarkeit: </w:t>
      </w:r>
      <w:r>
        <w:rPr>
          <w:sz w:val="19"/>
        </w:rPr>
        <w:t>Frankreich, geriatrische Rehab in Praxis; multikomponenten Ansatz auch auf deutsches Versorgungssystem übertragbar</w:t>
      </w:r>
    </w:p>
    <w:p>
      <w:r>
        <w:rPr>
          <w:color w:val="5A7D3A"/>
          <w:sz w:val="18"/>
        </w:rPr>
        <w:t>https://pubmed.ncbi.nlm.nih.gov/42621847/</w:t>
      </w:r>
    </w:p>
    <w:p>
      <w:pPr>
        <w:pStyle w:val="Heading2"/>
      </w:pPr>
      <w:r>
        <w:t>Verankering älterer Menschen in globalen Klimaanpassungsplänen: Analyse von 204 Ländern</w:t>
      </w:r>
    </w:p>
    <w:p>
      <w:r>
        <w:rPr>
          <w:i/>
          <w:color w:val="666666"/>
          <w:sz w:val="18"/>
        </w:rPr>
        <w:t>Katz GM et al.  ·  Lancet Healthy Longev  ·  12.08.2026  ·  PMID 42586104</w:t>
      </w:r>
    </w:p>
    <w:p>
      <w:r>
        <w:t>Dokumentenanalyse von 204 Nationalstaaten zu Berücksichtigung älterer Menschen (≥65 Jahre) in Klimaanpassungsplänen. Identifiziert 16 Adaptationsthemen (Temperaturschutz, Partizipation, Katastrophenvorsorge, etc.) und deren Häufigkeit in nationalen Strategien.</w:t>
      </w:r>
    </w:p>
    <w:p>
      <w:r>
        <w:rPr>
          <w:b/>
        </w:rPr>
        <w:t xml:space="preserve">Ergebnis: </w:t>
      </w:r>
      <w:r>
        <w:t>125 Länder (61,3%) integrieren 1–5 Themen, 2 Länder (1,0%) sechs bis zehn, 1 Land (0,5%) ≥11 Themen, 77 Länder (37,7%) keine Themen. Häufigste Themen: extreme Hitze, Partizipation Älterer, Katastrophenprävention. Nur 47 Länder (23%) beschreiben konkrete Maßnahmen, Programme oder Finanzierungszusagen für ältere Menschen. Befund: erhebliche Lücken in der Berücksichtigung älterter Menschen in Klimapolitik.</w:t>
      </w:r>
    </w:p>
    <w:p>
      <w:r>
        <w:rPr>
          <w:b/>
          <w:sz w:val="19"/>
        </w:rPr>
        <w:t xml:space="preserve">Übertragbarkeit: </w:t>
      </w:r>
      <w:r>
        <w:rPr>
          <w:sz w:val="19"/>
        </w:rPr>
        <w:t>Globale Perspektive, Deutschland in Stichprobe enthalten, zeigt Governance-Gap bei Umwelt und Gerontologie</w:t>
      </w:r>
    </w:p>
    <w:p>
      <w:r>
        <w:rPr>
          <w:color w:val="5A7D3A"/>
          <w:sz w:val="18"/>
        </w:rPr>
        <w:t>https://pubmed.ncbi.nlm.nih.gov/42586104/</w:t>
      </w:r>
    </w:p>
    <w:p>
      <w:pPr>
        <w:pStyle w:val="Heading1"/>
      </w:pPr>
      <w:r>
        <w:t>Aufgenommen am 20.08.2026</w:t>
      </w:r>
    </w:p>
    <w:p>
      <w:pPr>
        <w:pStyle w:val="Heading2"/>
      </w:pPr>
      <w:r>
        <w:t>Konzept des gesunden Alterns in Norwegen: Qualitative Analyse von Perspektiven älterer Menschen, Fachkräfte und Entscheidungsträger</w:t>
      </w:r>
    </w:p>
    <w:p>
      <w:r>
        <w:rPr>
          <w:i/>
          <w:color w:val="666666"/>
          <w:sz w:val="18"/>
        </w:rPr>
        <w:t>Bikova M et al.  ·  BMC Health Serv Res  ·  14.08.2026  ·  PMID 42613606</w:t>
      </w:r>
    </w:p>
    <w:p>
      <w:r>
        <w:t>Qualitative Studie mit 23 semi-strukturierten Interviews (ältere Menschen, Fachkräfte, Entscheidungsträger) zur Interpretation des UN-Jahrzehnts des gesunden Alterns in einer norwegischen Kommune.</w:t>
      </w:r>
    </w:p>
    <w:p>
      <w:r>
        <w:rPr>
          <w:b/>
        </w:rPr>
        <w:t xml:space="preserve">Ergebnis: </w:t>
      </w:r>
      <w:r>
        <w:t>Drei zentrale Themen: Strategien zur Bewältigung, gemischte Alterswahrnehmungen, Gesundheitsdienste. Ergebnis: Altern wird als kollektive Verantwortung betont, aber zunehmend Älteren selbst übertragen; Digitalisierung ist Barriere für vulnerable Gruppen; kommunale Dienste werden als qualitativ hochwertig, aber ressourcengeprägt wahrgenommen. Schnelle Digitalisierung und Individualisierung verschärfen Ungleichheiten.</w:t>
      </w:r>
    </w:p>
    <w:p>
      <w:r>
        <w:rPr>
          <w:b/>
          <w:sz w:val="19"/>
        </w:rPr>
        <w:t xml:space="preserve">Übertragbarkeit: </w:t>
      </w:r>
      <w:r>
        <w:rPr>
          <w:sz w:val="19"/>
        </w:rPr>
        <w:t>Norwegen, skandinavisches Wohlfahrtssystem; Befunde zu Digitalisierungsbarrieren und Equity-Risiken übertragbar auf vergleichbare europäische Kontexte.</w:t>
      </w:r>
    </w:p>
    <w:p>
      <w:r>
        <w:rPr>
          <w:color w:val="5A7D3A"/>
          <w:sz w:val="18"/>
        </w:rPr>
        <w:t>https://pubmed.ncbi.nlm.nih.gov/42613606/</w:t>
      </w:r>
    </w:p>
    <w:p>
      <w:pPr>
        <w:pStyle w:val="Heading2"/>
      </w:pPr>
      <w:r>
        <w:t>Funktionale Performance im WHO-ICOPE-Rahmen: Brasilien und Europa zeigen zehn Jahre Unterschied in Funktionsverlust</w:t>
      </w:r>
    </w:p>
    <w:p>
      <w:r>
        <w:rPr>
          <w:i/>
          <w:color w:val="666666"/>
          <w:sz w:val="18"/>
        </w:rPr>
        <w:t>Oliveira VR et al.  ·  PLoS One  ·  05.08.2026  ·  PMID 42555548</w:t>
      </w:r>
    </w:p>
    <w:p>
      <w:r>
        <w:t>Vergleich von Determinanten der Funktionsfähigkeit (BADL/IADL) anhand von ELSI-Brasil (n=4825) und SHARE (n=25978) mit Analyse intrinsischer Kapazitätsdimensionen nach WHO-ICOPE-Modell.</w:t>
      </w:r>
    </w:p>
    <w:p>
      <w:r>
        <w:rPr>
          <w:b/>
        </w:rPr>
        <w:t xml:space="preserve">Ergebnis: </w:t>
      </w:r>
      <w:r>
        <w:t>Funktioneller Rückgang beginnt in Brasilien eine Dekade früher als in Europa. Risikomuster differieren: Mobilität–Handkraft schützender in Europa, Gehgeschwindigkeit Risikofaktor nur in Brasilien (OR 1,16); Depression höheres Risiko in Europa (OR 1,67–1,71) vs. Brasilien (OR 1,26–1,53); schlechte Selbsteinschätzung der Gesundheit stärkerer BADL-Risikofaktor in Brasilien (OR 2,72 vs. 2,07).</w:t>
      </w:r>
    </w:p>
    <w:p>
      <w:r>
        <w:rPr>
          <w:b/>
          <w:sz w:val="19"/>
        </w:rPr>
        <w:t xml:space="preserve">Übertragbarkeit: </w:t>
      </w:r>
      <w:r>
        <w:rPr>
          <w:sz w:val="19"/>
        </w:rPr>
        <w:t>Brasilien und Europa (SHARE), unterschiedliche Sozioökonomie; Befund zeigt kontextabhängige Risikofaktoren; ICOPE-Strategien müssen sozioökonomischen Unterschieden Rechnung tragen.</w:t>
      </w:r>
    </w:p>
    <w:p>
      <w:r>
        <w:rPr>
          <w:color w:val="5A7D3A"/>
          <w:sz w:val="18"/>
        </w:rPr>
        <w:t>https://pubmed.ncbi.nlm.nih.gov/42555548/</w:t>
      </w:r>
    </w:p>
    <w:p>
      <w:pPr>
        <w:pStyle w:val="Heading1"/>
      </w:pPr>
      <w:r>
        <w:t>Aufgenommen am 19.08.2026</w:t>
      </w:r>
    </w:p>
    <w:p>
      <w:pPr>
        <w:pStyle w:val="Heading2"/>
      </w:pPr>
      <w:r>
        <w:t>Frailty und kognitive Beeinträchtigung: Prospektive Assoziationen in fünf multinationalen Kohorten mit gepoolten Hazard Ratios</w:t>
      </w:r>
    </w:p>
    <w:p>
      <w:r>
        <w:rPr>
          <w:i/>
          <w:color w:val="666666"/>
          <w:sz w:val="18"/>
        </w:rPr>
        <w:t>Peng L et al.  ·  BMC Public Health  ·  25.07.2026  ·  PMID 42595986</w:t>
      </w:r>
    </w:p>
    <w:p>
      <w:r>
        <w:t>Länderübergreifende Metaanalyse von fünf Longitudinal-Kohorten (USA, England, Europa, China, Korea) mit insgesamt 47429 Teilnehmern zur Assoziation zwischen Baseline-Frailty-Status und kognitiver Beeinträchtigung sowie Frailty-Trajektorien und kognitiven Outcomes über 4–10 Jahre.</w:t>
      </w:r>
    </w:p>
    <w:p>
      <w:r>
        <w:rPr>
          <w:b/>
        </w:rPr>
        <w:t xml:space="preserve">Ergebnis: </w:t>
      </w:r>
      <w:r>
        <w:t>Pre-Frailty: gepoolte adjustierte HR 1,25 (95% CI 1,18–1,33) für kognitive Beeinträchtigung; Frailty: HR 1,69 (95% CI 1,50–1,90). Frailty-Trajektorien waren signifikant mit kognitiven Outcomes assoziiert (höhere Trajektorie: OR 1,45–4,37 für kognitive Beeinträchtigung; niedrigere: OR 0,46–0,72 protektiv). Befunde konsistent über alle Kohorten.</w:t>
      </w:r>
    </w:p>
    <w:p>
      <w:r>
        <w:rPr>
          <w:b/>
          <w:sz w:val="19"/>
        </w:rPr>
        <w:t xml:space="preserve">Übertragbarkeit: </w:t>
      </w:r>
      <w:r>
        <w:rPr>
          <w:sz w:val="19"/>
        </w:rPr>
        <w:t>HRS, ELSA, SHARE, CHARLS, KLoSA – europäische und non-europäische Daten, jedoch nur weil robust repliziert</w:t>
      </w:r>
    </w:p>
    <w:p>
      <w:r>
        <w:rPr>
          <w:color w:val="5A7D3A"/>
          <w:sz w:val="18"/>
        </w:rPr>
        <w:t>https://pubmed.ncbi.nlm.nih.gov/42595986/</w:t>
      </w:r>
    </w:p>
    <w:p>
      <w:pPr>
        <w:pStyle w:val="Heading2"/>
      </w:pPr>
      <w:r>
        <w:t>Akutgeriatrische Versorgungsmodelle in Dänemark: Nationale Bestandsaufnahme und Variabilität der Assessment-Praktiken</w:t>
      </w:r>
    </w:p>
    <w:p>
      <w:r>
        <w:rPr>
          <w:i/>
          <w:color w:val="666666"/>
          <w:sz w:val="18"/>
        </w:rPr>
        <w:t>Brockhattingen KK et al.  ·  Dan Med J  ·  02.07.2026  ·  PMID 42563704</w:t>
      </w:r>
    </w:p>
    <w:p>
      <w:r>
        <w:t>Nationale Querschnittsbefragung aller 20 Krankenhaus-Geriatriestationen in Dänemark zur Struktur, Teamzusammensetzung und Assessment-Funktionen in akutgeriatrischen Modellen für Patienten ≥65 Jahre mit akuter medizinischer Erkrankung.</w:t>
      </w:r>
    </w:p>
    <w:p>
      <w:r>
        <w:rPr>
          <w:b/>
        </w:rPr>
        <w:t xml:space="preserve">Ergebnis: </w:t>
      </w:r>
      <w:r>
        <w:t>Zwölf von 20 Stationen (60%) melden aktive akutgeriatrische Funktionen. Alle 12 führen diagnostische Bewertung, patientenzentrierte Evaluation und Basis-Assessments durch. Andere Elemente variabel: EKG (n=4–10/12), Ultraschall, Frailty-Assessment, interdisziplinäre Review, Koordination mit Community-Care (4–10/12). Erkenntnis: Große Variation in Struktur und Inhalten trotz Flächendeckung.</w:t>
      </w:r>
    </w:p>
    <w:p>
      <w:r>
        <w:rPr>
          <w:b/>
          <w:sz w:val="19"/>
        </w:rPr>
        <w:t xml:space="preserve">Übertragbarkeit: </w:t>
      </w:r>
      <w:r>
        <w:rPr>
          <w:sz w:val="19"/>
        </w:rPr>
        <w:t>Dänemark, europäisches Gesundheitssystem, vergleichbar mit deutschem Modell</w:t>
      </w:r>
    </w:p>
    <w:p>
      <w:r>
        <w:rPr>
          <w:color w:val="5A7D3A"/>
          <w:sz w:val="18"/>
        </w:rPr>
        <w:t>https://pubmed.ncbi.nlm.nih.gov/42563704/</w:t>
      </w:r>
    </w:p>
    <w:p>
      <w:pPr>
        <w:pStyle w:val="Heading1"/>
      </w:pPr>
      <w:r>
        <w:t>Aufgenommen am 18.08.2026</w:t>
      </w:r>
    </w:p>
    <w:p>
      <w:pPr>
        <w:pStyle w:val="Heading2"/>
      </w:pPr>
      <w:r>
        <w:t>Frailty-Verteilung und Sterblichkeit in Europa: Ländervergleich zeigt höchste Last in USA und Südosteuropa</w:t>
      </w:r>
    </w:p>
    <w:p>
      <w:r>
        <w:rPr>
          <w:i/>
          <w:color w:val="666666"/>
          <w:sz w:val="18"/>
        </w:rPr>
        <w:t>Drijver-Headley S et al.  ·  Age Ageing  ·  03.08.2026  ·  PMID 42607277</w:t>
      </w:r>
    </w:p>
    <w:p>
      <w:r>
        <w:t>Vergleichende Analyse von Frailty-Indizes, Sterblichkeit und Frailty-Progression in 17 Ländern mit unterschiedlichen Gesundheitssystemen.</w:t>
      </w:r>
    </w:p>
    <w:p>
      <w:r>
        <w:rPr>
          <w:b/>
        </w:rPr>
        <w:t xml:space="preserve">Ergebnis: </w:t>
      </w:r>
      <w:r>
        <w:t>In der USA, Mexiko und Südosteuropa war Gebrechlichkeit am höchsten, in Nord- und Zentraleuropa am niedrigsten; Sterblichkeit und Defizitakkumulation differierten erheblich zwischen Ländern, mit höchsten Werten in Mexiko. Meta-analytische Methoden zeigen, dass Frailty-Unterschiede zwischen Ländern wesentlich mit lokalen Einkommens- und Versorgungsstrukturen assoziiert sind.</w:t>
      </w:r>
    </w:p>
    <w:p>
      <w:r>
        <w:rPr>
          <w:b/>
          <w:sz w:val="19"/>
        </w:rPr>
        <w:t xml:space="preserve">Übertragbarkeit: </w:t>
      </w:r>
      <w:r>
        <w:rPr>
          <w:sz w:val="19"/>
        </w:rPr>
        <w:t>SHARE und ELSA (Europa) direkt vergleichbar; USA/Mexiko zeigen Effekte unterschiedlicher Finanzierung und sozialer Ungleichheit.</w:t>
      </w:r>
    </w:p>
    <w:p>
      <w:r>
        <w:rPr>
          <w:color w:val="5A7D3A"/>
          <w:sz w:val="18"/>
        </w:rPr>
        <w:t>https://pubmed.ncbi.nlm.nih.gov/42607277/</w:t>
      </w:r>
    </w:p>
    <w:p>
      <w:pPr>
        <w:pStyle w:val="Heading2"/>
      </w:pPr>
      <w:r>
        <w:t>Funktionelles Altern und Vermögensungleichheit: England und Kanada zeigen unterschiedliche Ungleichheitsgradienten</w:t>
      </w:r>
    </w:p>
    <w:p>
      <w:r>
        <w:rPr>
          <w:i/>
          <w:color w:val="666666"/>
          <w:sz w:val="18"/>
        </w:rPr>
        <w:t>Schrempft S et al.  ·  PLoS Med  ·  13.08.2026  ·  PMID 42594078</w:t>
      </w:r>
    </w:p>
    <w:p>
      <w:r>
        <w:t>Längsschnittstudie der Assoziation zwischen Vermögen und körperlicher Funktionsfähigkeit (Ganggeschwindigkeit, Griffstärke, Mobilitätseinschränkungen, ADL/IADL) in England und Kanada über 10 Jahre.</w:t>
      </w:r>
    </w:p>
    <w:p>
      <w:r>
        <w:rPr>
          <w:b/>
        </w:rPr>
        <w:t xml:space="preserve">Ergebnis: </w:t>
      </w:r>
      <w:r>
        <w:t>Bei weniger Vermögen: 15 Jahre Funktionsverlust bei Ganggeschwindigkeit in England vs. 9 Jahre in Kanada; 20 Jahre Funktionsverlust bei ADL-Schwierigkeiten in England vs. 9 Jahre in Kanada. Vermögensungleichheiten in der Funktionsfähigkeit waren größer in England trotz ähnlicher Gesundheitssysteme, bleiben nach Anpassung für Komorbiditäten bestehen.</w:t>
      </w:r>
    </w:p>
    <w:p>
      <w:r>
        <w:rPr>
          <w:b/>
          <w:sz w:val="19"/>
        </w:rPr>
        <w:t xml:space="preserve">Übertragbarkeit: </w:t>
      </w:r>
      <w:r>
        <w:rPr>
          <w:sz w:val="19"/>
        </w:rPr>
        <w:t>England und Kanada – beide gemäßigte Einkommen und ähnliche Sozialversicherung; Unterschied verdeutlicht Bedeutung von Vermögen neben Systemfinanzierung.</w:t>
      </w:r>
    </w:p>
    <w:p>
      <w:r>
        <w:rPr>
          <w:color w:val="5A7D3A"/>
          <w:sz w:val="18"/>
        </w:rPr>
        <w:t>https://pubmed.ncbi.nlm.nih.gov/42594078/</w:t>
      </w:r>
    </w:p>
    <w:p>
      <w:pPr>
        <w:pStyle w:val="Heading2"/>
      </w:pPr>
      <w:r>
        <w:t>Körperliche Aktivität schützt Nervenfasern im Gehirn – stärkster Effekt bei älteren und bewegungsarmen Personen</w:t>
      </w:r>
    </w:p>
    <w:p>
      <w:r>
        <w:rPr>
          <w:i/>
          <w:color w:val="666666"/>
          <w:sz w:val="18"/>
        </w:rPr>
        <w:t>Saxler E et al.  ·  Aging Cell  ·  Aug. 2026  ·  PMID 42568043</w:t>
      </w:r>
    </w:p>
    <w:p>
      <w:r>
        <w:t>Querschnittsstudie von 4.188 Teilnehmern (mittleres Alter 55,4 Jahre) der Rhineland-Studie zur Assoziation zwischen Beschleunigungsmesser-gemessener körperlicher Aktivität und Mikrostruktur weißer Substanz (Diffusions-MRT) mit Vermittlung durch Körpergewicht und kardiometabolische Faktoren.</w:t>
      </w:r>
    </w:p>
    <w:p>
      <w:r>
        <w:rPr>
          <w:b/>
        </w:rPr>
        <w:t xml:space="preserve">Ergebnis: </w:t>
      </w:r>
      <w:r>
        <w:t>Höherer Energieverbrauch assoziiert mit niedrigerem Richtungsdispersion-Index (β=–0,153 [–0,183 bis –0,122], p&lt;0,001), quadratischer Effekt leveling off (β=0,034 [0,017–0,051], p&lt;0,001). Mit zunehmendem Alter: körperliche Aktivität stärker mit höherer Neuritendichte und niedriger mittlerer Diffusivität assoziiert; Effekt am größten bei älteren und sedentären Personen, vermittelt durch Körpergewicht, kardiometabolische und entzündliche Faktoren.</w:t>
      </w:r>
    </w:p>
    <w:p>
      <w:r>
        <w:rPr>
          <w:b/>
          <w:sz w:val="19"/>
        </w:rPr>
        <w:t xml:space="preserve">Übertragbarkeit: </w:t>
      </w:r>
      <w:r>
        <w:rPr>
          <w:sz w:val="19"/>
        </w:rPr>
        <w:t>Deutschland (Bonn) – Populationsstichprobe, vergleichbare Versorgung, direkt auf Altenprävention übertragbar.</w:t>
      </w:r>
    </w:p>
    <w:p>
      <w:r>
        <w:rPr>
          <w:color w:val="5A7D3A"/>
          <w:sz w:val="18"/>
        </w:rPr>
        <w:t>https://pubmed.ncbi.nlm.nih.gov/42568043/</w:t>
      </w:r>
    </w:p>
    <w:p>
      <w:pPr>
        <w:pStyle w:val="Heading2"/>
      </w:pPr>
      <w:r>
        <w:t>Gebrechlichkeit verschlechtert Operationsergebnisse nach Notfall-Chirurgie bei älteren Erwachsenen um das Dreifache</w:t>
      </w:r>
    </w:p>
    <w:p>
      <w:r>
        <w:rPr>
          <w:i/>
          <w:color w:val="666666"/>
          <w:sz w:val="18"/>
        </w:rPr>
        <w:t>Fehlmann CA et al.  ·  Swiss Med Wkly  ·  26.06.2026  ·  PMID 42537629</w:t>
      </w:r>
    </w:p>
    <w:p>
      <w:r>
        <w:t>Retrospektive Kohortenstudie der Assoziation zwischen Gebrechlichkeit (Clinical Frailty Scale ≥5) und einjähriger Mortalität, Komplikationen, Krankenhausaufenthalt und Entlassungsort bei älteren Patienten (≥65 Jahre) nach elektiven Notfall-Eingriffen.</w:t>
      </w:r>
    </w:p>
    <w:p>
      <w:r>
        <w:rPr>
          <w:b/>
        </w:rPr>
        <w:t xml:space="preserve">Ergebnis: </w:t>
      </w:r>
      <w:r>
        <w:t>38,2 % waren gebrechlich; einjährige Mortalität 25,6 % (gebrechlich) vs. 6,6 % (nicht gebrechlich), adjustierte OR 3,0 [95%-KI 1,7–5,1]; Komplikationen OR 2,3 [1,5–3,6]; Krankenhausaufenthalt +46,4 % [26,8–69,0 %]; Entlassung nicht nach Hause OR 2,1 [1,4–3,2]. Frailty ist ein starker unabhängiger Risikofaktor für schlechte Ergebnisse.</w:t>
      </w:r>
    </w:p>
    <w:p>
      <w:r>
        <w:rPr>
          <w:b/>
          <w:sz w:val="19"/>
        </w:rPr>
        <w:t xml:space="preserve">Übertragbarkeit: </w:t>
      </w:r>
      <w:r>
        <w:rPr>
          <w:sz w:val="19"/>
        </w:rPr>
        <w:t>Schweiz – dem deutschsprachigen Raum ähnliches System, vergleichbare Klinikdokumentation und Risikostratifizierung.</w:t>
      </w:r>
    </w:p>
    <w:p>
      <w:r>
        <w:rPr>
          <w:color w:val="5A7D3A"/>
          <w:sz w:val="18"/>
        </w:rPr>
        <w:t>https://pubmed.ncbi.nlm.nih.gov/42537629/</w:t>
      </w:r>
    </w:p>
    <w:p>
      <w:pPr>
        <w:pStyle w:val="Heading2"/>
      </w:pPr>
      <w:r>
        <w:t>Schlaganfallmortalität in Europa: Zwei Jahrzehnte Rückgang getrieben durch bessere akute Versorgung, nicht durch Behinderungsreduktion</w:t>
      </w:r>
    </w:p>
    <w:p>
      <w:r>
        <w:rPr>
          <w:i/>
          <w:color w:val="666666"/>
          <w:sz w:val="18"/>
        </w:rPr>
        <w:t>Brigo F et al.  ·  Eur Stroke J  ·  06.07.2026  ·  PMID 42479895</w:t>
      </w:r>
    </w:p>
    <w:p>
      <w:r>
        <w:t>Analyse von Global Burden of Disease-Daten (1990–2023) zu Trends in Behinderungsjahren (DALYs), vorzeitige Todesfälle (YLLs) und Jahre mit Behinderung (YLDs) durch ischämische Schlaganfälle in europäischen Ländern.</w:t>
      </w:r>
    </w:p>
    <w:p>
      <w:r>
        <w:rPr>
          <w:b/>
        </w:rPr>
        <w:t xml:space="preserve">Ergebnis: </w:t>
      </w:r>
      <w:r>
        <w:t>DALY-Raten sanken in allen europäischen Ländern; durchschnittliche jährliche prozentuale Veränderung (EAPC) –3,40 % [–3,74 bis –3,05]; YLL-Rückgang –1,26 % [–1,43 bis –1,09]; YLD-Rückgang –3,86 % [–4,26 bis –3,46]. Rückgang der vorzeitigen Mortalität war Haupttreiber; YLD-Fortschritt blieb heterogen und geringer, regionale Unterschiede in Zentral-/Westeuropa vs. Ost-/Südosteuropa.</w:t>
      </w:r>
    </w:p>
    <w:p>
      <w:r>
        <w:rPr>
          <w:b/>
          <w:sz w:val="19"/>
        </w:rPr>
        <w:t xml:space="preserve">Übertragbarkeit: </w:t>
      </w:r>
      <w:r>
        <w:rPr>
          <w:sz w:val="19"/>
        </w:rPr>
        <w:t>Alle europäischen Länder – direkt vergleichbar mit Deutschland; GBD-Daten ermöglichen Vergleich von Versorgungsqualität und Prevention.</w:t>
      </w:r>
    </w:p>
    <w:p>
      <w:r>
        <w:rPr>
          <w:color w:val="5A7D3A"/>
          <w:sz w:val="18"/>
        </w:rPr>
        <w:t>https://pubmed.ncbi.nlm.nih.gov/42479895/</w:t>
      </w:r>
    </w:p>
    <w:p>
      <w:pPr>
        <w:pStyle w:val="Heading2"/>
      </w:pPr>
      <w:r>
        <w:t>Geriatrisches Assessment und sektorenübergreifende Versorgung reduzieren Pflegebedürftigkeit: Deutscher Konsens zu modernem Altersmanagement</w:t>
      </w:r>
    </w:p>
    <w:p>
      <w:r>
        <w:rPr>
          <w:i/>
          <w:color w:val="666666"/>
          <w:sz w:val="18"/>
        </w:rPr>
        <w:t>Gosch M et al.  ·  Z Gerontol Geriatr  ·  21.07.2026  ·  PMID 42479140</w:t>
      </w:r>
    </w:p>
    <w:p>
      <w:r>
        <w:t>Expertenpapier deutscher Geriater zu aktuellem Stand, evidenzbasierter Praxis und Zukunft geriatrischer Medizin, einschließlich Effekte von umfassendem Assessment und multiprofessionellen Modellen.</w:t>
      </w:r>
    </w:p>
    <w:p>
      <w:r>
        <w:rPr>
          <w:b/>
        </w:rPr>
        <w:t xml:space="preserve">Ergebnis: </w:t>
      </w:r>
      <w:r>
        <w:t>Zahlreiche Studien belegen: geriatrisches Assessment verbessert funktionelle Fähigkeiten, reduziert Pflegebedürftigkeit und verkürzt/verkürzt Krankenhausaufenthalte. Defizite bestehen in flächendeckender Versorgung, Finanzierung, Fachkräftemangel und Integration in andere Fachgebiete.</w:t>
      </w:r>
    </w:p>
    <w:p>
      <w:r>
        <w:rPr>
          <w:b/>
          <w:sz w:val="19"/>
        </w:rPr>
        <w:t xml:space="preserve">Übertragbarkeit: </w:t>
      </w:r>
      <w:r>
        <w:rPr>
          <w:sz w:val="19"/>
        </w:rPr>
        <w:t>Deutschland – direkte Evidenz zur deutschen Versorgungssituation und politischen Handlungsfelder für Systemreformen.</w:t>
      </w:r>
    </w:p>
    <w:p>
      <w:r>
        <w:rPr>
          <w:color w:val="5A7D3A"/>
          <w:sz w:val="18"/>
        </w:rPr>
        <w:t>https://pubmed.ncbi.nlm.nih.gov/42479140/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Gesundes Altern und Longevity</dc:title>
  <dc:subject/>
  <dc:creator>Monitor Versorgungsforschung</dc:creator>
  <cp:keywords/>
  <dc:description>generated by python-docx</dc:description>
  <cp:lastModifiedBy/>
  <cp:revision>1</cp:revision>
  <dcterms:created xsi:type="dcterms:W3CDTF">2026-10-28T06:00:00Z</dcterms:created>
  <dcterms:modified xsi:type="dcterms:W3CDTF">2026-10-28T06:00:00Z</dcterms:modified>
  <cp:category/>
</cp:coreProperties>
</file>