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22.10.2026  |  6 Studien  |  longevity.m-vf.de</w:t>
      </w:r>
    </w:p>
    <w:p>
      <w:pPr>
        <w:pStyle w:val="Heading1"/>
      </w:pPr>
      <w:r>
        <w:t>Aufgenommen am 22.10.2026</w:t>
      </w:r>
    </w:p>
    <w:p>
      <w:pPr>
        <w:pStyle w:val="Heading2"/>
      </w:pPr>
      <w:r>
        <w:t>Notfallchirurgie bei über 90-Jährigen: regionale Unterschiede in der Langzeitsterblichkeit</w:t>
      </w:r>
    </w:p>
    <w:p>
      <w:r>
        <w:rPr>
          <w:i/>
          <w:color w:val="666666"/>
          <w:sz w:val="18"/>
        </w:rPr>
        <w:t>Suh JM et al.  ·  Crit Care  ·  25.07.2026  ·  PMID 42902313</w:t>
      </w:r>
    </w:p>
    <w:p>
      <w:r>
        <w:t>Nationale bevölkerungsbasierte Kohortenstudie an 4.887 über 90-Jährigen nach Notfalloperation mit Vergleich regionaler vs. metropolitaner Versorgung in Australien.</w:t>
      </w:r>
    </w:p>
    <w:p>
      <w:r>
        <w:rPr>
          <w:b/>
        </w:rPr>
        <w:t xml:space="preserve">Ergebnis: </w:t>
      </w:r>
      <w:r>
        <w:t>ICU- und Krankenhaussterblichkeit regional nicht unterschiedlich. Nach Entlassung regional/remote wohnhafte Patienten mit höherer 5-Jahres-Mortalität (adjustierte HR 1,133, 95%-KI 1,027–1,250, p=0,013). Überlebensvorteil der Metropolen erst nach Entlassung sichtbar.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vergleichbare Gesundheitssysteme; zeigt Bedeutung regionaler Nachsorge für universelle Alterspopulation.</w:t>
      </w:r>
    </w:p>
    <w:p>
      <w:r>
        <w:rPr>
          <w:color w:val="5A7D3A"/>
          <w:sz w:val="18"/>
        </w:rPr>
        <w:t>https://pubmed.ncbi.nlm.nih.gov/42902313/</w:t>
      </w:r>
    </w:p>
    <w:p>
      <w:pPr>
        <w:pStyle w:val="Heading2"/>
      </w:pPr>
      <w:r>
        <w:t>Frühe Widrigkeiten und Lebensqualität im Alter: Langzeitfolgen für erfolgreiche Alternstrajectoria</w:t>
      </w:r>
    </w:p>
    <w:p>
      <w:r>
        <w:rPr>
          <w:i/>
          <w:color w:val="666666"/>
          <w:sz w:val="18"/>
        </w:rPr>
        <w:t>Yang K et al.  ·  BMC Geriatr  ·  24.07.2026  ·  PMID 42902202</w:t>
      </w:r>
    </w:p>
    <w:p>
      <w:r>
        <w:t>Prospektive Kohortenstudie an 3.092 älteren Chinesen, die vier Muster ungünstiger Kindheitserfahrungen mit Trajectoria gelungenen Alterns über acht Jahre verband.</w:t>
      </w:r>
    </w:p>
    <w:p>
      <w:r>
        <w:rPr>
          <w:b/>
        </w:rPr>
        <w:t xml:space="preserve">Ergebnis: </w:t>
      </w:r>
      <w:r>
        <w:t>Pervasive Adversität (OR 1,97, 95%-KI 1,10–3,83) und Haushalts-Dysfunktion (OR 1,36, 95%-KI 1,07–1,74) verbunden mit ungünstiger Trajectoria. Niedrige Schulbildung stärkster Prädiktor (OR 5,23, 95%-KI 3,84–7,13). Netzwerk-Analyse zeigte stärkere Koppelung von Kognition und chronischem Leiden in der Gruppe mit schlechterer Trajectoria.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CHARLS-Daten; begrenzte Direktübertragbarkeit auf deutsche Versorgung, psychosoziale Mechanismen aber universal.</w:t>
      </w:r>
    </w:p>
    <w:p>
      <w:r>
        <w:rPr>
          <w:color w:val="5A7D3A"/>
          <w:sz w:val="18"/>
        </w:rPr>
        <w:t>https://pubmed.ncbi.nlm.nih.gov/42902202/</w:t>
      </w:r>
    </w:p>
    <w:p>
      <w:pPr>
        <w:pStyle w:val="Heading2"/>
      </w:pPr>
      <w:r>
        <w:t>Frailty und intraoperative Hypotonie bei älteren Patienten mit Hüftfrakturchirurgie</w:t>
      </w:r>
    </w:p>
    <w:p>
      <w:r>
        <w:rPr>
          <w:i/>
          <w:color w:val="666666"/>
          <w:sz w:val="18"/>
        </w:rPr>
        <w:t>Sutthibenjakul K et al.  ·  BMC Geriatr  ·  22.07.2026  ·  PMID 42902188</w:t>
      </w:r>
    </w:p>
    <w:p>
      <w:r>
        <w:t>Retrospektive Kohortenstudie an 522 Patienten ≥65 Jahren mit modifiziertem Frailty-Index zur Assoziation mit perioperativen Blutdruckabfällen.</w:t>
      </w:r>
    </w:p>
    <w:p>
      <w:r>
        <w:rPr>
          <w:b/>
        </w:rPr>
        <w:t xml:space="preserve">Ergebnis: </w:t>
      </w:r>
      <w:r>
        <w:t>Von 522 Patienten 23,8% gebrechlich, 57,1% mit intraoperativer Hypotonie (MAP &lt;65 mmHg). Frailty war nicht unabhängig mit Auftreten der Hypotonie assoziiert (OR 0,77, 95%-KI 0,38–1,53), aber gebrechliche Patienten zeigten längere kumulative Dauer der Hypotonie (p=0,045).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Thailand, retrospektive Klinikdaten; Frailty-Assessment und perioperatives Monitoring als universelle Prinzipien übertragbar.</w:t>
      </w:r>
    </w:p>
    <w:p>
      <w:r>
        <w:rPr>
          <w:color w:val="5A7D3A"/>
          <w:sz w:val="18"/>
        </w:rPr>
        <w:t>https://pubmed.ncbi.nlm.nih.gov/42902188/</w:t>
      </w:r>
    </w:p>
    <w:p>
      <w:pPr>
        <w:pStyle w:val="Heading2"/>
      </w:pPr>
      <w:r>
        <w:t>Pflegen im Alter: Belastung, psychische Gesundheit und der Schutzeffekt sozialer Ressourcen</w:t>
      </w:r>
    </w:p>
    <w:p>
      <w:r>
        <w:rPr>
          <w:i/>
          <w:color w:val="666666"/>
          <w:sz w:val="18"/>
        </w:rPr>
        <w:t>Chaaya M et al.  ·  BMC Geriatr  ·  22.07.2026  ·  PMID 42902165</w:t>
      </w:r>
    </w:p>
    <w:p>
      <w:r>
        <w:t>Querschnittsstudie an 434 älteren Pflegepersonen im Libanon zur Assoziation zwischen Pflegebelastung und Depression/Angst sowie moderierenden Effekten.</w:t>
      </w:r>
    </w:p>
    <w:p>
      <w:r>
        <w:rPr>
          <w:b/>
        </w:rPr>
        <w:t xml:space="preserve">Ergebnis: </w:t>
      </w:r>
      <w:r>
        <w:t>36,4% mit hoher Pflegebelastung. Hohe Belastung verbunden mit um 7,65 Punkte höheren Depressionsscores (95%-KI 3,48–11,8) und 2,84 Punkte höheren Angstscores (95%-KI 0,73–4,95). Emotionale Unterstützung minderte signifikant den Belastungs-Depressionseffekt; finanzielle Ressourcen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Libanon, ungleiche Gesundheitssysteme und Rentensicherung zu Deutschland, aber Mechanismus psychischer Belastung durch informale Pflege universal relevant.</w:t>
      </w:r>
    </w:p>
    <w:p>
      <w:r>
        <w:rPr>
          <w:color w:val="5A7D3A"/>
          <w:sz w:val="18"/>
        </w:rPr>
        <w:t>https://pubmed.ncbi.nlm.nih.gov/42902165/</w:t>
      </w:r>
    </w:p>
    <w:p>
      <w:pPr>
        <w:pStyle w:val="Heading2"/>
      </w:pPr>
      <w:r>
        <w:t>Lipid-Entzündung und Frailty als gemeinsame Treiber der cardiometabolischen Multimorbidität</w:t>
      </w:r>
    </w:p>
    <w:p>
      <w:r>
        <w:rPr>
          <w:i/>
          <w:color w:val="666666"/>
          <w:sz w:val="18"/>
        </w:rPr>
        <w:t>Zhao S et al.  ·  BMC Cardiovasc Disord  ·  25.07.2026  ·  PMID 42902143</w:t>
      </w:r>
    </w:p>
    <w:p>
      <w:r>
        <w:t>Nationale Kohortenstudie an 5.779 chinesischen Erwachsenen zur gemeinsamen Assoziation von Restcholesterin-Entzündungsindex und Frailty mit neuaufgetretener Multimorbidität.</w:t>
      </w:r>
    </w:p>
    <w:p>
      <w:r>
        <w:rPr>
          <w:b/>
        </w:rPr>
        <w:t xml:space="preserve">Ergebnis: </w:t>
      </w:r>
      <w:r>
        <w:t>510 Fälle Multimorbidität über Beobachtungszeit. Hoher RCII kombiniert mit Frailty zeigte HR 2,622 (95%-KI 1,972–3,488). Kumulativer RCII mit Frailty HR 2,849 (95%-KI 2,178–3,726). Modell mit kumulativem RCII und Frailty zeigte höheres AUC als reiner RCII (0,757 vs. 0,740). Additive/multiplikative Interaktion nach voller Anpassung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CHARLS; lipidmetabolische Pathways aber transkulturelles Phänomen, Frailty-Screening in Primärversorgung universell.</w:t>
      </w:r>
    </w:p>
    <w:p>
      <w:r>
        <w:rPr>
          <w:color w:val="5A7D3A"/>
          <w:sz w:val="18"/>
        </w:rPr>
        <w:t>https://pubmed.ncbi.nlm.nih.gov/42902143/</w:t>
      </w:r>
    </w:p>
    <w:p>
      <w:pPr>
        <w:pStyle w:val="Heading2"/>
      </w:pPr>
      <w:r>
        <w:t>Wundinfektion nach Herzbypass bei gebrechlichen älteren Patienten: Risikofaktoren und Intervention</w:t>
      </w:r>
    </w:p>
    <w:p>
      <w:r>
        <w:rPr>
          <w:i/>
          <w:color w:val="666666"/>
          <w:sz w:val="18"/>
        </w:rPr>
        <w:t>Guerrieri M et al.  ·  JMIR Cardio  ·  16.10.2026  ·  PMID 42886572</w:t>
      </w:r>
    </w:p>
    <w:p>
      <w:r>
        <w:t>Retrospektive Multicenter-Studie an 467 gebrechlichen/pregebrechlichen Patienten ≥60 Jahren nach Koronarchirurgie zur Assoziation mit Wundinfektionen.</w:t>
      </w:r>
    </w:p>
    <w:p>
      <w:r>
        <w:rPr>
          <w:b/>
        </w:rPr>
        <w:t xml:space="preserve">Ergebnis: </w:t>
      </w:r>
      <w:r>
        <w:t>Wundinfektionsrate 5,6% (26/467). Im multivariaten Modell unabhängig assoziiert: Charlson-Komorbiditätsindex (OR 1,58, 95%-KI 1,25–1,99, p&lt;0,001) und Einsatz kardiopulmonaler Bypass (OR 4,89, 95%-KI 1,71–13,94, p=0,003). Komplikationsraten sonst zwischen Gruppen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andere Gesundheitsfinanzierung; Frailty-stratifizierte perioperative Risikoadjustierung aber prinzipiell übertragbar.</w:t>
      </w:r>
    </w:p>
    <w:p>
      <w:r>
        <w:rPr>
          <w:color w:val="5A7D3A"/>
          <w:sz w:val="18"/>
        </w:rPr>
        <w:t>https://pubmed.ncbi.nlm.nih.gov/42886572/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2026-10-22T06:00:00Z</dcterms:created>
  <dcterms:modified xsi:type="dcterms:W3CDTF">2026-10-22T06:00:00Z</dcterms:modified>
  <cp:category/>
</cp:coreProperties>
</file>