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Gesundes Altern und Longevity</w:t>
      </w:r>
    </w:p>
    <w:p>
      <w:r>
        <w:rPr>
          <w:i/>
          <w:color w:val="666666"/>
          <w:sz w:val="18"/>
        </w:rPr>
        <w:t>Stand: 22.10.2026  |  367 Studien  |  longevity.m-vf.de</w:t>
      </w:r>
    </w:p>
    <w:p>
      <w:pPr>
        <w:pStyle w:val="Heading1"/>
      </w:pPr>
      <w:r>
        <w:t>Aufgenommen am 22.10.2026</w:t>
      </w:r>
    </w:p>
    <w:p>
      <w:pPr>
        <w:pStyle w:val="Heading2"/>
      </w:pPr>
      <w:r>
        <w:t>Notfallchirurgie bei über 90-Jährigen: regionale Unterschiede in der Langzeitsterblichkeit</w:t>
      </w:r>
    </w:p>
    <w:p>
      <w:r>
        <w:rPr>
          <w:i/>
          <w:color w:val="666666"/>
          <w:sz w:val="18"/>
        </w:rPr>
        <w:t>Suh JM et al.  ·  Crit Care  ·  25.07.2026  ·  PMID 42902313</w:t>
      </w:r>
    </w:p>
    <w:p>
      <w:r>
        <w:t>Nationale bevölkerungsbasierte Kohortenstudie an 4.887 über 90-Jährigen nach Notfalloperation mit Vergleich regionaler vs. metropolitaner Versorgung in Australien.</w:t>
      </w:r>
    </w:p>
    <w:p>
      <w:r>
        <w:rPr>
          <w:b/>
        </w:rPr>
        <w:t xml:space="preserve">Ergebnis: </w:t>
      </w:r>
      <w:r>
        <w:t>ICU- und Krankenhaussterblichkeit regional nicht unterschiedlich. Nach Entlassung regional/remote wohnhafte Patienten mit höherer 5-Jahres-Mortalität (adjustierte HR 1,133, 95%-KI 1,027–1,250, p=0,013). Überlebensvorteil der Metropolen erst nach Entlassung sichtbar.</w:t>
      </w:r>
    </w:p>
    <w:p>
      <w:r>
        <w:rPr>
          <w:b/>
          <w:sz w:val="19"/>
        </w:rPr>
        <w:t xml:space="preserve">Übertragbarkeit: </w:t>
      </w:r>
      <w:r>
        <w:rPr>
          <w:sz w:val="19"/>
        </w:rPr>
        <w:t>Australien, vergleichbare Gesundheitssysteme; zeigt Bedeutung regionaler Nachsorge für universelle Alterspopulation.</w:t>
      </w:r>
    </w:p>
    <w:p>
      <w:r>
        <w:rPr>
          <w:color w:val="5A7D3A"/>
          <w:sz w:val="18"/>
        </w:rPr>
        <w:t>https://pubmed.ncbi.nlm.nih.gov/42902313/</w:t>
      </w:r>
    </w:p>
    <w:p>
      <w:pPr>
        <w:pStyle w:val="Heading2"/>
      </w:pPr>
      <w:r>
        <w:t>Frühe Widrigkeiten und Lebensqualität im Alter: Langzeitfolgen für erfolgreiche Alternstrajectoria</w:t>
      </w:r>
    </w:p>
    <w:p>
      <w:r>
        <w:rPr>
          <w:i/>
          <w:color w:val="666666"/>
          <w:sz w:val="18"/>
        </w:rPr>
        <w:t>Yang K et al.  ·  BMC Geriatr  ·  24.07.2026  ·  PMID 42902202</w:t>
      </w:r>
    </w:p>
    <w:p>
      <w:r>
        <w:t>Prospektive Kohortenstudie an 3.092 älteren Chinesen, die vier Muster ungünstiger Kindheitserfahrungen mit Trajectoria gelungenen Alterns über acht Jahre verband.</w:t>
      </w:r>
    </w:p>
    <w:p>
      <w:r>
        <w:rPr>
          <w:b/>
        </w:rPr>
        <w:t xml:space="preserve">Ergebnis: </w:t>
      </w:r>
      <w:r>
        <w:t>Pervasive Adversität (OR 1,97, 95%-KI 1,10–3,83) und Haushalts-Dysfunktion (OR 1,36, 95%-KI 1,07–1,74) verbunden mit ungünstiger Trajectoria. Niedrige Schulbildung stärkster Prädiktor (OR 5,23, 95%-KI 3,84–7,13). Netzwerk-Analyse zeigte stärkere Koppelung von Kognition und chronischem Leiden in der Gruppe mit schlechterer Trajectoria.</w:t>
      </w:r>
    </w:p>
    <w:p>
      <w:r>
        <w:rPr>
          <w:b/>
          <w:sz w:val="19"/>
        </w:rPr>
        <w:t xml:space="preserve">Übertragbarkeit: </w:t>
      </w:r>
      <w:r>
        <w:rPr>
          <w:sz w:val="19"/>
        </w:rPr>
        <w:t>China, CHARLS-Daten; begrenzte Direktübertragbarkeit auf deutsche Versorgung, psychosoziale Mechanismen aber universal.</w:t>
      </w:r>
    </w:p>
    <w:p>
      <w:r>
        <w:rPr>
          <w:color w:val="5A7D3A"/>
          <w:sz w:val="18"/>
        </w:rPr>
        <w:t>https://pubmed.ncbi.nlm.nih.gov/42902202/</w:t>
      </w:r>
    </w:p>
    <w:p>
      <w:pPr>
        <w:pStyle w:val="Heading2"/>
      </w:pPr>
      <w:r>
        <w:t>Frailty und intraoperative Hypotonie bei älteren Patienten mit Hüftfrakturchirurgie</w:t>
      </w:r>
    </w:p>
    <w:p>
      <w:r>
        <w:rPr>
          <w:i/>
          <w:color w:val="666666"/>
          <w:sz w:val="18"/>
        </w:rPr>
        <w:t>Sutthibenjakul K et al.  ·  BMC Geriatr  ·  22.07.2026  ·  PMID 42902188</w:t>
      </w:r>
    </w:p>
    <w:p>
      <w:r>
        <w:t>Retrospektive Kohortenstudie an 522 Patienten ≥65 Jahren mit modifiziertem Frailty-Index zur Assoziation mit perioperativen Blutdruckabfällen.</w:t>
      </w:r>
    </w:p>
    <w:p>
      <w:r>
        <w:rPr>
          <w:b/>
        </w:rPr>
        <w:t xml:space="preserve">Ergebnis: </w:t>
      </w:r>
      <w:r>
        <w:t>Von 522 Patienten 23,8% gebrechlich, 57,1% mit intraoperativer Hypotonie (MAP &lt;65 mmHg). Frailty war nicht unabhängig mit Auftreten der Hypotonie assoziiert (OR 0,77, 95%-KI 0,38–1,53), aber gebrechliche Patienten zeigten längere kumulative Dauer der Hypotonie (p=0,045).</w:t>
      </w:r>
    </w:p>
    <w:p>
      <w:r>
        <w:rPr>
          <w:b/>
          <w:sz w:val="19"/>
        </w:rPr>
        <w:t xml:space="preserve">Übertragbarkeit: </w:t>
      </w:r>
      <w:r>
        <w:rPr>
          <w:sz w:val="19"/>
        </w:rPr>
        <w:t>Thailand, retrospektive Klinikdaten; Frailty-Assessment und perioperatives Monitoring als universelle Prinzipien übertragbar.</w:t>
      </w:r>
    </w:p>
    <w:p>
      <w:r>
        <w:rPr>
          <w:color w:val="5A7D3A"/>
          <w:sz w:val="18"/>
        </w:rPr>
        <w:t>https://pubmed.ncbi.nlm.nih.gov/42902188/</w:t>
      </w:r>
    </w:p>
    <w:p>
      <w:pPr>
        <w:pStyle w:val="Heading2"/>
      </w:pPr>
      <w:r>
        <w:t>Pflegen im Alter: Belastung, psychische Gesundheit und der Schutzeffekt sozialer Ressourcen</w:t>
      </w:r>
    </w:p>
    <w:p>
      <w:r>
        <w:rPr>
          <w:i/>
          <w:color w:val="666666"/>
          <w:sz w:val="18"/>
        </w:rPr>
        <w:t>Chaaya M et al.  ·  BMC Geriatr  ·  22.07.2026  ·  PMID 42902165</w:t>
      </w:r>
    </w:p>
    <w:p>
      <w:r>
        <w:t>Querschnittsstudie an 434 älteren Pflegepersonen im Libanon zur Assoziation zwischen Pflegebelastung und Depression/Angst sowie moderierenden Effekten.</w:t>
      </w:r>
    </w:p>
    <w:p>
      <w:r>
        <w:rPr>
          <w:b/>
        </w:rPr>
        <w:t xml:space="preserve">Ergebnis: </w:t>
      </w:r>
      <w:r>
        <w:t>36,4% mit hoher Pflegebelastung. Hohe Belastung verbunden mit um 7,65 Punkte höheren Depressionsscores (95%-KI 3,48–11,8) und 2,84 Punkte höheren Angstscores (95%-KI 0,73–4,95). Emotionale Unterstützung minderte signifikant den Belastungs-Depressionseffekt; finanzielle Ressourcen nicht.</w:t>
      </w:r>
    </w:p>
    <w:p>
      <w:r>
        <w:rPr>
          <w:b/>
          <w:sz w:val="19"/>
        </w:rPr>
        <w:t xml:space="preserve">Übertragbarkeit: </w:t>
      </w:r>
      <w:r>
        <w:rPr>
          <w:sz w:val="19"/>
        </w:rPr>
        <w:t>Libanon, ungleiche Gesundheitssysteme und Rentensicherung zu Deutschland, aber Mechanismus psychischer Belastung durch informale Pflege universal relevant.</w:t>
      </w:r>
    </w:p>
    <w:p>
      <w:r>
        <w:rPr>
          <w:color w:val="5A7D3A"/>
          <w:sz w:val="18"/>
        </w:rPr>
        <w:t>https://pubmed.ncbi.nlm.nih.gov/42902165/</w:t>
      </w:r>
    </w:p>
    <w:p>
      <w:pPr>
        <w:pStyle w:val="Heading2"/>
      </w:pPr>
      <w:r>
        <w:t>Lipid-Entzündung und Frailty als gemeinsame Treiber der cardiometabolischen Multimorbidität</w:t>
      </w:r>
    </w:p>
    <w:p>
      <w:r>
        <w:rPr>
          <w:i/>
          <w:color w:val="666666"/>
          <w:sz w:val="18"/>
        </w:rPr>
        <w:t>Zhao S et al.  ·  BMC Cardiovasc Disord  ·  25.07.2026  ·  PMID 42902143</w:t>
      </w:r>
    </w:p>
    <w:p>
      <w:r>
        <w:t>Nationale Kohortenstudie an 5.779 chinesischen Erwachsenen zur gemeinsamen Assoziation von Restcholesterin-Entzündungsindex und Frailty mit neuaufgetretener Multimorbidität.</w:t>
      </w:r>
    </w:p>
    <w:p>
      <w:r>
        <w:rPr>
          <w:b/>
        </w:rPr>
        <w:t xml:space="preserve">Ergebnis: </w:t>
      </w:r>
      <w:r>
        <w:t>510 Fälle Multimorbidität über Beobachtungszeit. Hoher RCII kombiniert mit Frailty zeigte HR 2,622 (95%-KI 1,972–3,488). Kumulativer RCII mit Frailty HR 2,849 (95%-KI 2,178–3,726). Modell mit kumulativem RCII und Frailty zeigte höheres AUC als reiner RCII (0,757 vs. 0,740). Additive/multiplikative Interaktion nach voller Anpassung nicht signifikant.</w:t>
      </w:r>
    </w:p>
    <w:p>
      <w:r>
        <w:rPr>
          <w:b/>
          <w:sz w:val="19"/>
        </w:rPr>
        <w:t xml:space="preserve">Übertragbarkeit: </w:t>
      </w:r>
      <w:r>
        <w:rPr>
          <w:sz w:val="19"/>
        </w:rPr>
        <w:t>China, CHARLS; lipidmetabolische Pathways aber transkulturelles Phänomen, Frailty-Screening in Primärversorgung universell.</w:t>
      </w:r>
    </w:p>
    <w:p>
      <w:r>
        <w:rPr>
          <w:color w:val="5A7D3A"/>
          <w:sz w:val="18"/>
        </w:rPr>
        <w:t>https://pubmed.ncbi.nlm.nih.gov/42902143/</w:t>
      </w:r>
    </w:p>
    <w:p>
      <w:pPr>
        <w:pStyle w:val="Heading2"/>
      </w:pPr>
      <w:r>
        <w:t>Wundinfektion nach Herzbypass bei gebrechlichen älteren Patienten: Risikofaktoren und Intervention</w:t>
      </w:r>
    </w:p>
    <w:p>
      <w:r>
        <w:rPr>
          <w:i/>
          <w:color w:val="666666"/>
          <w:sz w:val="18"/>
        </w:rPr>
        <w:t>Guerrieri M et al.  ·  JMIR Cardio  ·  16.10.2026  ·  PMID 42886572</w:t>
      </w:r>
    </w:p>
    <w:p>
      <w:r>
        <w:t>Retrospektive Multicenter-Studie an 467 gebrechlichen/pregebrechlichen Patienten ≥60 Jahren nach Koronarchirurgie zur Assoziation mit Wundinfektionen.</w:t>
      </w:r>
    </w:p>
    <w:p>
      <w:r>
        <w:rPr>
          <w:b/>
        </w:rPr>
        <w:t xml:space="preserve">Ergebnis: </w:t>
      </w:r>
      <w:r>
        <w:t>Wundinfektionsrate 5,6% (26/467). Im multivariaten Modell unabhängig assoziiert: Charlson-Komorbiditätsindex (OR 1,58, 95%-KI 1,25–1,99, p&lt;0,001) und Einsatz kardiopulmonaler Bypass (OR 4,89, 95%-KI 1,71–13,94, p=0,003). Komplikationsraten sonst zwischen Gruppen ähnlich.</w:t>
      </w:r>
    </w:p>
    <w:p>
      <w:r>
        <w:rPr>
          <w:b/>
          <w:sz w:val="19"/>
        </w:rPr>
        <w:t xml:space="preserve">Übertragbarkeit: </w:t>
      </w:r>
      <w:r>
        <w:rPr>
          <w:sz w:val="19"/>
        </w:rPr>
        <w:t>Brasilien, andere Gesundheitsfinanzierung; Frailty-stratifizierte perioperative Risikoadjustierung aber prinzipiell übertragbar.</w:t>
      </w:r>
    </w:p>
    <w:p>
      <w:r>
        <w:rPr>
          <w:color w:val="5A7D3A"/>
          <w:sz w:val="18"/>
        </w:rPr>
        <w:t>https://pubmed.ncbi.nlm.nih.gov/42886572/</w:t>
      </w:r>
    </w:p>
    <w:p>
      <w:pPr>
        <w:pStyle w:val="Heading1"/>
      </w:pPr>
      <w:r>
        <w:t>Aufgenommen am 21.10.2026</w:t>
      </w:r>
    </w:p>
    <w:p>
      <w:pPr>
        <w:pStyle w:val="Heading2"/>
      </w:pPr>
      <w:r>
        <w:t>Soziale Vulnerabilität als Frailty-Dimension in neurodegenerativen Erkrankungen</w:t>
      </w:r>
    </w:p>
    <w:p>
      <w:r>
        <w:rPr>
          <w:i/>
          <w:color w:val="666666"/>
          <w:sz w:val="18"/>
        </w:rPr>
        <w:t>Panzavolta A et al.  ·  Neurol Sci  ·  20.10.2026  ·  PMID 42900408</w:t>
      </w:r>
    </w:p>
    <w:p>
      <w:r>
        <w:t>Querschnittsstudie mit 47 Alzheimer-, 24 Frontotemporale-Demenz- und 66 Kontrollpersonen zur Messung physischer und sozialer Frailty mittels 60-Item-Fragebogen.</w:t>
      </w:r>
    </w:p>
    <w:p>
      <w:r>
        <w:rPr>
          <w:b/>
        </w:rPr>
        <w:t xml:space="preserve">Ergebnis: </w:t>
      </w:r>
      <w:r>
        <w:t>Demenzpatienten zeigten signifikant höhere globale (gFI) und soziale Frailty-Scores (sFI) als Kontrollen; sFI korrelierte mit Schweregrad und kognitiven Mustern bei beiden Demenzformen. Physische Frailty unterschied sich nicht zwischen Gruppen.</w:t>
      </w:r>
    </w:p>
    <w:p>
      <w:r>
        <w:rPr>
          <w:b/>
          <w:sz w:val="19"/>
        </w:rPr>
        <w:t xml:space="preserve">Übertragbarkeit: </w:t>
      </w:r>
      <w:r>
        <w:rPr>
          <w:sz w:val="19"/>
        </w:rPr>
        <w:t>Italien, europäische Versorgungsstruktur; soziale Frailty-Dimension relevant für deutschsprachige geriatrische Praxis.</w:t>
      </w:r>
    </w:p>
    <w:p>
      <w:r>
        <w:rPr>
          <w:color w:val="5A7D3A"/>
          <w:sz w:val="18"/>
        </w:rPr>
        <w:t>https://pubmed.ncbi.nlm.nih.gov/42900408/</w:t>
      </w:r>
    </w:p>
    <w:p>
      <w:pPr>
        <w:pStyle w:val="Heading2"/>
      </w:pPr>
      <w:r>
        <w:t>Unterschiedliche Verlaufsmuster oraler Frailty nach Zahnimplantaten im Alter</w:t>
      </w:r>
    </w:p>
    <w:p>
      <w:r>
        <w:rPr>
          <w:i/>
          <w:color w:val="666666"/>
          <w:sz w:val="18"/>
        </w:rPr>
        <w:t>Zhang Y et al.  ·  Front Public Health  ·  05.10.2026  ·  PMID 42898353</w:t>
      </w:r>
    </w:p>
    <w:p>
      <w:r>
        <w:t>Prospektive Kohortenstudie mit 211 älteren Patienten ≥60 Jahre, die Zahnimplantate erhielten, zur Identifizierung von Frailty-Trajektorien über 12 Monate mittels latent class growth modelling.</w:t>
      </w:r>
    </w:p>
    <w:p>
      <w:r>
        <w:rPr>
          <w:b/>
        </w:rPr>
        <w:t xml:space="preserve">Ergebnis: </w:t>
      </w:r>
      <w:r>
        <w:t>Drei Trajektorien wurden identifiziert: Rascher Rückgang-Stabil (42,7 %), Gradueller Rückgang-Plateau (35,1 %), Persistiert-Hohes-Risiko (22,2 %). Unabhängige Prädiktoren für die Hochrisiko-Gruppe: Alter (aOR 1,12), Polypharmazie (aOR 1,25), fehlende Zähne (aOR 1,09).</w:t>
      </w:r>
    </w:p>
    <w:p>
      <w:r>
        <w:rPr>
          <w:b/>
          <w:sz w:val="19"/>
        </w:rPr>
        <w:t xml:space="preserve">Übertragbarkeit: </w:t>
      </w:r>
      <w:r>
        <w:rPr>
          <w:sz w:val="19"/>
        </w:rPr>
        <w:t>China, aber klinisch-geriatrische Fragestellung; Polypharmazie-Effekt global relevant.</w:t>
      </w:r>
    </w:p>
    <w:p>
      <w:r>
        <w:rPr>
          <w:color w:val="5A7D3A"/>
          <w:sz w:val="18"/>
        </w:rPr>
        <w:t>https://pubmed.ncbi.nlm.nih.gov/42898353/</w:t>
      </w:r>
    </w:p>
    <w:p>
      <w:pPr>
        <w:pStyle w:val="Heading2"/>
      </w:pPr>
      <w:r>
        <w:t>Ernährungsvielfalt und gewonnene gesunde Lebensjahre bei älteren Erwachsenen</w:t>
      </w:r>
    </w:p>
    <w:p>
      <w:r>
        <w:rPr>
          <w:i/>
          <w:color w:val="666666"/>
          <w:sz w:val="18"/>
        </w:rPr>
        <w:t>Shi J et al.  ·  Front Public Health  ·  05.10.2026  ·  PMID 42898119</w:t>
      </w:r>
    </w:p>
    <w:p>
      <w:r>
        <w:t>Prospektive Kohortenstudie mit 9.953 Teilnehmern ≥65 Jahre zur Assoziation zwischen Ernährungsvielfalt und gewonnenen gesunden Lebensjahren (HLE) mittels Multistate-Analyse.</w:t>
      </w:r>
    </w:p>
    <w:p>
      <w:r>
        <w:rPr>
          <w:b/>
        </w:rPr>
        <w:t xml:space="preserve">Ergebnis: </w:t>
      </w:r>
      <w:r>
        <w:t>Bei hoher vs. niedriger Ernährungsvielfalt verlängerte sich die Lebenserwartung mit 65 Jahren um 1,26 Jahre (14,54 vs. 15,80 Jahre) und die HLE um 0,90 Jahre (13,32 vs. 14,22 Jahre). Höhere Ernährungsvielfalt war mit niedrigeren Sterblichkeitsübergängen aus Gesundheit und Behinderung verbunden; diese Unterschiede waren bei Männern und Stadtbewohnern ausgeprägter.</w:t>
      </w:r>
    </w:p>
    <w:p>
      <w:r>
        <w:rPr>
          <w:b/>
          <w:sz w:val="19"/>
        </w:rPr>
        <w:t xml:space="preserve">Übertragbarkeit: </w:t>
      </w:r>
      <w:r>
        <w:rPr>
          <w:sz w:val="19"/>
        </w:rPr>
        <w:t>China, nur bedingt übertragbar - andere Ernährungsmuster und Kohorte ohne europäische Sozialversicherung.</w:t>
      </w:r>
    </w:p>
    <w:p>
      <w:r>
        <w:rPr>
          <w:color w:val="5A7D3A"/>
          <w:sz w:val="18"/>
        </w:rPr>
        <w:t>https://pubmed.ncbi.nlm.nih.gov/42898119/</w:t>
      </w:r>
    </w:p>
    <w:p>
      <w:pPr>
        <w:pStyle w:val="Heading2"/>
      </w:pPr>
      <w:r>
        <w:t>Frailty und atherogenic Index kombiniert vorhersagen Herz-Metab.-Multimorbidität bei Älteren</w:t>
      </w:r>
    </w:p>
    <w:p>
      <w:r>
        <w:rPr>
          <w:i/>
          <w:color w:val="666666"/>
          <w:sz w:val="18"/>
        </w:rPr>
        <w:t>Wu H et al.  ·  J Glob Health  ·  19.10.2026  ·  PMID 42895260</w:t>
      </w:r>
    </w:p>
    <w:p>
      <w:r>
        <w:t>Prospektive Kohortenstudie mit 4.157 Teilnehmern ≥45 Jahre (CHARLS) zur Assoziation zwischen kumulativem AIP-FI-Index (atherogenic index × 37-Deficit-Frailty-Index) und incident cardiometabolic multimorbidity über 8,5 Jahre mittels Cox-Modelle und Machine Learning.</w:t>
      </w:r>
    </w:p>
    <w:p>
      <w:r>
        <w:rPr>
          <w:b/>
        </w:rPr>
        <w:t xml:space="preserve">Ergebnis: </w:t>
      </w:r>
      <w:r>
        <w:t>612 CMM-Fälle: Kumulative AIP-FI zeigte stärkere Assoziation mit CMM-Risiko als Baseline-Wert (HR 1,46 pro SD). Höchstes vs. niedrigstes Quartil: HR 3,95 (95% CI 2,95–5,29). Prädiktive AUC 0,7117 mit NRI 0,157 über traditionelle Marker. Bidirektionale Synergieeffekte zwischen AIP und FI.</w:t>
      </w:r>
    </w:p>
    <w:p>
      <w:r>
        <w:rPr>
          <w:b/>
          <w:sz w:val="19"/>
        </w:rPr>
        <w:t xml:space="preserve">Übertragbarkeit: </w:t>
      </w:r>
      <w:r>
        <w:rPr>
          <w:sz w:val="19"/>
        </w:rPr>
        <w:t>China (CHARLS), aber Konzept der kombinierten Vulnerabilität-Marker übertragbar auf deutsches Assessment.</w:t>
      </w:r>
    </w:p>
    <w:p>
      <w:r>
        <w:rPr>
          <w:color w:val="5A7D3A"/>
          <w:sz w:val="18"/>
        </w:rPr>
        <w:t>https://pubmed.ncbi.nlm.nih.gov/42895260/</w:t>
      </w:r>
    </w:p>
    <w:p>
      <w:pPr>
        <w:pStyle w:val="Heading2"/>
      </w:pPr>
      <w:r>
        <w:t>Triglycerid-Glukose-Frailty-Index bei Rheumatoider Arthritis vorhersagt Herz-Mortalität</w:t>
      </w:r>
    </w:p>
    <w:p>
      <w:r>
        <w:rPr>
          <w:i/>
          <w:color w:val="666666"/>
          <w:sz w:val="18"/>
        </w:rPr>
        <w:t>Xu Y et al.  ·  Medicine (Baltimore)  ·  16.10.2026  ·  PMID 42888590</w:t>
      </w:r>
    </w:p>
    <w:p>
      <w:r>
        <w:t>Querschnitt-Kohortenstudie mit 1.090 US-amerikanischen RA-Patienten aus NHANES 1999–2018 zur Assoziation zwischen TyG-FI (Triglycerid-Glukose-Index × 49-Item-Frailty-Index) und prevalent CVD sowie kardiovaskulärer Mortalität.</w:t>
      </w:r>
    </w:p>
    <w:p>
      <w:r>
        <w:rPr>
          <w:b/>
        </w:rPr>
        <w:t xml:space="preserve">Ergebnis: </w:t>
      </w:r>
      <w:r>
        <w:t>TyG-FI pro Einheit: OR 4,50 (95% CI 3,20–6,33) für prävalente CVD; HR 1,77 (95% CI 1,16–2,70) für Herz-Mortalität. AUC-Modelle mit TyG-FI (0,80 CVD, 0,81 Mortalität) überlegen vs. TyG allein (0,73, 0,80). Stärkere Assoziation bei Alter ≤65 Jahren.</w:t>
      </w:r>
    </w:p>
    <w:p>
      <w:r>
        <w:rPr>
          <w:b/>
          <w:sz w:val="19"/>
        </w:rPr>
        <w:t xml:space="preserve">Übertragbarkeit: </w:t>
      </w:r>
      <w:r>
        <w:rPr>
          <w:sz w:val="19"/>
        </w:rPr>
        <w:t>USA-Kohort, aber RA-assoziierte Multimorbidität und kombinierte Indizes relevant für deutsches Risiko-Assessment.</w:t>
      </w:r>
    </w:p>
    <w:p>
      <w:r>
        <w:rPr>
          <w:color w:val="5A7D3A"/>
          <w:sz w:val="18"/>
        </w:rPr>
        <w:t>https://pubmed.ncbi.nlm.nih.gov/42888590/</w:t>
      </w:r>
    </w:p>
    <w:p>
      <w:pPr>
        <w:pStyle w:val="Heading2"/>
      </w:pPr>
      <w:r>
        <w:t>Gesundheit im Alter als multidimensionales System: Validierung an 46.317 Europäern</w:t>
      </w:r>
    </w:p>
    <w:p>
      <w:r>
        <w:rPr>
          <w:i/>
          <w:color w:val="666666"/>
          <w:sz w:val="18"/>
        </w:rPr>
        <w:t>Tun T et al.  ·  Soc Sci Med  ·  16.09.2026  ·  PMID 42766933</w:t>
      </w:r>
    </w:p>
    <w:p>
      <w:r>
        <w:t>Sekundäranalyse von SHARE Wave 8 mit 46.317 Teilnehmern 50–104 Jahre zur psychometrischen Validierung eines sechsdimensionalen Gesundheitskonstrukts mittels Strukturgleichungsmodellierung.</w:t>
      </w:r>
    </w:p>
    <w:p>
      <w:r>
        <w:rPr>
          <w:b/>
        </w:rPr>
        <w:t xml:space="preserve">Ergebnis: </w:t>
      </w:r>
      <w:r>
        <w:t>Bestätigung einer zweiten Ordnung SEM mit sechs Dimensionen (Physische Gesundheit, Funktionsfähigkeit, Kognition, psychisches Wohlbefinden, finanzielle Autonomie, soziales Engagement) mit Faktorladungen 0,579–0,832 und guten Modellfit-Indizes (RMSEA 0,054, CFI 0,904). Modell war in europäischen Ländern konsistent.</w:t>
      </w:r>
    </w:p>
    <w:p>
      <w:r>
        <w:rPr>
          <w:b/>
          <w:sz w:val="19"/>
        </w:rPr>
        <w:t xml:space="preserve">Übertragbarkeit: </w:t>
      </w:r>
      <w:r>
        <w:rPr>
          <w:sz w:val="19"/>
        </w:rPr>
        <w:t>SHARE-Daten aus 28 europäischen Ländern, direkt auf Deutschland anwendbar.</w:t>
      </w:r>
    </w:p>
    <w:p>
      <w:r>
        <w:rPr>
          <w:color w:val="5A7D3A"/>
          <w:sz w:val="18"/>
        </w:rPr>
        <w:t>https://pubmed.ncbi.nlm.nih.gov/42766933/</w:t>
      </w:r>
    </w:p>
    <w:p>
      <w:pPr>
        <w:pStyle w:val="Heading1"/>
      </w:pPr>
      <w:r>
        <w:t>Aufgenommen am 20.10.2026</w:t>
      </w:r>
    </w:p>
    <w:p>
      <w:pPr>
        <w:pStyle w:val="Heading2"/>
      </w:pPr>
      <w:r>
        <w:t>Ösophagusspasmus bei Hochbetagter: Dysphagie-Diagnose bricht Teufelskreis aus Gewichtsverlust, Sarkopenie und Sturzrisiko</w:t>
      </w:r>
    </w:p>
    <w:p>
      <w:r>
        <w:rPr>
          <w:i/>
          <w:color w:val="666666"/>
          <w:sz w:val="18"/>
        </w:rPr>
        <w:t>Klein J et al.  ·  Dtsch Med Wochenschr  ·  19.10.2026  ·  PMID 42896540</w:t>
      </w:r>
    </w:p>
    <w:p>
      <w:r>
        <w:t>Fallbericht einer 93-jährigen sarkopenen Patientin mit Appetitlosigkeit, Übelkeit und Erbrechen in einer deutschen geriatrischen Klinik, bei der eine Breischluck-Untersuchung einen Ösophagussphinkterspasmus nachwies.</w:t>
      </w:r>
    </w:p>
    <w:p>
      <w:r>
        <w:rPr>
          <w:b/>
        </w:rPr>
        <w:t xml:space="preserve">Ergebnis: </w:t>
      </w:r>
      <w:r>
        <w:t>Nach Diagnose des distalen Motilitätsverluste durch Breischluck-Untersuchung konservative Therapie mit Botulinumtoxin-Injektionen durchgeführt, was kurzfristig zur Symptomverbesserung führte. Patientin kam aus dem Zyklus von Dysphagie → Gewichtsverlust → Sarkopenie → Frailty → Sturz heraus. Fallbericht unterstreicht Notwendigkeit gezielter Diagnostik und Therapie zur Prävention von Komplikationen.</w:t>
      </w:r>
    </w:p>
    <w:p>
      <w:r>
        <w:rPr>
          <w:b/>
          <w:sz w:val="19"/>
        </w:rPr>
        <w:t xml:space="preserve">Übertragbarkeit: </w:t>
      </w:r>
      <w:r>
        <w:rPr>
          <w:sz w:val="19"/>
        </w:rPr>
        <w:t>Deutschland (Bonn); geriatrisches Versorgungssystem und Versorgungskontext direkt anwendbar</w:t>
      </w:r>
    </w:p>
    <w:p>
      <w:r>
        <w:rPr>
          <w:color w:val="5A7D3A"/>
          <w:sz w:val="18"/>
        </w:rPr>
        <w:t>https://pubmed.ncbi.nlm.nih.gov/42896540/</w:t>
      </w:r>
    </w:p>
    <w:p>
      <w:pPr>
        <w:pStyle w:val="Heading2"/>
      </w:pPr>
      <w:r>
        <w:t>Zweistufiges Frailty-Screening in Hepatologie: Stuhl-Test und Griffstärke ersparen zwei Drittel der vollständigen Assessments</w:t>
      </w:r>
    </w:p>
    <w:p>
      <w:r>
        <w:rPr>
          <w:i/>
          <w:color w:val="666666"/>
          <w:sz w:val="18"/>
        </w:rPr>
        <w:t>Wang J et al.  ·  Nurs Open  ·  Okt. 2026  ·  PMID 42896173</w:t>
      </w:r>
    </w:p>
    <w:p>
      <w:r>
        <w:t>Querschnittstudie bei 606 hospitalisierten Patienten mit chronischer Lebererkrankung (August 2021–August 2025), die eine Pflegekraft-getragene Screening-Strategie mit Timed-Chair-Stand und Griffstärke gegen den Liver Frailty Index validierte.</w:t>
      </w:r>
    </w:p>
    <w:p>
      <w:r>
        <w:rPr>
          <w:b/>
        </w:rPr>
        <w:t xml:space="preserve">Ergebnis: </w:t>
      </w:r>
      <w:r>
        <w:t>Frailty-Prävalenz 18,6%. Einstufiges Screening (Chair-Stands ≥16,55 s oder Griffstärke ≤23,42 kg) erreichte 100% Sensitivität (Negative Predictive Value 1,000), identifizierte alle frailen Fälle und vermied 62,3% der vollständigen Assessments. Null verpasste Fälle in fünf Split-Sample-Analysen reproduziert.</w:t>
      </w:r>
    </w:p>
    <w:p>
      <w:r>
        <w:rPr>
          <w:b/>
          <w:sz w:val="19"/>
        </w:rPr>
        <w:t xml:space="preserve">Übertragbarkeit: </w:t>
      </w:r>
      <w:r>
        <w:rPr>
          <w:sz w:val="19"/>
        </w:rPr>
        <w:t>China; aber Screening-Kriterien und hepatologische Versorgung international ähnlich, externe Validierung ausstehend</w:t>
      </w:r>
    </w:p>
    <w:p>
      <w:r>
        <w:rPr>
          <w:color w:val="5A7D3A"/>
          <w:sz w:val="18"/>
        </w:rPr>
        <w:t>https://pubmed.ncbi.nlm.nih.gov/42896173/</w:t>
      </w:r>
    </w:p>
    <w:p>
      <w:pPr>
        <w:pStyle w:val="Heading2"/>
      </w:pPr>
      <w:r>
        <w:t>Frailty reduziert Arbeitsfähigkeit im Alter um vier bis acht Jahre</w:t>
      </w:r>
    </w:p>
    <w:p>
      <w:r>
        <w:rPr>
          <w:i/>
          <w:color w:val="666666"/>
          <w:sz w:val="18"/>
        </w:rPr>
        <w:t>Shui Y et al.  ·  J Glob Health  ·  19.10.2026  ·  PMID 42895270</w:t>
      </w:r>
    </w:p>
    <w:p>
      <w:r>
        <w:t>Multistate-Markov-Modelle bei 180.314 Personen ≥50 Jahren aus fünf harmonisierten Kohorten (33 Länder) zur Assoziation von Frailty-Status (robust, pre-frail, frail) mit gesunder Arbeitslebenserwartung (HWLE) im Alter von 50 Jahren.</w:t>
      </w:r>
    </w:p>
    <w:p>
      <w:r>
        <w:rPr>
          <w:b/>
        </w:rPr>
        <w:t xml:space="preserve">Ergebnis: </w:t>
      </w:r>
      <w:r>
        <w:t>HWLE bei 50 Jahren: 11,87 Jahre (95%-KI 11,74–12,00) robust, 7,34 Jahre (7,19–7,50) pre-frail, 3,77 Jahre (3,57–3,97) frail. Gegenüber robusten Personen: 4,53 Jahre kürzer (95%-KI −4,76, −4,29) pre-frail, 8,11 Jahre kürzer (−8,38, −7,84) frail. Männer hatten längere HWLE als Frauen in robusten und pre-frailen Gruppen. Höhere Bildung, Nichtrauchen und günstige nationale Faktoren verlängerten HWLE.</w:t>
      </w:r>
    </w:p>
    <w:p>
      <w:r>
        <w:rPr>
          <w:b/>
          <w:sz w:val="19"/>
        </w:rPr>
        <w:t xml:space="preserve">Übertragbarkeit: </w:t>
      </w:r>
      <w:r>
        <w:rPr>
          <w:sz w:val="19"/>
        </w:rPr>
        <w:t>33 Länder inklusive europäische; Frailty-Index robust, Bezug zu Arbeitsmarkt und Rente unterscheidet sich, aber Grundmechanismus universell</w:t>
      </w:r>
    </w:p>
    <w:p>
      <w:r>
        <w:rPr>
          <w:color w:val="5A7D3A"/>
          <w:sz w:val="18"/>
        </w:rPr>
        <w:t>https://pubmed.ncbi.nlm.nih.gov/42895270/</w:t>
      </w:r>
    </w:p>
    <w:p>
      <w:pPr>
        <w:pStyle w:val="Heading2"/>
      </w:pPr>
      <w:r>
        <w:t>Frailty-Trajektoren vorhersagen Osteoporose-Risiko stärker als einzelne Messungen</w:t>
      </w:r>
    </w:p>
    <w:p>
      <w:r>
        <w:rPr>
          <w:i/>
          <w:color w:val="666666"/>
          <w:sz w:val="18"/>
        </w:rPr>
        <w:t>Zhou J et al.  ·  J Glob Health  ·  19.10.2026  ·  PMID 42895262</w:t>
      </w:r>
    </w:p>
    <w:p>
      <w:r>
        <w:t>Longitudinale Kohortenstudie mit drei großen harmonisierten Datensätzen (HRS, ELSA, SHARE; ≥50 Jahre) zum Zusammenhang zwischen Frailty-Index-Verlauf und neuaufgetretener Osteoporose über 4–8 Jahre Nachbeobachtung.</w:t>
      </w:r>
    </w:p>
    <w:p>
      <w:r>
        <w:rPr>
          <w:b/>
        </w:rPr>
        <w:t xml:space="preserve">Ergebnis: </w:t>
      </w:r>
      <w:r>
        <w:t>Insgesamt 244 (ELSA), 2.693 (SHARE) und 1.986 (HRS) Neuerkrankungen mit Osteoporose. Höherer baseline Frailty Index unabhängig assoziiert mit erhöhtem Osteoporose-Risiko (HRS HR 1,43; 95%-KI 1,36–1,50; ELSA HR 1,36; 1,19–1,57; SHARE HR 1,39; 1,33–1,45, alle p&lt;0,001). Vier identifizierte Frailty-Trajektoren zeigten generell erhöhte Osteoporose-Risiken. Nichtlineare Analysen wiesen Schwellenwerteffekte auf (steilere Anstiege bei niedrigeren FI-Werten). Griffstärke vermittelte Assoziation partiell.</w:t>
      </w:r>
    </w:p>
    <w:p>
      <w:r>
        <w:rPr>
          <w:b/>
          <w:sz w:val="19"/>
        </w:rPr>
        <w:t xml:space="preserve">Übertragbarkeit: </w:t>
      </w:r>
      <w:r>
        <w:rPr>
          <w:sz w:val="19"/>
        </w:rPr>
        <w:t>Europäische und US-Kohorten; Frailty Index und Osteoporose-Definitions vergleichbar international</w:t>
      </w:r>
    </w:p>
    <w:p>
      <w:r>
        <w:rPr>
          <w:color w:val="5A7D3A"/>
          <w:sz w:val="18"/>
        </w:rPr>
        <w:t>https://pubmed.ncbi.nlm.nih.gov/42895262/</w:t>
      </w:r>
    </w:p>
    <w:p>
      <w:pPr>
        <w:pStyle w:val="Heading2"/>
      </w:pPr>
      <w:r>
        <w:t>Schädlicher Alkoholkonsum bei älteren Sturzpatienten häufig, mit Hyponatriämie assoziiert</w:t>
      </w:r>
    </w:p>
    <w:p>
      <w:r>
        <w:rPr>
          <w:i/>
          <w:color w:val="666666"/>
          <w:sz w:val="18"/>
        </w:rPr>
        <w:t>Rogmark C et al.  ·  Acta Orthop  ·  19.10.2026  ·  PMID 42894497</w:t>
      </w:r>
    </w:p>
    <w:p>
      <w:r>
        <w:t>Prospektive Kohortenstudie bei 505 Personen ≥65 Jahren mit akuter Sturz-bedingter Fraktur (Februar 2023–August 2024), die Phosphatidylethanol (PEth) als objektiven Marker für chronischen Alkoholkonsum zur Risikostratifizierung nutzte.</w:t>
      </w:r>
    </w:p>
    <w:p>
      <w:r>
        <w:rPr>
          <w:b/>
        </w:rPr>
        <w:t xml:space="preserve">Ergebnis: </w:t>
      </w:r>
      <w:r>
        <w:t>13% zeigten schädlichen Alkoholkonsum (PEth &gt;0,30 µmol/L), 8,9% intermediären Konsum (0,05–0,30), 78% keinen/niedrigen Konsum (&lt;0,05). Von nicht-frailen Patienten hatten 18% schädlichen und 11% intermediären Konsum. In der propensity-score-gematchten Kohorte: Alkoholkonsum assoziiert mit höherer Hyponatriämie-Wahrscheinlichkeit (OR 2,3; 95%-KI 1,1–4,5; p=0,02). Trend zu niedrigerer 90-Tages-Mortalität (OR 0,2; 95%-KI 0,1–1,0; p=0,05).</w:t>
      </w:r>
    </w:p>
    <w:p>
      <w:r>
        <w:rPr>
          <w:b/>
          <w:sz w:val="19"/>
        </w:rPr>
        <w:t xml:space="preserve">Übertragbarkeit: </w:t>
      </w:r>
      <w:r>
        <w:rPr>
          <w:sz w:val="19"/>
        </w:rPr>
        <w:t>Schweden (Lund/Malmö); Trauma-Management und Frailty-Screening vergleichbar mit Deutschland</w:t>
      </w:r>
    </w:p>
    <w:p>
      <w:r>
        <w:rPr>
          <w:color w:val="5A7D3A"/>
          <w:sz w:val="18"/>
        </w:rPr>
        <w:t>https://pubmed.ncbi.nlm.nih.gov/42894497/</w:t>
      </w:r>
    </w:p>
    <w:p>
      <w:pPr>
        <w:pStyle w:val="Heading2"/>
      </w:pPr>
      <w:r>
        <w:t>Soziale Kontakte fördern Grundfähigkeiten im Alter weltweit</w:t>
      </w:r>
    </w:p>
    <w:p>
      <w:r>
        <w:rPr>
          <w:i/>
          <w:color w:val="666666"/>
          <w:sz w:val="18"/>
        </w:rPr>
        <w:t>Lai ETC et al.  ·  Lancet Healthy Longev  ·  12.10.2026  ·  PMID 42863480</w:t>
      </w:r>
    </w:p>
    <w:p>
      <w:r>
        <w:t>Harmonisierte Längsschnittstudie zu 39.021 Personen ab 50 Jahren aus fünf Kohorten (USA, England, Europa, China, Japan), die den Zusammenhang zwischen sozialer Vernetzung und intrinsischer Kapazität (fünf Domänen: Kognition, Psyche, Sinne, Bewegung, Vitalität) untersuchte.</w:t>
      </w:r>
    </w:p>
    <w:p>
      <w:r>
        <w:rPr>
          <w:b/>
        </w:rPr>
        <w:t xml:space="preserve">Ergebnis: </w:t>
      </w:r>
      <w:r>
        <w:t>Höhere baseline soziale Vernetzung korrelierte mit besserer gesamter intrinsischer Kapazität (β=0,04 SD pro Punkt; 95%-KI 0,03–0,06). Stärkste Assoziationen zeigten sich in psychologischer (β=0,05 SD) und kognitiver Domäne (β=0,03 SD), beide p&lt;0,001. Soziale Partizipation und Partnerschaft waren am konsistentesten mit höherer Kapazität assoziiert. Baseline-Vernetzung sagte jedoch keine unterschiedlichen Raten des Funktionsverfalls über Follow-up voraus (β=0,0024 SD/Jahr; 95%-KI −0,0004 bis 0,0053).</w:t>
      </w:r>
    </w:p>
    <w:p>
      <w:r>
        <w:rPr>
          <w:b/>
          <w:sz w:val="19"/>
        </w:rPr>
        <w:t xml:space="preserve">Übertragbarkeit: </w:t>
      </w:r>
      <w:r>
        <w:rPr>
          <w:sz w:val="19"/>
        </w:rPr>
        <w:t>England und europäische Kohorten, vergleichbare Altersstrukturen und Sozialversicherungssysteme (SHARE-Daten)</w:t>
      </w:r>
    </w:p>
    <w:p>
      <w:r>
        <w:rPr>
          <w:color w:val="5A7D3A"/>
          <w:sz w:val="18"/>
        </w:rPr>
        <w:t>https://pubmed.ncbi.nlm.nih.gov/42863480/</w:t>
      </w:r>
    </w:p>
    <w:p>
      <w:pPr>
        <w:pStyle w:val="Heading2"/>
      </w:pPr>
      <w:r>
        <w:t>Bessere Grundfähigkeiten in neueren Generationen Europas – aber mit wachsenden Ungleichheiten</w:t>
      </w:r>
    </w:p>
    <w:p>
      <w:r>
        <w:rPr>
          <w:i/>
          <w:color w:val="666666"/>
          <w:sz w:val="18"/>
        </w:rPr>
        <w:t>Beard JR et al.  ·  Lancet Healthy Longev  ·  09.10.2026  ·  PMID 42854708</w:t>
      </w:r>
    </w:p>
    <w:p>
      <w:r>
        <w:t>Analyse von sieben Wellen der SHARE-Studie (2004–2022) bei 80.105 Personen ab 50 Jahren aus zehn europäischen Ländern zur Entwicklung der intrinsischen Kapazität über Geburtskohorten.</w:t>
      </w:r>
    </w:p>
    <w:p>
      <w:r>
        <w:rPr>
          <w:b/>
        </w:rPr>
        <w:t xml:space="preserve">Ergebnis: </w:t>
      </w:r>
      <w:r>
        <w:t>Neuere Geburtskohorten zeigten bei Studieneintritt höhere intrinsische Kapazität (Geburtsjahrkoeffizient 0,797; 95%-KI 0,780–0,815, p&lt;0,0001) und langsamere 10-Jahres-Rückgänge (0,426; 95%-KI 0,372–0,480, p&lt;0,0001). Frauen verzeichneten größere Gewinne als Männer. Länder mit niedrigerer Ausgangskapazität (z. B. Italien) zeigten größere Verbesserungen, aber kleinere Verlangsamungen im Rückgang. Höherer sozioökonomischer Status war mit größeren Gewinnen assoziiert, was Ungleichheiten verschärfte.</w:t>
      </w:r>
    </w:p>
    <w:p>
      <w:r>
        <w:rPr>
          <w:b/>
          <w:sz w:val="19"/>
        </w:rPr>
        <w:t xml:space="preserve">Übertragbarkeit: </w:t>
      </w:r>
      <w:r>
        <w:rPr>
          <w:sz w:val="19"/>
        </w:rPr>
        <w:t>10 europäische SHARE-Länder inklusive Deutschland; direkt auf deutsches Gesundheitssystem übertragbar</w:t>
      </w:r>
    </w:p>
    <w:p>
      <w:r>
        <w:rPr>
          <w:color w:val="5A7D3A"/>
          <w:sz w:val="18"/>
        </w:rPr>
        <w:t>https://pubmed.ncbi.nlm.nih.gov/42854708/</w:t>
      </w:r>
    </w:p>
    <w:p>
      <w:pPr>
        <w:pStyle w:val="Heading1"/>
      </w:pPr>
      <w:r>
        <w:t>Aufgenommen am 19.10.2026</w:t>
      </w:r>
    </w:p>
    <w:p>
      <w:pPr>
        <w:pStyle w:val="Heading2"/>
      </w:pPr>
      <w:r>
        <w:t>Geriatrische Schulungslücken in ambulanter Versorgung: Bedarfsanalyse aus 41 europäischen Ländern</w:t>
      </w:r>
    </w:p>
    <w:p>
      <w:r>
        <w:rPr>
          <w:i/>
          <w:color w:val="666666"/>
          <w:sz w:val="18"/>
        </w:rPr>
        <w:t>Kravvariti E et al.  ·  Age Ageing  ·  03.08.2026  ·  PMID 42891966</w:t>
      </w:r>
    </w:p>
    <w:p>
      <w:r>
        <w:t>Querschnittsbefragung von 2380 Fachkräften (Ärzte, Pflege, Diätassistenten, Therapeuten) aus Ambulanzen und häuslichen Diensten zur Selbsteinschätzung ihres Wissensstands bei 33 geriatrischen Themen.</w:t>
      </w:r>
    </w:p>
    <w:p>
      <w:r>
        <w:rPr>
          <w:b/>
        </w:rPr>
        <w:t xml:space="preserve">Ergebnis: </w:t>
      </w:r>
      <w:r>
        <w:t>Erhebliche Wissenslücken in allen Berufsgruppen: Umfassendes geriatrisches Assessment, Frailty-Screening, Polymedikation und Deprescribing, Sarkopenie, Dysphagie sowie Verhaltens- und Depressionssymptome bei Demenz zählten zu den Top-Defiziten. Profession-spezifische Prioritäten: Kommunikation und Vorsorgeverfügungen für Pflege, Deprescribing für Ärzte und Apotheker, Ernährungsassessment für Diätassistenten.</w:t>
      </w:r>
    </w:p>
    <w:p>
      <w:r>
        <w:rPr>
          <w:b/>
          <w:sz w:val="19"/>
        </w:rPr>
        <w:t xml:space="preserve">Übertragbarkeit: </w:t>
      </w:r>
      <w:r>
        <w:rPr>
          <w:sz w:val="19"/>
        </w:rPr>
        <w:t>41 europäische Länder, direkt relevant für deutschsprachigen Raum und Versorgungsstrukturen</w:t>
      </w:r>
    </w:p>
    <w:p>
      <w:r>
        <w:rPr>
          <w:color w:val="5A7D3A"/>
          <w:sz w:val="18"/>
        </w:rPr>
        <w:t>https://pubmed.ncbi.nlm.nih.gov/42891966/</w:t>
      </w:r>
    </w:p>
    <w:p>
      <w:pPr>
        <w:pStyle w:val="Heading2"/>
      </w:pPr>
      <w:r>
        <w:t>Elektronischer Frailty-Index sagt Sterblichkeit bei älteren Menschen voraus</w:t>
      </w:r>
    </w:p>
    <w:p>
      <w:r>
        <w:rPr>
          <w:i/>
          <w:color w:val="666666"/>
          <w:sz w:val="18"/>
        </w:rPr>
        <w:t>Du X et al.  ·  Front Public Health  ·  02.10.2026  ·  PMID 42890831</w:t>
      </w:r>
    </w:p>
    <w:p>
      <w:r>
        <w:t>Systematische Übersichtsarbeit und Meta-Analyse von 12 Studien (13 Kohorten mit 11 Hazard-Ratio- und 2 Odds-Ratio-Analysen) zur Assoziation zwischen elektronischem Frailty-Index (eFI) und Mortalität.</w:t>
      </w:r>
    </w:p>
    <w:p>
      <w:r>
        <w:rPr>
          <w:b/>
        </w:rPr>
        <w:t xml:space="preserve">Ergebnis: </w:t>
      </w:r>
      <w:r>
        <w:t>Dosisabhängige Assoziation: Milde Frailty (HR 1,81), moderate Frailty (HR 2,95) und schwere Frailty (HR 4,41) gegenüber nicht-frailer Gruppe. Erhebliche Heterogenität zwischen Studien je nach Nachbeobachtungsdauer, eFI-Schwellenwert und Studienumfeld. eFI scheint nützlich für Frailty-Screening und Risikostratifizierung, aber Ergebnisse erfordern vorsichtige Interpretation.</w:t>
      </w:r>
    </w:p>
    <w:p>
      <w:r>
        <w:rPr>
          <w:b/>
          <w:sz w:val="19"/>
        </w:rPr>
        <w:t xml:space="preserve">Übertragbarkeit: </w:t>
      </w:r>
      <w:r>
        <w:rPr>
          <w:sz w:val="19"/>
        </w:rPr>
        <w:t>UK Biobank und andere, elektronische Gesundheitsregisterdaten wie in Deutschland verfügbar</w:t>
      </w:r>
    </w:p>
    <w:p>
      <w:r>
        <w:rPr>
          <w:color w:val="5A7D3A"/>
          <w:sz w:val="18"/>
        </w:rPr>
        <w:t>https://pubmed.ncbi.nlm.nih.gov/42890831/</w:t>
      </w:r>
    </w:p>
    <w:p>
      <w:pPr>
        <w:pStyle w:val="Heading2"/>
      </w:pPr>
      <w:r>
        <w:t>Orale Frailty bei älteren Menschen mit Multimorbidität: Prävalenz 71,2%, verknüpft mit körperlicher Frailty</w:t>
      </w:r>
    </w:p>
    <w:p>
      <w:r>
        <w:rPr>
          <w:i/>
          <w:color w:val="666666"/>
          <w:sz w:val="18"/>
        </w:rPr>
        <w:t>Zhou Y et al.  ·  Front Public Health  ·  02.10.2026  ·  PMID 42890626</w:t>
      </w:r>
    </w:p>
    <w:p>
      <w:r>
        <w:t>Querschnittsstudie von 393 Personen ≥60 Jahre mit ≥1 chronischer Erkrankung in Nordostchina zur Prävalenz oraler Frailty mittels Oral Frailty Index-8 (OFI-8) und assoziierten Faktoren.</w:t>
      </w:r>
    </w:p>
    <w:p>
      <w:r>
        <w:rPr>
          <w:b/>
        </w:rPr>
        <w:t xml:space="preserve">Ergebnis: </w:t>
      </w:r>
      <w:r>
        <w:t>71,2% (n=280) orale Frailty (OFI-8: 5,61±2,58). Häufigste Items: Schwierigkeiten mit harter Nahrung 62,3%, Verschlucken 48,6%, Mundtrockenheit 45,8%. Unabhängig assoziiert: höheres Alter, weibliches Geschlecht, niedriges Einkommen, niedriger/hoher BMI, Alkoholkonsum, körperliche Frailty, Schlafstörung, negative Altersattitude, ≥3 Erkrankungen, Diabetes (alle p&lt;0,05).</w:t>
      </w:r>
    </w:p>
    <w:p>
      <w:r>
        <w:rPr>
          <w:b/>
          <w:sz w:val="19"/>
        </w:rPr>
        <w:t xml:space="preserve">Übertragbarkeit: </w:t>
      </w:r>
      <w:r>
        <w:rPr>
          <w:sz w:val="19"/>
        </w:rPr>
        <w:t>China, ethnische Minderheit – überwiegend strukturelle Befunde, Screening-Befund direkt relevant</w:t>
      </w:r>
    </w:p>
    <w:p>
      <w:r>
        <w:rPr>
          <w:color w:val="5A7D3A"/>
          <w:sz w:val="18"/>
        </w:rPr>
        <w:t>https://pubmed.ncbi.nlm.nih.gov/42890626/</w:t>
      </w:r>
    </w:p>
    <w:p>
      <w:pPr>
        <w:pStyle w:val="Heading2"/>
      </w:pPr>
      <w:r>
        <w:t>Frailty mit multilokulalen Schmerzen vergesellschaftet, teilweise durch Depression vermittelt</w:t>
      </w:r>
    </w:p>
    <w:p>
      <w:r>
        <w:rPr>
          <w:i/>
          <w:color w:val="666666"/>
          <w:sz w:val="18"/>
        </w:rPr>
        <w:t>Cheng Y et al.  ·  Medicine (Baltimore)  ·  16.10.2026  ·  PMID 42888628</w:t>
      </w:r>
    </w:p>
    <w:p>
      <w:r>
        <w:t>Querschnittsanalyse von 5281 Personen ≥45 Jahre aus China Health and Retirement Longitudinal Study zu Assoziation zwischen korrigiertem modifiziertem Frailty-Index (CMFI) und chronischen Schmerzen mit Mediationsanalyse.</w:t>
      </w:r>
    </w:p>
    <w:p>
      <w:r>
        <w:rPr>
          <w:b/>
        </w:rPr>
        <w:t xml:space="preserve">Ergebnis: </w:t>
      </w:r>
      <w:r>
        <w:t>Höherer CMFI stark mit erhöhtem Schmerz-Risiko assoziiert: Höchstes vs. niedrigstes CMFI-Quartil zeigte 11,6-fach erhöhtes Risiko für Kreuzschmerzen, 17,0-fach für Multisite-Schmerzen und 11,5-fach höhere Schmerzlokalisationen. Depression vermittelte ca. 30% dieser Assoziationen. Unterschiede nach Alter, Bildung und Wohnort.</w:t>
      </w:r>
    </w:p>
    <w:p>
      <w:r>
        <w:rPr>
          <w:b/>
          <w:sz w:val="19"/>
        </w:rPr>
        <w:t xml:space="preserve">Übertragbarkeit: </w:t>
      </w:r>
      <w:r>
        <w:rPr>
          <w:sz w:val="19"/>
        </w:rPr>
        <w:t>China, vergleichbare Altersstruktur – Befunde aber nicht direkt auf deutsche Sozialversicherung übertragbar</w:t>
      </w:r>
    </w:p>
    <w:p>
      <w:r>
        <w:rPr>
          <w:color w:val="5A7D3A"/>
          <w:sz w:val="18"/>
        </w:rPr>
        <w:t>https://pubmed.ncbi.nlm.nih.gov/42888628/</w:t>
      </w:r>
    </w:p>
    <w:p>
      <w:pPr>
        <w:pStyle w:val="Heading2"/>
      </w:pPr>
      <w:r>
        <w:t>Höhere Frailty mit schlechterer Herzgesundheit: Dosis-Wirkungs-Beziehung in US-Stichprobe</w:t>
      </w:r>
    </w:p>
    <w:p>
      <w:r>
        <w:rPr>
          <w:i/>
          <w:color w:val="666666"/>
          <w:sz w:val="18"/>
        </w:rPr>
        <w:t>Yan W et al.  ·  Medicine (Baltimore)  ·  16.10.2026  ·  PMID 42888560</w:t>
      </w:r>
    </w:p>
    <w:p>
      <w:r>
        <w:t>Querschnittsanalyse von 8015 Erwachsenen ≥20 Jahre aus NHANES 2007–2018 zur Assoziation zwischen Frailty-Index und kardiovaskulärer Gesundheit nach American Heart Association Definition.</w:t>
      </w:r>
    </w:p>
    <w:p>
      <w:r>
        <w:rPr>
          <w:b/>
        </w:rPr>
        <w:t xml:space="preserve">Ergebnis: </w:t>
      </w:r>
      <w:r>
        <w:t>Höhere Frailty-Niveaus linear mit erhöhtem Risiko schlechter kardiovaskulärer Gesundheit assoziiert (dosisabhängig). Serum-25(OH)D-Level unabhängig invers mit schlechter kardiovaskulärer Gesundheit assoziiert. Keine statistisch signifikante multiplikative Interaktion zwischen Frailty und 25(OH)D. Assoziationen variierten nach Geschlecht und 25(OH)D-Status.</w:t>
      </w:r>
    </w:p>
    <w:p>
      <w:r>
        <w:rPr>
          <w:b/>
          <w:sz w:val="19"/>
        </w:rPr>
        <w:t xml:space="preserve">Übertragbarkeit: </w:t>
      </w:r>
      <w:r>
        <w:rPr>
          <w:sz w:val="19"/>
        </w:rPr>
        <w:t>USA, aber Frailty-Kardiovaskularität-Assoziation prinzipiell übertragbar</w:t>
      </w:r>
    </w:p>
    <w:p>
      <w:r>
        <w:rPr>
          <w:color w:val="5A7D3A"/>
          <w:sz w:val="18"/>
        </w:rPr>
        <w:t>https://pubmed.ncbi.nlm.nih.gov/42888560/</w:t>
      </w:r>
    </w:p>
    <w:p>
      <w:pPr>
        <w:pStyle w:val="Heading2"/>
      </w:pPr>
      <w:r>
        <w:t>Handgriffkraft und Stuhlaufstehen als Functional-Indikatoren: Methodische Vorbehalte bei multizentrischen Studien</w:t>
      </w:r>
    </w:p>
    <w:p>
      <w:r>
        <w:rPr>
          <w:i/>
          <w:color w:val="666666"/>
          <w:sz w:val="18"/>
        </w:rPr>
        <w:t>Kudratova Z et al.  ·  Aging Clin Exp Res  ·  15.10.2026  ·  PMID 42875631</w:t>
      </w:r>
    </w:p>
    <w:p>
      <w:r>
        <w:t>Methodologischer Kommentar zu Prospektivanalyse über kumulative Handgriffkraft und erfolgreiches Altern in drei internationalen Kohorten, kritische Bewertung von Studiendesign und Vergleichbarkeit.</w:t>
      </w:r>
    </w:p>
    <w:p>
      <w:r>
        <w:rPr>
          <w:b/>
        </w:rPr>
        <w:t xml:space="preserve">Ergebnis: </w:t>
      </w:r>
      <w:r>
        <w:t>Handgriffkraft erfasst nicht alle funktionellen Determinanten erfolgreiches Alterns. Selbstberichtete chronische Erkrankungen verursachen Klassifizierungsfehler (unterschiedlich nach Sozioökonomie). Zwei-Phasen-Temporaldesign adressiert Selektionsbias und Kohortengrenzen unzureichend. Kohorten-relatives kognitives Schwellenwert gefährdet Bevölkerungsvergleichbarkeit. Empfehlung: stärkere methodologische Reflexion und Standardisierung.</w:t>
      </w:r>
    </w:p>
    <w:p>
      <w:r>
        <w:rPr>
          <w:b/>
          <w:sz w:val="19"/>
        </w:rPr>
        <w:t xml:space="preserve">Übertragbarkeit: </w:t>
      </w:r>
      <w:r>
        <w:rPr>
          <w:sz w:val="19"/>
        </w:rPr>
        <w:t>Internationale Kohorten (USA, Asien, Europa), Methoden-Review – Design-Kritik grundsätzlich relevant</w:t>
      </w:r>
    </w:p>
    <w:p>
      <w:r>
        <w:rPr>
          <w:color w:val="5A7D3A"/>
          <w:sz w:val="18"/>
        </w:rPr>
        <w:t>https://pubmed.ncbi.nlm.nih.gov/42875631/</w:t>
      </w:r>
    </w:p>
    <w:p>
      <w:pPr>
        <w:pStyle w:val="Heading1"/>
      </w:pPr>
      <w:r>
        <w:t>Aufgenommen am 18.10.2026</w:t>
      </w:r>
    </w:p>
    <w:p>
      <w:pPr>
        <w:pStyle w:val="Heading2"/>
      </w:pPr>
      <w:r>
        <w:t>Krafttraining senkt Gebrechlichkeit im Alter stärker als Gehen oder Tai Chi</w:t>
      </w:r>
    </w:p>
    <w:p>
      <w:r>
        <w:rPr>
          <w:i/>
          <w:color w:val="666666"/>
          <w:sz w:val="18"/>
        </w:rPr>
        <w:t>Li J et al.  ·  Front Public Health  ·  02.10.2026  ·  PMID 42891303</w:t>
      </w:r>
    </w:p>
    <w:p>
      <w:r>
        <w:t>Systematische Übersicht mit Metaanalyse von randomisierten Studien zu Krafttraining, Gehen und Tai Chi bei älteren Menschen mit Gebrechlichkeit (Frailty).</w:t>
      </w:r>
    </w:p>
    <w:p>
      <w:r>
        <w:rPr>
          <w:b/>
        </w:rPr>
        <w:t xml:space="preserve">Ergebnis: </w:t>
      </w:r>
      <w:r>
        <w:t>Bei 1.361 Teilnehmern zeigte Krafttraining eine signifikante Reduktion von Gebrechlichkeit (SMD = -0,78, 95%-KI -1,22 bis -0,35), während Gehen und Tai Chi keine statistisch signifikanten Effekte aufwiesen. Heterogenität war erheblich (I² = 88%), und optimale Dosierungsempfehlungen konnten nicht abgeleitet werden.</w:t>
      </w:r>
    </w:p>
    <w:p>
      <w:r>
        <w:rPr>
          <w:b/>
          <w:sz w:val="19"/>
        </w:rPr>
        <w:t xml:space="preserve">Übertragbarkeit: </w:t>
      </w:r>
      <w:r>
        <w:rPr>
          <w:sz w:val="19"/>
        </w:rPr>
        <w:t>Internationale Evidenz, direkt auf deutsches Versorgungssystem übertragbar</w:t>
      </w:r>
    </w:p>
    <w:p>
      <w:r>
        <w:rPr>
          <w:color w:val="5A7D3A"/>
          <w:sz w:val="18"/>
        </w:rPr>
        <w:t>https://pubmed.ncbi.nlm.nih.gov/42891303/</w:t>
      </w:r>
    </w:p>
    <w:p>
      <w:pPr>
        <w:pStyle w:val="Heading1"/>
      </w:pPr>
      <w:r>
        <w:t>Aufgenommen am 17.10.2026</w:t>
      </w:r>
    </w:p>
    <w:p>
      <w:pPr>
        <w:pStyle w:val="Heading2"/>
      </w:pPr>
      <w:r>
        <w:t>Vitamin-D-Mangel und Frailty-Risiko im Alter: Assoziationen in USA-Daten</w:t>
      </w:r>
    </w:p>
    <w:p>
      <w:r>
        <w:rPr>
          <w:i/>
          <w:color w:val="666666"/>
          <w:sz w:val="18"/>
        </w:rPr>
        <w:t>Zheng J et al.  ·  Aging Male  ·  31.12.2026  ·  PMID 42886648</w:t>
      </w:r>
    </w:p>
    <w:p>
      <w:r>
        <w:t>Querschnittanalyse von 8.064 US-Amerikanern über 40 Jahren, untersucht die Beziehung zwischen Serum-Vitamin-D und Gebrechlichkeit mit einem 49-Item-Frailty-Index.</w:t>
      </w:r>
    </w:p>
    <w:p>
      <w:r>
        <w:rPr>
          <w:b/>
        </w:rPr>
        <w:t xml:space="preserve">Ergebnis: </w:t>
      </w:r>
      <w:r>
        <w:t>Vitamin-D-Mangel (&lt;25 nmol/L) war mit erhöhtem Frailty-Risiko assoziiert (OR 2,15, 95% CI 1,42–3,25), während Insuffizienz nicht signifikant war (OR 1,15, 95% CI 0,95–1,38). Gebrechlichkeitsprävalenz: Mangel 55,9%, Insuffizienz 42,9%, ausreichend 37,2%. U-förmiger Zusammenhang zwischen Vitamin-D und Frailty-Index.</w:t>
      </w:r>
    </w:p>
    <w:p>
      <w:r>
        <w:rPr>
          <w:b/>
          <w:sz w:val="19"/>
        </w:rPr>
        <w:t xml:space="preserve">Übertragbarkeit: </w:t>
      </w:r>
      <w:r>
        <w:rPr>
          <w:sz w:val="19"/>
        </w:rPr>
        <w:t>USA-Daten, aber Assoziationsfrage unabhängig von Gesundheitssystem, große bevölkerungsrepräsentative Stichprobe.</w:t>
      </w:r>
    </w:p>
    <w:p>
      <w:r>
        <w:rPr>
          <w:color w:val="5A7D3A"/>
          <w:sz w:val="18"/>
        </w:rPr>
        <w:t>https://pubmed.ncbi.nlm.nih.gov/42886648/</w:t>
      </w:r>
    </w:p>
    <w:p>
      <w:pPr>
        <w:pStyle w:val="Heading2"/>
      </w:pPr>
      <w:r>
        <w:t>Mundgesundheit und Gebrechlichkeit im Alter: Geschlechtsunterschiede</w:t>
      </w:r>
    </w:p>
    <w:p>
      <w:r>
        <w:rPr>
          <w:i/>
          <w:color w:val="666666"/>
          <w:sz w:val="18"/>
        </w:rPr>
        <w:t>Yang JE et al.  ·  PLoS One  ·  16.10.2026  ·  PMID 42886645</w:t>
      </w:r>
    </w:p>
    <w:p>
      <w:r>
        <w:t>Südkoreanische Querschnittstudie mit 3.729 älteren Menschen (≥65 Jahre) untersucht Assoziationen zwischen Mundgesundheit und Frailty-Status (robust, Prä-Frailty, Frailty).</w:t>
      </w:r>
    </w:p>
    <w:p>
      <w:r>
        <w:rPr>
          <w:b/>
        </w:rPr>
        <w:t xml:space="preserve">Ergebnis: </w:t>
      </w:r>
      <w:r>
        <w:t>16% waren gebrechlich, 84% nicht gebrechlich. Zahnlosigkeit ohne Zahnersatz war stärkster Faktor (Frauen: OR 3,76; Männer: OR 2,95). Zahnlosigkeit, Kau-/Schluckstörungen und Zahnschmerzen waren signifikant mit Frailty assoziiert. Geschlechtsspezifische Unterschiede: Zahnempfindlichkeit erhöhte Frailty-Risiko bei Frauen (OR 1,82), senkte es bei Männern (OR 0,85).</w:t>
      </w:r>
    </w:p>
    <w:p>
      <w:r>
        <w:rPr>
          <w:b/>
          <w:sz w:val="19"/>
        </w:rPr>
        <w:t xml:space="preserve">Übertragbarkeit: </w:t>
      </w:r>
      <w:r>
        <w:rPr>
          <w:sz w:val="19"/>
        </w:rPr>
        <w:t>Korea, Datenqualität hoch, aber Übertragbarkeit auf Deutschland eingeschränkt durch unterschiedliche Zahnversorgung und Mundgesundheit.</w:t>
      </w:r>
    </w:p>
    <w:p>
      <w:r>
        <w:rPr>
          <w:color w:val="5A7D3A"/>
          <w:sz w:val="18"/>
        </w:rPr>
        <w:t>https://pubmed.ncbi.nlm.nih.gov/42886645/</w:t>
      </w:r>
    </w:p>
    <w:p>
      <w:pPr>
        <w:pStyle w:val="Heading2"/>
      </w:pPr>
      <w:r>
        <w:t>Ernährungsinterventionen bei Mangelernährung, Sarkopenie und Frailty im Alter</w:t>
      </w:r>
    </w:p>
    <w:p>
      <w:r>
        <w:rPr>
          <w:i/>
          <w:color w:val="666666"/>
          <w:sz w:val="18"/>
        </w:rPr>
        <w:t>Khalaf H et al.  ·  Nutrients  ·  27.09.2026  ·  PMID 42884640</w:t>
      </w:r>
    </w:p>
    <w:p>
      <w:r>
        <w:t>Narrative Übersichtsarbeit zur Evidenz für Ernährungsmassnahmen (Food First, Lebensmittelfortifikation, orale Nahrungsergänzungen) bei älteren Menschen und Pflegeheimbewohnern.</w:t>
      </w:r>
    </w:p>
    <w:p>
      <w:r>
        <w:rPr>
          <w:b/>
        </w:rPr>
        <w:t xml:space="preserve">Ergebnis: </w:t>
      </w:r>
      <w:r>
        <w:t>Lebensmittelfortifikation erhöht effektiv Energie- und Proteinaufnahme; orale Nahrungsergänzungen (ONS) verbessern BMI und Alltagsfunktion und senken Hospitalisierungsraten. Multimodale Ansätze (Ernährung plus Bewegung) sind wirksamer; geringe Therapieadhärenz bleibt Barriere. Food-First-Ansatz in Kombination mit ONS zeigt beste Ergebnisse.</w:t>
      </w:r>
    </w:p>
    <w:p>
      <w:r>
        <w:rPr>
          <w:b/>
          <w:sz w:val="19"/>
        </w:rPr>
        <w:t xml:space="preserve">Übertragbarkeit: </w:t>
      </w:r>
      <w:r>
        <w:rPr>
          <w:sz w:val="19"/>
        </w:rPr>
        <w:t>UK/Europa-Daten, transferierbar auf deutschsprachige Pflegeheimversorgung.</w:t>
      </w:r>
    </w:p>
    <w:p>
      <w:r>
        <w:rPr>
          <w:color w:val="5A7D3A"/>
          <w:sz w:val="18"/>
        </w:rPr>
        <w:t>https://pubmed.ncbi.nlm.nih.gov/42884640/</w:t>
      </w:r>
    </w:p>
    <w:p>
      <w:pPr>
        <w:pStyle w:val="Heading2"/>
      </w:pPr>
      <w:r>
        <w:t>Hochverarbeitete Lebensmittel und Frailty im Alter: Assoziationen in Südkorea</w:t>
      </w:r>
    </w:p>
    <w:p>
      <w:r>
        <w:rPr>
          <w:i/>
          <w:color w:val="666666"/>
          <w:sz w:val="18"/>
        </w:rPr>
        <w:t>Lee H et al.  ·  Nutrients  ·  23.09.2026  ·  PMID 42884586</w:t>
      </w:r>
    </w:p>
    <w:p>
      <w:r>
        <w:t>Querschnittanalyse von 9.861 südkoreanischen Älteren (≥65 Jahre) untersucht die Beziehung zwischen Anteil hochverarbeiteter Lebensmittel (UPF) an der Gesamtenergieaufnahme und Gebrechlichkeit.</w:t>
      </w:r>
    </w:p>
    <w:p>
      <w:r>
        <w:rPr>
          <w:b/>
        </w:rPr>
        <w:t xml:space="preserve">Ergebnis: </w:t>
      </w:r>
      <w:r>
        <w:t>Höchstes Quartil UPF-Energieanteil zeigte 31% höheres Frailty-Risiko als niedrigstes (OR 1,31, 95% CI 1,08–1,59, p=0,002). Besondere Assoziation mit niedriger körperlicher Aktivität (OR 1,31, 95% CI 1,13–1,51). Linearer Dosis-Wirkungs-Zusammenhang (keine Nicht-Linearität, p=0,8).</w:t>
      </w:r>
    </w:p>
    <w:p>
      <w:r>
        <w:rPr>
          <w:b/>
          <w:sz w:val="19"/>
        </w:rPr>
        <w:t xml:space="preserve">Übertragbarkeit: </w:t>
      </w:r>
      <w:r>
        <w:rPr>
          <w:sz w:val="19"/>
        </w:rPr>
        <w:t>Korea, Ernährungsassoziationen sind kulturabhängig und weniger auf Deutschland übertragbar als mediterrane oder nordeuropäische Diätmuster.</w:t>
      </w:r>
    </w:p>
    <w:p>
      <w:r>
        <w:rPr>
          <w:color w:val="5A7D3A"/>
          <w:sz w:val="18"/>
        </w:rPr>
        <w:t>https://pubmed.ncbi.nlm.nih.gov/42884586/</w:t>
      </w:r>
    </w:p>
    <w:p>
      <w:pPr>
        <w:pStyle w:val="Heading2"/>
      </w:pPr>
      <w:r>
        <w:t>Alltagsmessung psychischer Symptome im älteren Alter: Machbarkeit und Prädiktoren</w:t>
      </w:r>
    </w:p>
    <w:p>
      <w:r>
        <w:rPr>
          <w:i/>
          <w:color w:val="666666"/>
          <w:sz w:val="18"/>
        </w:rPr>
        <w:t>Kang J et al.  ·  J Affect Disord  ·  01.01.2027  ·  PMID 42785391</w:t>
      </w:r>
    </w:p>
    <w:p>
      <w:r>
        <w:t>US-amerikanische Studie mit 64 älteren Erwachsenen (Durchschnittsalter 63,4 Jahre; 31 gesund, 33 mit Depression), die zweimal täglich über ~10 Wochen Symptome via Smartphone berichteten.</w:t>
      </w:r>
    </w:p>
    <w:p>
      <w:r>
        <w:rPr>
          <w:b/>
        </w:rPr>
        <w:t xml:space="preserve">Ergebnis: </w:t>
      </w:r>
      <w:r>
        <w:t>Gesamtausfallquote 76% (SD 22,1). Gesunde Teilnehmer zeigten höhere Compliance (81% vs. 71% bei Depression, p=0,04). Schnellere Antwortlatenz sagte höhere Adhärenz voraus. Rasche affektive Schwankungen am Anfang waren Prädiktoren niedriger Adhärenz. EMA ist mit Anpassungen im späteren Alter durchführbar.</w:t>
      </w:r>
    </w:p>
    <w:p>
      <w:r>
        <w:rPr>
          <w:b/>
          <w:sz w:val="19"/>
        </w:rPr>
        <w:t xml:space="preserve">Übertragbarkeit: </w:t>
      </w:r>
      <w:r>
        <w:rPr>
          <w:sz w:val="19"/>
        </w:rPr>
        <w:t>USA, Methode unabhängig von Gesundheitssystem, aber Adhärenz-Faktoren in älteren Erwachsenen noch wenig erforscht.</w:t>
      </w:r>
    </w:p>
    <w:p>
      <w:r>
        <w:rPr>
          <w:color w:val="5A7D3A"/>
          <w:sz w:val="18"/>
        </w:rPr>
        <w:t>https://pubmed.ncbi.nlm.nih.gov/42785391/</w:t>
      </w:r>
    </w:p>
    <w:p>
      <w:pPr>
        <w:pStyle w:val="Heading2"/>
      </w:pPr>
      <w:r>
        <w:t>Funktionsfähigkeit am Lebensende: Drei Verlaufsmuster in den letzten Lebensjahren</w:t>
      </w:r>
    </w:p>
    <w:p>
      <w:r>
        <w:rPr>
          <w:i/>
          <w:color w:val="666666"/>
          <w:sz w:val="18"/>
        </w:rPr>
        <w:t>Kyrönlahti S et al.  ·  J Gerontol A Biol Sci Med Sci  ·  06.10.2026  ·  PMID 42720597</w:t>
      </w:r>
    </w:p>
    <w:p>
      <w:r>
        <w:t>Schwedische Längsschnittstudie mit 2.294 älteren Menschen (62% Frauen, Durchschnittsalter 89,8 Jahre), die verfolgte, wie sich Alltagsfähigkeiten (ADL-Einschränkungen) zeitlich vor dem Tod entwickelten.</w:t>
      </w:r>
    </w:p>
    <w:p>
      <w:r>
        <w:rPr>
          <w:b/>
        </w:rPr>
        <w:t xml:space="preserve">Ergebnis: </w:t>
      </w:r>
      <w:r>
        <w:t>53% zeigten durchgehend niedrige ADL-Einschränkungen bis zum Tod, 36% einen flachen Anstieg und 11% einen steilen Anstieg. Frauen, niedriger gebildete Personen und älter Verstorbene hatten häufiger zunehmende Behinderung. Kognitives Defizit war mit steiler Verschlechterung assoziiert. Für die meisten blieb die funktionale Fähigkeit bis 2 Jahre vor dem Tod erhalten.</w:t>
      </w:r>
    </w:p>
    <w:p>
      <w:r>
        <w:rPr>
          <w:b/>
          <w:sz w:val="19"/>
        </w:rPr>
        <w:t xml:space="preserve">Übertragbarkeit: </w:t>
      </w:r>
      <w:r>
        <w:rPr>
          <w:sz w:val="19"/>
        </w:rPr>
        <w:t>Schwedische Daten, vergleichbare nordeuropäische Altersstruktur und Versorgungssystem.</w:t>
      </w:r>
    </w:p>
    <w:p>
      <w:r>
        <w:rPr>
          <w:color w:val="5A7D3A"/>
          <w:sz w:val="18"/>
        </w:rPr>
        <w:t>https://pubmed.ncbi.nlm.nih.gov/42720597/</w:t>
      </w:r>
    </w:p>
    <w:p>
      <w:pPr>
        <w:pStyle w:val="Heading1"/>
      </w:pPr>
      <w:r>
        <w:t>Aufgenommen am 16.10.2026</w:t>
      </w:r>
    </w:p>
    <w:p>
      <w:pPr>
        <w:pStyle w:val="Heading2"/>
      </w:pPr>
      <w:r>
        <w:t>Hörverfall in der Lebensmitte: Metabolische Gesundheit und Lärmexposition prägen Verlauf</w:t>
      </w:r>
    </w:p>
    <w:p>
      <w:r>
        <w:rPr>
          <w:i/>
          <w:color w:val="666666"/>
          <w:sz w:val="18"/>
        </w:rPr>
        <w:t>Smit AL et al.  ·  PLoS One  ·  15.10.2026  ·  PMID 42879410</w:t>
      </w:r>
    </w:p>
    <w:p>
      <w:r>
        <w:t>Sechsjährige Längsschnittstudie an 3.596 Mittelalten (Baseline 45–70 Jahre) in Australien untersucht, wie Stoffwechsel und Umweltfaktoren die Hörfähigkeit beeinflussen.</w:t>
      </w:r>
    </w:p>
    <w:p>
      <w:r>
        <w:rPr>
          <w:b/>
        </w:rPr>
        <w:t xml:space="preserve">Ergebnis: </w:t>
      </w:r>
      <w:r>
        <w:t>Hörschwellen verschlechterten sich über 6 Jahre; Prävalenz mild-oder-stärkerer Hörverlust stieg von 14 % auf 26 % (4FPTA) und 53 % auf 71 % (HFPTA). Größerer Verfall bei Männern und Hochfrequenzen. Signifikante Assoziationen: höheres Alter, männliches Geschlecht, höherer BMI, Rauchen, Tinnitus, chronische Ohrentzündung, Lärmexposition ohne Gehörschutz, Hypertonie und Prädiabetes. Befunde deuten auf komplexes Zusammenspiel metabolischer und Umweltfaktoren.</w:t>
      </w:r>
    </w:p>
    <w:p>
      <w:r>
        <w:rPr>
          <w:b/>
          <w:sz w:val="19"/>
        </w:rPr>
        <w:t xml:space="preserve">Übertragbarkeit: </w:t>
      </w:r>
      <w:r>
        <w:rPr>
          <w:sz w:val="19"/>
        </w:rPr>
        <w:t>Australien, vergleichbar Deutschland und Westeuropa; Gehörverlust in der Lebensmitte auch in Deutschland relevant.</w:t>
      </w:r>
    </w:p>
    <w:p>
      <w:r>
        <w:rPr>
          <w:color w:val="5A7D3A"/>
          <w:sz w:val="18"/>
        </w:rPr>
        <w:t>https://pubmed.ncbi.nlm.nih.gov/42879410/</w:t>
      </w:r>
    </w:p>
    <w:p>
      <w:pPr>
        <w:pStyle w:val="Heading2"/>
      </w:pPr>
      <w:r>
        <w:t>Frailty bei rheumatoider Arthritis: Häufig, prognostisch bedeutsam, teilweise modifizierbar</w:t>
      </w:r>
    </w:p>
    <w:p>
      <w:r>
        <w:rPr>
          <w:i/>
          <w:color w:val="666666"/>
          <w:sz w:val="18"/>
        </w:rPr>
        <w:t>Legge A et al.  ·  Curr Rheumatol Rep  ·  15.10.2026  ·  PMID 42878990</w:t>
      </w:r>
    </w:p>
    <w:p>
      <w:r>
        <w:t>Übersichtsarbeit zur Prävalenz, Messung und klinischen Bedeutung von Frailty bei rheumatoider Arthritis – ein häufiges Merkmal vorzeitigen Alterns.</w:t>
      </w:r>
    </w:p>
    <w:p>
      <w:r>
        <w:rPr>
          <w:b/>
        </w:rPr>
        <w:t xml:space="preserve">Ergebnis: </w:t>
      </w:r>
      <w:r>
        <w:t>Frailty betrifft etwa ein Drittel der RA-Patienten; Prävalenz variiert mit Messinstrument. Frailty konsistent assoziiert mit höherer Krankheitsaktivität, schlechterer körperlicher Funktion, Depression, Schmerz, reduzierter Lebensqualität und mehr Komorbiditäten. Längsschnittstudien zeigen: Frailty prädiktiv für Hospitalisierung, ernsthafte Infektionen, osteoporotische Frakturen, funktionellen Verfall, Wiederaufnahme und Mortalität – unabhängig von klassischen Risikofaktoren. Bidirektionale Beziehung zwischen Frailty und RA-Aktivität; RA-Kontrolle, Arzneimitteloptimierung und körperliche Aktivität können Frailty wahrscheinlich verbessern.</w:t>
      </w:r>
    </w:p>
    <w:p>
      <w:r>
        <w:rPr>
          <w:b/>
          <w:sz w:val="19"/>
        </w:rPr>
        <w:t xml:space="preserve">Übertragbarkeit: </w:t>
      </w:r>
      <w:r>
        <w:rPr>
          <w:sz w:val="19"/>
        </w:rPr>
        <w:t>Versorgungsfrage weltweit; Frailty-Assessment und -Interventionen universell anwendbar.</w:t>
      </w:r>
    </w:p>
    <w:p>
      <w:r>
        <w:rPr>
          <w:color w:val="5A7D3A"/>
          <w:sz w:val="18"/>
        </w:rPr>
        <w:t>https://pubmed.ncbi.nlm.nih.gov/42878990/</w:t>
      </w:r>
    </w:p>
    <w:p>
      <w:pPr>
        <w:pStyle w:val="Heading2"/>
      </w:pPr>
      <w:r>
        <w:t>Psychologische Folgen von Stürzen im Alter: internationale Konsensusdefinition</w:t>
      </w:r>
    </w:p>
    <w:p>
      <w:r>
        <w:rPr>
          <w:i/>
          <w:color w:val="666666"/>
          <w:sz w:val="18"/>
        </w:rPr>
        <w:t>Okrah AK et al.  ·  Age Ageing  ·  03.08.2026  ·  PMID 42878245</w:t>
      </w:r>
    </w:p>
    <w:p>
      <w:r>
        <w:t>Internationale Expertengruppe entwickelt erste formale Definition der psychologischen Schäden nach Stürzen älterer Menschen.</w:t>
      </w:r>
    </w:p>
    <w:p>
      <w:r>
        <w:rPr>
          <w:b/>
        </w:rPr>
        <w:t xml:space="preserve">Ergebnis: </w:t>
      </w:r>
      <w:r>
        <w:t>93 % (28/30) der Panel-Mitglieder bestätigten Bedarf für eine formale Definition. Konsensus erreicht in Runde 4 (n=48, 77,4%), stabilisiert in Runde 5 (n=49, 86,0%). Psychologische Sturzfolgen definiert als emotionale, verhaltensbezogene und psychische Konsequenzen nach Sturz oder Sturzangst, mit Beispielen Sturzsorge (89%) und Aktivitätsvermeidung (82%).</w:t>
      </w:r>
    </w:p>
    <w:p>
      <w:r>
        <w:rPr>
          <w:b/>
          <w:sz w:val="19"/>
        </w:rPr>
        <w:t xml:space="preserve">Übertragbarkeit: </w:t>
      </w:r>
      <w:r>
        <w:rPr>
          <w:sz w:val="19"/>
        </w:rPr>
        <w:t>UK, Australien, Deutschland – Sturzprävention ist universelle Versorgungsfrage.</w:t>
      </w:r>
    </w:p>
    <w:p>
      <w:r>
        <w:rPr>
          <w:color w:val="5A7D3A"/>
          <w:sz w:val="18"/>
        </w:rPr>
        <w:t>https://pubmed.ncbi.nlm.nih.gov/42878245/</w:t>
      </w:r>
    </w:p>
    <w:p>
      <w:pPr>
        <w:pStyle w:val="Heading2"/>
      </w:pPr>
      <w:r>
        <w:t>Soziale Teilhabe stärker mit gesundem Altern verbunden als einzelne Verhaltensweisen</w:t>
      </w:r>
    </w:p>
    <w:p>
      <w:r>
        <w:rPr>
          <w:i/>
          <w:color w:val="666666"/>
          <w:sz w:val="18"/>
        </w:rPr>
        <w:t>Sahab L et al.  ·  Front Public Health  ·  30.09.2026  ·  PMID 42876511</w:t>
      </w:r>
    </w:p>
    <w:p>
      <w:r>
        <w:t>Longitudinale Analyse von 9.748 älteren Amerikanern über 10 Jahre prüft, welche Faktoren mit Freiheit von Behinderung, kognitiver Intaktheit und hoher Funktionsfähigkeit im Alter assoziiert sind.</w:t>
      </w:r>
    </w:p>
    <w:p>
      <w:r>
        <w:rPr>
          <w:b/>
        </w:rPr>
        <w:t xml:space="preserve">Ergebnis: </w:t>
      </w:r>
      <w:r>
        <w:t>Soziale Teilhabe 2006 signifikant assoziiert mit gesundem Altern 2016 (Schätzer 0,09, 95%-KI 0,08–0,11). Körperliche Aktivität zeigte stärkste Assoziation (0,31, 95%-KI 0,29–0,33). Gesundes Altern 2010 prädiktiv für 2016 (0,46, 95%-KI 0,45–0,47). Soziale Teilhabe ist Schlüsselfaktor für Healthy Ageing neben etablierten Verhaltensweisen.</w:t>
      </w:r>
    </w:p>
    <w:p>
      <w:r>
        <w:rPr>
          <w:b/>
          <w:sz w:val="19"/>
        </w:rPr>
        <w:t xml:space="preserve">Übertragbarkeit: </w:t>
      </w:r>
      <w:r>
        <w:rPr>
          <w:sz w:val="19"/>
        </w:rPr>
        <w:t>USA, Datenbasis Health and Retirement Study – Sozialsystem unterscheidet sich; Kernbefund zu sozialer Teilhabe aber universell relevant.</w:t>
      </w:r>
    </w:p>
    <w:p>
      <w:r>
        <w:rPr>
          <w:color w:val="5A7D3A"/>
          <w:sz w:val="18"/>
        </w:rPr>
        <w:t>https://pubmed.ncbi.nlm.nih.gov/42876511/</w:t>
      </w:r>
    </w:p>
    <w:p>
      <w:pPr>
        <w:pStyle w:val="Heading2"/>
      </w:pPr>
      <w:r>
        <w:t>Frailty-Assessment in Alzheimer-Therapieentscheidungen: Expertenkonsens</w:t>
      </w:r>
    </w:p>
    <w:p>
      <w:r>
        <w:rPr>
          <w:i/>
          <w:color w:val="666666"/>
          <w:sz w:val="18"/>
        </w:rPr>
        <w:t>Bellelli G et al.  ·  J Prev Alzheimers Dis  ·  04.09.2026  ·  PMID 42697176</w:t>
      </w:r>
    </w:p>
    <w:p>
      <w:r>
        <w:t>Europäische und internationale Expertengruppe empfiehlt systematische Frailty-Bewertung bei Auswahl von Disease-modifying-Therapien im Alter.</w:t>
      </w:r>
    </w:p>
    <w:p>
      <w:r>
        <w:rPr>
          <w:b/>
        </w:rPr>
        <w:t xml:space="preserve">Ergebnis: </w:t>
      </w:r>
      <w:r>
        <w:t>Frailty betrifft etwa ein Drittel der Alzheimer-Patienten. Frailty ist assoziiert mit höherer Krankheitsaktivität, schlechterer Funktionsfähigkeit, mehr Depressionen, Schmerzen und Mortalität – unabhängig von klassischen Risikofaktoren. Empfehlung: regelmäßiges Frailty-Assessment in Klinik und Studien; Arzneimitteloptimierung und körperliche Aktivität können Frailty möglicherweise verbessern.</w:t>
      </w:r>
    </w:p>
    <w:p>
      <w:r>
        <w:rPr>
          <w:b/>
          <w:sz w:val="19"/>
        </w:rPr>
        <w:t xml:space="preserve">Übertragbarkeit: </w:t>
      </w:r>
      <w:r>
        <w:rPr>
          <w:sz w:val="19"/>
        </w:rPr>
        <w:t>Europäische Versorgungssysteme (Italien, UK, Frankreich, Schweiz, Skandinavien, Irland); direkt auf deutsches Setting übertragbar.</w:t>
      </w:r>
    </w:p>
    <w:p>
      <w:r>
        <w:rPr>
          <w:color w:val="5A7D3A"/>
          <w:sz w:val="18"/>
        </w:rPr>
        <w:t>https://pubmed.ncbi.nlm.nih.gov/42697176/</w:t>
      </w:r>
    </w:p>
    <w:p>
      <w:pPr>
        <w:pStyle w:val="Heading2"/>
      </w:pPr>
      <w:r>
        <w:t>Kognitiver Abbau beginnt bereits in den 30ern: Längsschnittpool aus drei Kontinenten</w:t>
      </w:r>
    </w:p>
    <w:p>
      <w:r>
        <w:rPr>
          <w:i/>
          <w:color w:val="666666"/>
          <w:sz w:val="18"/>
        </w:rPr>
        <w:t>Novotný JS et al.  ·  J Prev Alzheimers Dis  ·  07.08.2026  ·  PMID 42566820</w:t>
      </w:r>
    </w:p>
    <w:p>
      <w:r>
        <w:t>Gepoolte Längsschnittstudie mit 14.389 Erwachsenen aus China, USA und Tschechien identifiziert Alter des Beginns messbarer kognitiver Abnahme und ihre Trajektorien.</w:t>
      </w:r>
    </w:p>
    <w:p>
      <w:r>
        <w:rPr>
          <w:b/>
        </w:rPr>
        <w:t xml:space="preserve">Ergebnis: </w:t>
      </w:r>
      <w:r>
        <w:t>Messbarer kognitiver Abbau erste Mal in der Altersgruppe 31–40 Jahre erkannt (durchschnittliche Änderung −1,2 Punkte, 95%-KI −2,1 bis −0,3). Abnahmemagnitude stieg progressiv mit Alter, erreichte −11,4 Punkte in ältesten Gruppe (alle p&lt;0,001). Nicht-Gedächtnisdomänen zeigten frühere Anfälligkeit (ab 31 Jahre), signifikanter Gedächtnisabbau erst nach 50. Individuelle Trajektorien zeigen hohe Heterogenität; chronologisches Alter ist kein deterministischer Proxy für Abbau. Befunde unterstützen Lebenskurs-Ansätze zur Gehirngesundheit.</w:t>
      </w:r>
    </w:p>
    <w:p>
      <w:r>
        <w:rPr>
          <w:b/>
          <w:sz w:val="19"/>
        </w:rPr>
        <w:t xml:space="preserve">Übertragbarkeit: </w:t>
      </w:r>
      <w:r>
        <w:rPr>
          <w:sz w:val="19"/>
        </w:rPr>
        <w:t>Asien, Nordamerika, Europa – Datenkohärenz über drei Kontinente; universell für frühe Überwachung relevant.</w:t>
      </w:r>
    </w:p>
    <w:p>
      <w:r>
        <w:rPr>
          <w:color w:val="5A7D3A"/>
          <w:sz w:val="18"/>
        </w:rPr>
        <w:t>https://pubmed.ncbi.nlm.nih.gov/42566820/</w:t>
      </w:r>
    </w:p>
    <w:p>
      <w:pPr>
        <w:pStyle w:val="Heading1"/>
      </w:pPr>
      <w:r>
        <w:t>Aufgenommen am 15.10.2026</w:t>
      </w:r>
    </w:p>
    <w:p>
      <w:pPr>
        <w:pStyle w:val="Heading2"/>
      </w:pPr>
      <w:r>
        <w:t>Blutmetaboliten als Sterblichkeitsuhr: Beschleunigte Metabolomic-Alterung erhöht Mortalität um 60%</w:t>
      </w:r>
    </w:p>
    <w:p>
      <w:r>
        <w:rPr>
          <w:i/>
          <w:color w:val="666666"/>
          <w:sz w:val="18"/>
        </w:rPr>
        <w:t>Cao L et al.  ·  Sci Transl Med  ·  14.10.2026  ·  PMID 42873893</w:t>
      </w:r>
    </w:p>
    <w:p>
      <w:r>
        <w:t>Entwicklung von Metabolomic-Alterungsuhr (mAA) und Mortalitäts-Metrik (Age Deviation) an 18.476 Chinesen (Alter 1–96 Jahre) mittels Plasma-Metabolom-Profiling über 6 Jahre Nachbeobachtung (2019–2025).</w:t>
      </w:r>
    </w:p>
    <w:p>
      <w:r>
        <w:rPr>
          <w:b/>
        </w:rPr>
        <w:t xml:space="preserve">Ergebnis: </w:t>
      </w:r>
      <w:r>
        <w:t>56 altersassoziierte Metabolite wurden identifiziert. Höhere mAA war assoziiert mit Gesundheitsverschlechterung, ungünstigen Lebensstilen und erhöhtem Risiko für chronische Erkrankungen (Fettleber, Hypertonie, Diabetes) sowie All-Cause-Mortalität während Follow-up. Age Deviation (Abweichung vom alterserwarteten Mortalitätsrisiko) korrelierte mit etablierten Gesundheitsmessgrößen und Multimorbidität. Plasma-Metabolomic-Profile könnten als skalierbare, lebensumfassende Methode zur Risikoschichtung verwendet werden.</w:t>
      </w:r>
    </w:p>
    <w:p>
      <w:r>
        <w:rPr>
          <w:b/>
          <w:sz w:val="19"/>
        </w:rPr>
        <w:t xml:space="preserve">Übertragbarkeit: </w:t>
      </w:r>
      <w:r>
        <w:rPr>
          <w:sz w:val="19"/>
        </w:rPr>
        <w:t>China; Metabolomic-Biomarker erfordern Validierung in europäischen Kohorten</w:t>
      </w:r>
    </w:p>
    <w:p>
      <w:r>
        <w:rPr>
          <w:color w:val="5A7D3A"/>
          <w:sz w:val="18"/>
        </w:rPr>
        <w:t>https://pubmed.ncbi.nlm.nih.gov/42873893/</w:t>
      </w:r>
    </w:p>
    <w:p>
      <w:pPr>
        <w:pStyle w:val="Heading2"/>
      </w:pPr>
      <w:r>
        <w:t>Frailty und Hypoalbuminämie als Prädiktoren für Funktionsverlust nach Schlaganfall</w:t>
      </w:r>
    </w:p>
    <w:p>
      <w:r>
        <w:rPr>
          <w:i/>
          <w:color w:val="666666"/>
          <w:sz w:val="18"/>
        </w:rPr>
        <w:t>Yang J et al.  ·  Nurs Open  ·  Okt. 2026  ·  PMID 42872623</w:t>
      </w:r>
    </w:p>
    <w:p>
      <w:r>
        <w:t>Prospektive Kohortenstudie an 175 Schlaganfallpatienten, die untersuchte, ob Hypoalbuminämie die Beziehung zwischen Gebrechlichkeit und schlechtem funktionellem Outcome vermittelt.</w:t>
      </w:r>
    </w:p>
    <w:p>
      <w:r>
        <w:rPr>
          <w:b/>
        </w:rPr>
        <w:t xml:space="preserve">Ergebnis: </w:t>
      </w:r>
      <w:r>
        <w:t>Von 175 Patienten waren 29,7% gebrechlich und 36,6% entwickelten Hypoalbuminämie. Gebrechlichkeit war assoziiert mit schlechtem Outcome (mRS &gt;3) bei Entlassung (RR 1,56; 95% KI 1,12–2,16), nach 30 Tagen (RR 2,02; 95% KI 1,41–2,89) und nach 90 Tagen (RR 2,79; 95% KI 1,81–4,30). Hypoalbuminämie vermittelte diese Assoziation teilweise mit Anteilen von 22,2% (Entlassung), 16,9% (30 Tage) und 14,0% (90 Tage). Das Frailty-Screening und Albuminmonitoring können frühe Risikostratifizierung ermöglichen.</w:t>
      </w:r>
    </w:p>
    <w:p>
      <w:r>
        <w:rPr>
          <w:b/>
          <w:sz w:val="19"/>
        </w:rPr>
        <w:t xml:space="preserve">Übertragbarkeit: </w:t>
      </w:r>
      <w:r>
        <w:rPr>
          <w:sz w:val="19"/>
        </w:rPr>
        <w:t>China-Daten, aber Frailty-Assessment und Ernährungsmonitoring sind universal anwendbar</w:t>
      </w:r>
    </w:p>
    <w:p>
      <w:r>
        <w:rPr>
          <w:color w:val="5A7D3A"/>
          <w:sz w:val="18"/>
        </w:rPr>
        <w:t>https://pubmed.ncbi.nlm.nih.gov/42872623/</w:t>
      </w:r>
    </w:p>
    <w:p>
      <w:pPr>
        <w:pStyle w:val="Heading2"/>
      </w:pPr>
      <w:r>
        <w:t>Neurotoxische Berufsexpositionen beschleunigen Gehirnalterung: Scoping Review zu Kognitiver Reserve</w:t>
      </w:r>
    </w:p>
    <w:p>
      <w:r>
        <w:rPr>
          <w:i/>
          <w:color w:val="666666"/>
          <w:sz w:val="18"/>
        </w:rPr>
        <w:t>Leton N et al.  ·  Front Public Health  ·  29.09.2026  ·  PMID 42871458</w:t>
      </w:r>
    </w:p>
    <w:p>
      <w:r>
        <w:t>Systematische Scoping Review (16 Studien, 2011–2026) zur Assoziation beruflicher Neurotoxinexpositionen (Blei, Aluminium, Lösungsmittel) mit kognitiven Defiziten und Gehirnalterung.</w:t>
      </w:r>
    </w:p>
    <w:p>
      <w:r>
        <w:rPr>
          <w:b/>
        </w:rPr>
        <w:t xml:space="preserve">Ergebnis: </w:t>
      </w:r>
      <w:r>
        <w:t>Studien zeigten durchgehend Assoziationen zwischen Exposition (Blei, Lösungsmittel, Verbrennungsprodukte) und kognitiven oder neurologischen Defiziten relevant für Gehirnalterung. Häufigste Outcomes: Kognitive Abnahme/Beeinträchtigung; Neuroimaging-Befunde: funktionelle Konnektivität, Weiße-Substanz-Veränderungen, kortikale Dicke und Hirnvolumenreduktion. Kognitive Reserve wurde inkonsistent operationalisiert (Bildung, biologische Anfälligkeit, Neuroimaging-Marker). China war am häufigsten vertreten, Evidenz aus anderen ressourcenlimitierten Regionen begrenzt.</w:t>
      </w:r>
    </w:p>
    <w:p>
      <w:r>
        <w:rPr>
          <w:b/>
          <w:sz w:val="19"/>
        </w:rPr>
        <w:t xml:space="preserve">Übertragbarkeit: </w:t>
      </w:r>
      <w:r>
        <w:rPr>
          <w:sz w:val="19"/>
        </w:rPr>
        <w:t>Internationale Berufsgesundheit; Deutschland mit vergleichbarer Expositionserfassung</w:t>
      </w:r>
    </w:p>
    <w:p>
      <w:r>
        <w:rPr>
          <w:color w:val="5A7D3A"/>
          <w:sz w:val="18"/>
        </w:rPr>
        <w:t>https://pubmed.ncbi.nlm.nih.gov/42871458/</w:t>
      </w:r>
    </w:p>
    <w:p>
      <w:pPr>
        <w:pStyle w:val="Heading2"/>
      </w:pPr>
      <w:r>
        <w:t>Altersstigma fördert Depression im Alter: Soziale Unterstützung als Schutzfaktor</w:t>
      </w:r>
    </w:p>
    <w:p>
      <w:r>
        <w:rPr>
          <w:i/>
          <w:color w:val="666666"/>
          <w:sz w:val="18"/>
        </w:rPr>
        <w:t>Karasoy G et al.  ·  Psychogeriatrics  ·  Nov. 2026  ·  PMID 42870687</w:t>
      </w:r>
    </w:p>
    <w:p>
      <w:r>
        <w:t>Querschnittstudie an 162 Personen ab 65 Jahren zur Assoziation von internalisiertem Altersstigma und wahrgenommener sozialer Unterstützung mit depressiven Symptomen.</w:t>
      </w:r>
    </w:p>
    <w:p>
      <w:r>
        <w:rPr>
          <w:b/>
        </w:rPr>
        <w:t xml:space="preserve">Ergebnis: </w:t>
      </w:r>
      <w:r>
        <w:t>Höheres Altersstigma war assoziiert mit höheren depressiven Symptomen (β=0,205; 95% KI 0,099–0,311), höhere soziale Unterstützung mit niedrigeren Symptomen (β=−0,506; 95% KI −0,636 bis −0,375). Die Interaktion war signifikant (B=−0,002; 95% KI −0,003 bis −0,001; p&lt;0,001): Altersstigma war nur bei niedriger bis mittlerer sozialer Unterstützung mit Depression assoziiert, nicht bei hoher Unterstützung. Soziale Ressourcen puffern den negativen Effekt von Altersstereotypen.</w:t>
      </w:r>
    </w:p>
    <w:p>
      <w:r>
        <w:rPr>
          <w:b/>
          <w:sz w:val="19"/>
        </w:rPr>
        <w:t xml:space="preserve">Übertragbarkeit: </w:t>
      </w:r>
      <w:r>
        <w:rPr>
          <w:sz w:val="19"/>
        </w:rPr>
        <w:t>Türkei; Psychosoziale Mechanismen universal, aber Sozialversicherung unterschiedlich</w:t>
      </w:r>
    </w:p>
    <w:p>
      <w:r>
        <w:rPr>
          <w:color w:val="5A7D3A"/>
          <w:sz w:val="18"/>
        </w:rPr>
        <w:t>https://pubmed.ncbi.nlm.nih.gov/42870687/</w:t>
      </w:r>
    </w:p>
    <w:p>
      <w:pPr>
        <w:pStyle w:val="Heading2"/>
      </w:pPr>
      <w:r>
        <w:t>Sozioräumliche Ungleichheit und vorzeitige Alterung: Schwarze Amerikaner mit 5- bis 6-fach höherer Exposition</w:t>
      </w:r>
    </w:p>
    <w:p>
      <w:r>
        <w:rPr>
          <w:i/>
          <w:color w:val="666666"/>
          <w:sz w:val="18"/>
        </w:rPr>
        <w:t>Martin CL et al.  ·  J Gerontol B Psychol Sci Soc Sci  ·  01.10.2026  ·  PMID 42837511</w:t>
      </w:r>
    </w:p>
    <w:p>
      <w:r>
        <w:t>Analyse der National Longitudinal Study of Adolescent to Adult Health (Add Health), die umfangreiche, zeitvariable sozioräumliche Indikatoren (Wohnen, Justiz, Gewalt, Wirtschaft) mit geografischen Ebenen verknüpfte, um Altersungleichheiten vom Jugendalter (12–20 Jahre) bis ins frühe mittlere Alter (33–42 Jahre) zu dokumentieren.</w:t>
      </w:r>
    </w:p>
    <w:p>
      <w:r>
        <w:rPr>
          <w:b/>
        </w:rPr>
        <w:t xml:space="preserve">Ergebnis: </w:t>
      </w:r>
      <w:r>
        <w:t>Erhebliche und persistente Black-White-Disparitäten über alle Bereiche hinweg: Schwarze Befragte lebten signifikant häufiger in Counties mit höherer Zwangsräumungsquote, ökonomischer Segregation, höherer Haftquote und mehr Hate-Crime-Vorfällen. Schwarze Befragte lebten zudem in Bundesstaaten mit höherer historischer Lynchjustiz-Gewalt. Diese Messungen ermöglichen die Identifikation von Life-Course-Pfaden gesundheitlicher Ungleichheit.</w:t>
      </w:r>
    </w:p>
    <w:p>
      <w:r>
        <w:rPr>
          <w:b/>
          <w:sz w:val="19"/>
        </w:rPr>
        <w:t xml:space="preserve">Übertragbarkeit: </w:t>
      </w:r>
      <w:r>
        <w:rPr>
          <w:sz w:val="19"/>
        </w:rPr>
        <w:t>USA-Studie; Konzept der strukturellen Determinanten auf DACH übertragbar, aber Ausprägung völlig anders</w:t>
      </w:r>
    </w:p>
    <w:p>
      <w:r>
        <w:rPr>
          <w:color w:val="5A7D3A"/>
          <w:sz w:val="18"/>
        </w:rPr>
        <w:t>https://pubmed.ncbi.nlm.nih.gov/42837511/</w:t>
      </w:r>
    </w:p>
    <w:p>
      <w:pPr>
        <w:pStyle w:val="Heading2"/>
      </w:pPr>
      <w:r>
        <w:t>Geschlechtsspezifische Osteoporose-Progression: Knochendichteverlust ab 56 Jahren bei Männern, ab 64 Jahren bei Frauen</w:t>
      </w:r>
    </w:p>
    <w:p>
      <w:r>
        <w:rPr>
          <w:i/>
          <w:color w:val="666666"/>
          <w:sz w:val="18"/>
        </w:rPr>
        <w:t>Schröder G et al.  ·  PLoS One  ·  28.09.2026  ·  PMID 42804446</w:t>
      </w:r>
    </w:p>
    <w:p>
      <w:r>
        <w:t>Retrospektive Analyse von 71 CT-Aufnahmen der Wirbelsäule (C3–L5, Alter 4–102 Jahre) zur Quantifizierung altersbezogener Knochendichteverluste.</w:t>
      </w:r>
    </w:p>
    <w:p>
      <w:r>
        <w:rPr>
          <w:b/>
        </w:rPr>
        <w:t xml:space="preserve">Ergebnis: </w:t>
      </w:r>
      <w:r>
        <w:t>Hounsfield-Einheiten (HU) nahmen mit dem Alter ab (p&lt;0,001), mit ausgeprägtem Rückgang nach dem 60. Lebensjahr. Regressionsanalysen zeigten zwei Phasen des Dichteverlusts: bei Frauen später eintretend (nach 64 Jahren) als bei Männern (nach 56 Jahren, p&lt;0,001). HU-Werte korrelierten mit Knochenmineraldichte (r=0,86; 95% KI 0,72–0,94) und Knochenvolumenanteil (r=0,51; 95% KI 0,17–0,75). Ergebnisse unterstreichen Bedarf für geschlechtsspezifische Osteoporose-Prävention.</w:t>
      </w:r>
    </w:p>
    <w:p>
      <w:r>
        <w:rPr>
          <w:b/>
          <w:sz w:val="19"/>
        </w:rPr>
        <w:t xml:space="preserve">Übertragbarkeit: </w:t>
      </w:r>
      <w:r>
        <w:rPr>
          <w:sz w:val="19"/>
        </w:rPr>
        <w:t>Deutsche Kliniken mit CT-Daten vergleichbar; Altersgradienten international übertragbar</w:t>
      </w:r>
    </w:p>
    <w:p>
      <w:r>
        <w:rPr>
          <w:color w:val="5A7D3A"/>
          <w:sz w:val="18"/>
        </w:rPr>
        <w:t>https://pubmed.ncbi.nlm.nih.gov/42804446/</w:t>
      </w:r>
    </w:p>
    <w:p>
      <w:pPr>
        <w:pStyle w:val="Heading1"/>
      </w:pPr>
      <w:r>
        <w:t>Aufgenommen am 14.10.2026</w:t>
      </w:r>
    </w:p>
    <w:p>
      <w:pPr>
        <w:pStyle w:val="Heading2"/>
      </w:pPr>
      <w:r>
        <w:t>Schlafqualität als Vermittler zwischen Frailty und kognitiver Beeinträchtigung</w:t>
      </w:r>
    </w:p>
    <w:p>
      <w:r>
        <w:rPr>
          <w:i/>
          <w:color w:val="666666"/>
          <w:sz w:val="18"/>
        </w:rPr>
        <w:t>Chen L et al.  ·  Nurs Open  ·  Okt. 2026  ·  PMID 42868268</w:t>
      </w:r>
    </w:p>
    <w:p>
      <w:r>
        <w:t>Querschnittstudie an 2.830 Personen ab 60 Jahren in China untersuchte, ob Schlafqualität die Beziehung zwischen körperlicher Gebrechlichkeit (Frailty) und kognitiver Beeinträchtigung erklärt.</w:t>
      </w:r>
    </w:p>
    <w:p>
      <w:r>
        <w:rPr>
          <w:b/>
        </w:rPr>
        <w:t xml:space="preserve">Ergebnis: </w:t>
      </w:r>
      <w:r>
        <w:t>Kognitive Beeinträchtigung lag bei 21,77% vor. Schlafqualität vermittelte partiell die Beziehung zwischen Frailty und kognitiver Beeinträchtigung und erklärte 12,37 % des Gesamteffekts. Bessere Schlafqualität senkte signifikant das Risiko für kognitiven Verfall bei gebrechlichen älteren Menschen.</w:t>
      </w:r>
    </w:p>
    <w:p>
      <w:r>
        <w:rPr>
          <w:b/>
          <w:sz w:val="19"/>
        </w:rPr>
        <w:t xml:space="preserve">Übertragbarkeit: </w:t>
      </w:r>
      <w:r>
        <w:rPr>
          <w:sz w:val="19"/>
        </w:rPr>
        <w:t>China, aber Frailty-Screening und Schlafintervention sind geriatrischer Standard überall.</w:t>
      </w:r>
    </w:p>
    <w:p>
      <w:r>
        <w:rPr>
          <w:color w:val="5A7D3A"/>
          <w:sz w:val="18"/>
        </w:rPr>
        <w:t>https://pubmed.ncbi.nlm.nih.gov/42868268/</w:t>
      </w:r>
    </w:p>
    <w:p>
      <w:pPr>
        <w:pStyle w:val="Heading2"/>
      </w:pPr>
      <w:r>
        <w:t>Strukturelles Training und kognitive Aktivitäten verlängern demenzfreie Lebensjahre</w:t>
      </w:r>
    </w:p>
    <w:p>
      <w:r>
        <w:rPr>
          <w:i/>
          <w:color w:val="666666"/>
          <w:sz w:val="18"/>
        </w:rPr>
        <w:t>Li X et al.  ·  Alzheimers Dement  ·  Okt. 2026  ·  PMID 42867075</w:t>
      </w:r>
    </w:p>
    <w:p>
      <w:r>
        <w:t>Vierjährige prospektive Kohortenstudie (vier internationale Kohorten) untersuchte, wie körperliche Aktivität und kognitiv-soziale Aktivitäten zusammenhängen und die demenzfreie Lebenserwartung ab 50 Jahren beeinflussen.</w:t>
      </w:r>
    </w:p>
    <w:p>
      <w:r>
        <w:rPr>
          <w:b/>
        </w:rPr>
        <w:t xml:space="preserve">Ergebnis: </w:t>
      </w:r>
      <w:r>
        <w:t>Demenzfreie Lebenserwartung ab 50 Jahren betrug 17,5 Jahre (niedrig-niedrig), 23,2 Jahre (hoch-niedrig), 20,1 Jahre (niedrig-hoch) und 24,7 Jahre (hoch-hoch). Strukturelles Training und kognitiv-soziale Aktivitäten zeigten kombinierte, nicht austauschbare Vorteile – beide Faktoren sind erforderlich für optimale kognitive Alterung.</w:t>
      </w:r>
    </w:p>
    <w:p>
      <w:r>
        <w:rPr>
          <w:b/>
          <w:sz w:val="19"/>
        </w:rPr>
        <w:t xml:space="preserve">Übertragbarkeit: </w:t>
      </w:r>
      <w:r>
        <w:rPr>
          <w:sz w:val="19"/>
        </w:rPr>
        <w:t>Vier Kohorten aus Asien, Nordamerika, Europa; Befunde gelten kulturübergreifend.</w:t>
      </w:r>
    </w:p>
    <w:p>
      <w:r>
        <w:rPr>
          <w:color w:val="5A7D3A"/>
          <w:sz w:val="18"/>
        </w:rPr>
        <w:t>https://pubmed.ncbi.nlm.nih.gov/42867075/</w:t>
      </w:r>
    </w:p>
    <w:p>
      <w:pPr>
        <w:pStyle w:val="Heading2"/>
      </w:pPr>
      <w:r>
        <w:t>Soziale Unterstützung mildert Frailty-Effekte auf Kognition im Krankenhaus</w:t>
      </w:r>
    </w:p>
    <w:p>
      <w:r>
        <w:rPr>
          <w:i/>
          <w:color w:val="666666"/>
          <w:sz w:val="18"/>
        </w:rPr>
        <w:t>Dai J et al.  ·  Front Public Health  ·  28.09.2026  ·  PMID 42865808</w:t>
      </w:r>
    </w:p>
    <w:p>
      <w:r>
        <w:t>Querschnittstudie an 1.611 hospitalisierten Personen ≥60 Jahren untersuchte, wie Frailty auf Kognition wirkt und ob soziale Unterstützung diese Beziehung puffert.</w:t>
      </w:r>
    </w:p>
    <w:p>
      <w:r>
        <w:rPr>
          <w:b/>
        </w:rPr>
        <w:t xml:space="preserve">Ergebnis: </w:t>
      </w:r>
      <w:r>
        <w:t>Der Gesamteffekt von Frailty auf niedrigere kognitive Scores war statistisch nicht signifikant (p&gt;0,05), aber der indirekte Effekt über Depressionen und eingeschränkte Alltagsfunktionen erklärte 88,8 % der Assoziation. Soziale Unterstützung moderierte den Frailty-BADL-Link (B=0,120, p&lt;0,001) und den GDS-MMSE-Link (B=0,014, p=0,004) signifikant.</w:t>
      </w:r>
    </w:p>
    <w:p>
      <w:r>
        <w:rPr>
          <w:b/>
          <w:sz w:val="19"/>
        </w:rPr>
        <w:t xml:space="preserve">Übertragbarkeit: </w:t>
      </w:r>
      <w:r>
        <w:rPr>
          <w:sz w:val="19"/>
        </w:rPr>
        <w:t>China; Versorgungsmodell mit geriatrischem Assessment in Kliniken vergleichbar.</w:t>
      </w:r>
    </w:p>
    <w:p>
      <w:r>
        <w:rPr>
          <w:color w:val="5A7D3A"/>
          <w:sz w:val="18"/>
        </w:rPr>
        <w:t>https://pubmed.ncbi.nlm.nih.gov/42865808/</w:t>
      </w:r>
    </w:p>
    <w:p>
      <w:pPr>
        <w:pStyle w:val="Heading2"/>
      </w:pPr>
      <w:r>
        <w:t>Schmerz vorhersagt Frailty-Entstehung bei Fettlebererkrankung deutlich</w:t>
      </w:r>
    </w:p>
    <w:p>
      <w:r>
        <w:rPr>
          <w:i/>
          <w:color w:val="666666"/>
          <w:sz w:val="18"/>
        </w:rPr>
        <w:t>Hu H et al.  ·  Front Endocrinol (Lausanne)  ·  28.09.2026  ·  PMID 42865368</w:t>
      </w:r>
    </w:p>
    <w:p>
      <w:r>
        <w:t>Prospektive Kohortenstudie mit 3.622 CHARLS- und 2.059 ELSA-Teilnehmern (7–8 Jahre Follow-up) untersuchte, ob Schmerz ein stärkerer Prädiktor für Frailty-Neuauftreten ist als andere Faktoren und ob Depressionen die Wirkung vermitteln.</w:t>
      </w:r>
    </w:p>
    <w:p>
      <w:r>
        <w:rPr>
          <w:b/>
        </w:rPr>
        <w:t xml:space="preserve">Ergebnis: </w:t>
      </w:r>
      <w:r>
        <w:t>Schmerz war der stärkste Prädiktor für neue Frailty. Nach vollständiger Anpassung (mit Basis-Frailty-Index) zeigte Schmerz in CHARLS HR 1,219 (95%-CI 1,085–1,368) und in ELSA HR 1,310 (95%-CI 1,114–1,539). Die Bevölkerungsattributable Fraktion betrug 8,01 % (CHARLS) und 11,98 % (ELSA). Depressionen vermittelten 74,0 % (CHARLS) und 46,1 % (ELSA) des Gesamteffekts.</w:t>
      </w:r>
    </w:p>
    <w:p>
      <w:r>
        <w:rPr>
          <w:b/>
          <w:sz w:val="19"/>
        </w:rPr>
        <w:t xml:space="preserve">Übertragbarkeit: </w:t>
      </w:r>
      <w:r>
        <w:rPr>
          <w:sz w:val="19"/>
        </w:rPr>
        <w:t>China (CHARLS) und Großbritannien (ELSA); externe Validierung erhöht Übertragbarkeit.</w:t>
      </w:r>
    </w:p>
    <w:p>
      <w:r>
        <w:rPr>
          <w:color w:val="5A7D3A"/>
          <w:sz w:val="18"/>
        </w:rPr>
        <w:t>https://pubmed.ncbi.nlm.nih.gov/42865368/</w:t>
      </w:r>
    </w:p>
    <w:p>
      <w:pPr>
        <w:pStyle w:val="Heading2"/>
      </w:pPr>
      <w:r>
        <w:t>Chronische Einsamkeit verschlechtert Gesundheit und Funktionsfähigkeit älterer Menschen</w:t>
      </w:r>
    </w:p>
    <w:p>
      <w:r>
        <w:rPr>
          <w:i/>
          <w:color w:val="666666"/>
          <w:sz w:val="18"/>
        </w:rPr>
        <w:t>Ma Y et al.  ·  Nat Commun  ·  11.09.2026  ·  PMID 42864355</w:t>
      </w:r>
    </w:p>
    <w:p>
      <w:r>
        <w:t>Längsschnittstudie an 4.090 älteren Personen aus der English Longitudinal Study of Ageing untersuchte, wie chronische Einsamkeit und soziale Isolation mit 17 Gesundheitsergebnissen zusammenhängen.</w:t>
      </w:r>
    </w:p>
    <w:p>
      <w:r>
        <w:rPr>
          <w:b/>
        </w:rPr>
        <w:t xml:space="preserve">Ergebnis: </w:t>
      </w:r>
      <w:r>
        <w:t>Chronische Einsamkeit war mit schlechterer allgemeiner Gesundheit, reduzierter Funktionsfähigkeit und beeinträchtigtem psychischem Wohlbefinden sowie mehr gesundheitsschädlichen Verhaltensweisen assoziiert. Chronische Isolation und Isolationsbeginn waren mit niedrigerer Lebensqualität verbunden; Isolationsremission zeigte positive Effekte auf Wohlbefinden und Kognition gegenüber persistierender Isolation.</w:t>
      </w:r>
    </w:p>
    <w:p>
      <w:r>
        <w:rPr>
          <w:b/>
          <w:sz w:val="19"/>
        </w:rPr>
        <w:t xml:space="preserve">Übertragbarkeit: </w:t>
      </w:r>
      <w:r>
        <w:rPr>
          <w:sz w:val="19"/>
        </w:rPr>
        <w:t>England; europäisches Versorgungssystem, vergleichbares Gesundheitswesen und Sozialstrukturen.</w:t>
      </w:r>
    </w:p>
    <w:p>
      <w:r>
        <w:rPr>
          <w:color w:val="5A7D3A"/>
          <w:sz w:val="18"/>
        </w:rPr>
        <w:t>https://pubmed.ncbi.nlm.nih.gov/42864355/</w:t>
      </w:r>
    </w:p>
    <w:p>
      <w:pPr>
        <w:pStyle w:val="Heading2"/>
      </w:pPr>
      <w:r>
        <w:t>Neue nationale Studie zeigt erhebliche Gesundheitsdefizite bei US-Midlife-Adulten</w:t>
      </w:r>
    </w:p>
    <w:p>
      <w:r>
        <w:rPr>
          <w:i/>
          <w:color w:val="666666"/>
          <w:sz w:val="18"/>
        </w:rPr>
        <w:t>Hummer RA et al.  ·  J Gerontol B Psychol Sci Soc Sci  ·  01.10.2026  ·  PMID 42837512</w:t>
      </w:r>
    </w:p>
    <w:p>
      <w:r>
        <w:t>Wave VI der National Longitudinal Study of Adolescent to Adult Health (Add Health) beschreibt Gesundheit und biologische Aging-Marker an 11.979 Personen durchschnittlich 44 Jahre alt und dokumentiert erhebliche Unterschiede nach Rasse, Ethnizität und Bildung.</w:t>
      </w:r>
    </w:p>
    <w:p>
      <w:r>
        <w:rPr>
          <w:b/>
        </w:rPr>
        <w:t xml:space="preserve">Ergebnis: </w:t>
      </w:r>
      <w:r>
        <w:t>Von 11.979 befragten Personen hatten 49,9 % BMI ≥30 kg/m², 17 % berichteten aktuelle Depression. Breite Disparitäten bestanden in allen bewerteten Gesundheitsergebnissen nach Rasse/Ethnizität und Bildung. Wave VI lieferte 11.979 Umfragen, 6.073 Hausuntersuchungen und tausende kontextuelle und biologische Variablen für Lebensverlauf-Forschung.</w:t>
      </w:r>
    </w:p>
    <w:p>
      <w:r>
        <w:rPr>
          <w:b/>
          <w:sz w:val="19"/>
        </w:rPr>
        <w:t xml:space="preserve">Übertragbarkeit: </w:t>
      </w:r>
      <w:r>
        <w:rPr>
          <w:sz w:val="19"/>
        </w:rPr>
        <w:t>USA; Aussagen zu sozialen Unterschieden in Gesundheit übertragbar, Finanzierungssystem grundlegend anders.</w:t>
      </w:r>
    </w:p>
    <w:p>
      <w:r>
        <w:rPr>
          <w:color w:val="5A7D3A"/>
          <w:sz w:val="18"/>
        </w:rPr>
        <w:t>https://pubmed.ncbi.nlm.nih.gov/42837512/</w:t>
      </w:r>
    </w:p>
    <w:p>
      <w:pPr>
        <w:pStyle w:val="Heading1"/>
      </w:pPr>
      <w:r>
        <w:t>Aufgenommen am 13.10.2026</w:t>
      </w:r>
    </w:p>
    <w:p>
      <w:pPr>
        <w:pStyle w:val="Heading2"/>
      </w:pPr>
      <w:r>
        <w:t>Muskelabbau im Alter: Sozioökonomie, Ernährung und körperliche Aktivität beeinflussen Muskelmasse über 17 Jahre</w:t>
      </w:r>
    </w:p>
    <w:p>
      <w:r>
        <w:rPr>
          <w:i/>
          <w:color w:val="666666"/>
          <w:sz w:val="18"/>
        </w:rPr>
        <w:t>Suleiman A et al.  ·  Australas J Ageing  ·  Dez. 2026  ·  PMID 42861734</w:t>
      </w:r>
    </w:p>
    <w:p>
      <w:r>
        <w:t>Eine 17-jährige prospektive Kohortenstudie mit 3033 Teilnehmern identifizierte Faktoren, die die Muskelmasse im Alter beeinflussen.</w:t>
      </w:r>
    </w:p>
    <w:p>
      <w:r>
        <w:rPr>
          <w:b/>
        </w:rPr>
        <w:t xml:space="preserve">Ergebnis: </w:t>
      </w:r>
      <w:r>
        <w:t>Höheres Alter und weibliches Geschlecht waren mit niedrigerer appendikulärer Muskelmasse assoziiert (β = −0,07 pro Jahr; 95%-KI −0,08 bis −0,06). Positive Prädiktoren waren Sozialstatus (β = 0,33), Kalziumaufnahme (β = 0,46), Knochenmineraldichte (β = 0,38) und Schilddrüsenhormontherapie (β = 0,52). Körperliche Inaktivität (β = −0,48), Rauchen (β = −0,24) und Schlaganfall-Vorgeschichte (β = −0,51) waren mit geringerer Muskelmasse assoziiert. Die Ergebnisse zeigen modifizierbare Faktoren für den Erhalt der Muskelmasse in der Alterung.</w:t>
      </w:r>
    </w:p>
    <w:p>
      <w:r>
        <w:rPr>
          <w:b/>
          <w:sz w:val="19"/>
        </w:rPr>
        <w:t xml:space="preserve">Übertragbarkeit: </w:t>
      </w:r>
      <w:r>
        <w:rPr>
          <w:sz w:val="19"/>
        </w:rPr>
        <w:t>Australische prospektive Kohortendaten, vergleichbar mit europäischen Versorgungssettings</w:t>
      </w:r>
    </w:p>
    <w:p>
      <w:r>
        <w:rPr>
          <w:color w:val="5A7D3A"/>
          <w:sz w:val="18"/>
        </w:rPr>
        <w:t>https://pubmed.ncbi.nlm.nih.gov/42861734/</w:t>
      </w:r>
    </w:p>
    <w:p>
      <w:pPr>
        <w:pStyle w:val="Heading2"/>
      </w:pPr>
      <w:r>
        <w:t>Widerstandstraining bei älteren Männern: weniger Muskelaufbau trotz gleicher Trainingsbelastung</w:t>
      </w:r>
    </w:p>
    <w:p>
      <w:r>
        <w:rPr>
          <w:i/>
          <w:color w:val="666666"/>
          <w:sz w:val="18"/>
        </w:rPr>
        <w:t>Lewis DT et al.  ·  Physiol Rep  ·  Okt. 2026  ·  PMID 42860700</w:t>
      </w:r>
    </w:p>
    <w:p>
      <w:r>
        <w:t>Eine Studie mit 17 jüngeren und 15 älteren untrainierten Männern verglich Muskelaufbau und Proteinveränderungen nach 10–12 Wochen Widerstandstraining.</w:t>
      </w:r>
    </w:p>
    <w:p>
      <w:r>
        <w:rPr>
          <w:b/>
        </w:rPr>
        <w:t xml:space="preserve">Ergebnis: </w:t>
      </w:r>
      <w:r>
        <w:t>Trotz vergleichbarer Trainingsvolumina gewannen jüngere Männer mehr Muskelmasse (+2,73 kg vs. +1,18 kg; p = 0,009) und zeigten größere Zuwächse der Unterschenkeldicke (+0,49 cm vs. +0,20 cm; p = 0,002). Bei jüngeren Erwachsenen veränderte das Training 135 Proteine (FDR &lt; 0,05), bei älteren jedoch null. Die Proteom-Plastizität war bei älteren Männern komprimiert statt qualitativ verändert, was erklärt, warum der Muskelaufbau trotz Training geringer ausfällt.</w:t>
      </w:r>
    </w:p>
    <w:p>
      <w:r>
        <w:rPr>
          <w:b/>
          <w:sz w:val="19"/>
        </w:rPr>
        <w:t xml:space="preserve">Übertragbarkeit: </w:t>
      </w:r>
      <w:r>
        <w:rPr>
          <w:sz w:val="19"/>
        </w:rPr>
        <w:t>USA-Universitätsdaten zur Trainingsphysiologie, Befund zum Altern universell übertragbar</w:t>
      </w:r>
    </w:p>
    <w:p>
      <w:r>
        <w:rPr>
          <w:color w:val="5A7D3A"/>
          <w:sz w:val="18"/>
        </w:rPr>
        <w:t>https://pubmed.ncbi.nlm.nih.gov/42860700/</w:t>
      </w:r>
    </w:p>
    <w:p>
      <w:pPr>
        <w:pStyle w:val="Heading2"/>
      </w:pPr>
      <w:r>
        <w:t>Frailty-Screening bei Hämodialysepatienten: XGBoost-Modell mit AUC 0,917 identifiziert 48,6 % der Patienten</w:t>
      </w:r>
    </w:p>
    <w:p>
      <w:r>
        <w:rPr>
          <w:i/>
          <w:color w:val="666666"/>
          <w:sz w:val="18"/>
        </w:rPr>
        <w:t>Wang J et al.  ·  Ann Med  ·  11.10.2026  ·  PMID 42860582</w:t>
      </w:r>
    </w:p>
    <w:p>
      <w:r>
        <w:t>Eine retrospektive Studie mit 626 Hämodialysepatienten aus vier Kliniken entwickelte ein Machine-Learning-Modell zur Frailty-Erkennung.</w:t>
      </w:r>
    </w:p>
    <w:p>
      <w:r>
        <w:rPr>
          <w:b/>
        </w:rPr>
        <w:t xml:space="preserve">Ergebnis: </w:t>
      </w:r>
      <w:r>
        <w:t>Frailty-Prävalenz lag bei 48,6 %. Das XGBoost-Modell zeigte beste externe Validierungsleistung: AUC = 0,917 (95%-KI 0,867–0,967), Genauigkeit 84,7 %, Sensitivität 85,0 %, Spezifität 84,4 %. Sechs Prädiktoren wurden identifiziert: Alter, Griffstärke, Komorbiditäten, Charlson-Index, Albumin und Pro-BNP. Das Modell unterstützt systematisches Frailty-Screening in der Nierenfachversorgung.</w:t>
      </w:r>
    </w:p>
    <w:p>
      <w:r>
        <w:rPr>
          <w:b/>
          <w:sz w:val="19"/>
        </w:rPr>
        <w:t xml:space="preserve">Übertragbarkeit: </w:t>
      </w:r>
      <w:r>
        <w:rPr>
          <w:sz w:val="19"/>
        </w:rPr>
        <w:t>Chinesische Klinikstudie; Frailty-Screening und Prognose universal relevant</w:t>
      </w:r>
    </w:p>
    <w:p>
      <w:r>
        <w:rPr>
          <w:color w:val="5A7D3A"/>
          <w:sz w:val="18"/>
        </w:rPr>
        <w:t>https://pubmed.ncbi.nlm.nih.gov/42860582/</w:t>
      </w:r>
    </w:p>
    <w:p>
      <w:pPr>
        <w:pStyle w:val="Heading2"/>
      </w:pPr>
      <w:r>
        <w:t>KI-gestützte Assessment-Tools für intrinsische Kapazität: 161 Studien zeigen Schwerpunkte bei Kognition und Mobilität, Lücken bei Sinnesfunktion</w:t>
      </w:r>
    </w:p>
    <w:p>
      <w:r>
        <w:rPr>
          <w:i/>
          <w:color w:val="666666"/>
          <w:sz w:val="18"/>
        </w:rPr>
        <w:t>Yu C et al.  ·  J Med Internet Res  ·  05.10.2026  ·  PMID 42832757</w:t>
      </w:r>
    </w:p>
    <w:p>
      <w:r>
        <w:t>Ein systematisches Scoping-Review (161 Studien, 2016–2026) charakterisierte KI-basierte digitale Messtools zur Erfassung intrinsischer Kapazität bei älteren Menschen nach WHO-Domänen und Technologie.</w:t>
      </w:r>
    </w:p>
    <w:p>
      <w:r>
        <w:rPr>
          <w:b/>
        </w:rPr>
        <w:t xml:space="preserve">Ergebnis: </w:t>
      </w:r>
      <w:r>
        <w:t>Forschung seit 2016 exponentiell gestiegen; 28 Länder vertreten (USA, China dominant). 11 Kategorien KI-gestützter Geräte identifiziert: Multimodal-Erfassungsgeräte, Computer-Vision-Systeme, KI-Plattformen führend. 21 Typen digitaler Biomarker: Gangparameter, digitale Aufgabenleistung, körperliche Aktivität, Sprache, Gesichtszüge häufigst. Machine Learning und Deep Learning dominieren; Computer Vision und NLP zentral für multimodale Interpretation. Kognition und Lokomotion am weitesten entwickelt; Vitalität, Hörvermögen und Multi-Domain-Assessment unterrepräsentiert. KI-Tools könnten klinische Assessment ergänzen, benötigen aber robuste Validierung und Implementierungsforschung.</w:t>
      </w:r>
    </w:p>
    <w:p>
      <w:r>
        <w:rPr>
          <w:b/>
          <w:sz w:val="19"/>
        </w:rPr>
        <w:t xml:space="preserve">Übertragbarkeit: </w:t>
      </w:r>
      <w:r>
        <w:rPr>
          <w:sz w:val="19"/>
        </w:rPr>
        <w:t>Globale Übersicht; Lücken in der Standardisierung und externen Validierung überall manifest</w:t>
      </w:r>
    </w:p>
    <w:p>
      <w:r>
        <w:rPr>
          <w:color w:val="5A7D3A"/>
          <w:sz w:val="18"/>
        </w:rPr>
        <w:t>https://pubmed.ncbi.nlm.nih.gov/42832757/</w:t>
      </w:r>
    </w:p>
    <w:p>
      <w:pPr>
        <w:pStyle w:val="Heading2"/>
      </w:pPr>
      <w:r>
        <w:t>Mundmikrobiom und Kognition: Nitratverstoffwechselnde Bakterien assoziiert mit besserer kognitiver Leistung</w:t>
      </w:r>
    </w:p>
    <w:p>
      <w:r>
        <w:rPr>
          <w:i/>
          <w:color w:val="666666"/>
          <w:sz w:val="18"/>
        </w:rPr>
        <w:t>L'Heureux JE et al.  ·  PLoS One  ·  05.10.2026  ·  PMID 42832417</w:t>
      </w:r>
    </w:p>
    <w:p>
      <w:r>
        <w:t>Eine Studie mit 60 gesunden Teilnehmern (je 15 junge und 15 ältere Erwachsene aus UK und Belgien) untersuchte Zusammenhänge zwischen Mundmikrobiom, Stickstoffmonoxid-Biomarker und kognitiver Funktion.</w:t>
      </w:r>
    </w:p>
    <w:p>
      <w:r>
        <w:rPr>
          <w:b/>
        </w:rPr>
        <w:t xml:space="preserve">Ergebnis: </w:t>
      </w:r>
      <w:r>
        <w:t>Trotz geografischer Unterschiede in der Mikrobiomzusammensetzung waren altersbedingte mikrobielle Verschiebungen konsistent über Kohorten hinweg, mit Anreicherung von Treponema und Tannerella bei älteren Erwachsenen. Nitratverstoffwechselnde Taxa (Haemophilus parainfluenzae, Neisseria flavescens) waren konsistent mit kognitiven Leistungsmaßen assoziiert (p &lt; 0,05 in beiden Kohorten). Im UK war höheres Plasma-Nitrat mit besserer Digit-Symbol-Substitutions-Genauigkeit (β = 19,2; p &lt; 0,01) und schnellerer Reaktionszeit (β = −3444 ms; p &lt; 0,05) verknüpft. Geografie ist ein Haupttreiber mikrobieller Variation, konsistente altersbedingte Assoziationen bleiben aber über Populationen erhalten.</w:t>
      </w:r>
    </w:p>
    <w:p>
      <w:r>
        <w:rPr>
          <w:b/>
          <w:sz w:val="19"/>
        </w:rPr>
        <w:t xml:space="preserve">Übertragbarkeit: </w:t>
      </w:r>
      <w:r>
        <w:rPr>
          <w:sz w:val="19"/>
        </w:rPr>
        <w:t>UK und Belgien; europäische Grundlagenforschung mit klinischem Bezug zur Kognitionsförderung</w:t>
      </w:r>
    </w:p>
    <w:p>
      <w:r>
        <w:rPr>
          <w:color w:val="5A7D3A"/>
          <w:sz w:val="18"/>
        </w:rPr>
        <w:t>https://pubmed.ncbi.nlm.nih.gov/42832417/</w:t>
      </w:r>
    </w:p>
    <w:p>
      <w:pPr>
        <w:pStyle w:val="Heading2"/>
      </w:pPr>
      <w:r>
        <w:t>Migration im späten Alter: Identität und Zugehörigkeit bleiben zentral, alltägliche Integration folgt eigenem Weg</w:t>
      </w:r>
    </w:p>
    <w:p>
      <w:r>
        <w:rPr>
          <w:i/>
          <w:color w:val="666666"/>
          <w:sz w:val="18"/>
        </w:rPr>
        <w:t>Adad J et al.  ·  J Cross Cult Gerontol  ·  12.09.2026  ·  PMID 42730791</w:t>
      </w:r>
    </w:p>
    <w:p>
      <w:r>
        <w:t>Eine qualitative Studie mit 12 älteren Französinnen und Franzosen (≥ 70 Jahre), die nach Israel migrierten, untersuchte die Bedeutung dieser Erfahrung für Identität und Wohlbefinden.</w:t>
      </w:r>
    </w:p>
    <w:p>
      <w:r>
        <w:rPr>
          <w:b/>
        </w:rPr>
        <w:t xml:space="preserve">Ergebnis: </w:t>
      </w:r>
      <w:r>
        <w:t>Die Analyse zeigte ein ambivalentes Muster: Migration verursachte Unterbrechungen vertrauter sozialer Welten, wurde aber konsistent als Erfüllung eines Lebensprojekts um Familie, jüdische Identität und Zugehörigkeit interpretiert. Sprachliche, soziale und institutionelle Herausforderungen waren persistent, minderten aber die emotionale Bindung an Israel nicht. Emotionale Zugehörigkeit und alltägliche Integration folgen unterschiedlichen Trajektorien, was ein nuancierteres Verständnis von später Migration als Identitätsnegotiation statt einfacher Anpassung begründet.</w:t>
      </w:r>
    </w:p>
    <w:p>
      <w:r>
        <w:rPr>
          <w:b/>
          <w:sz w:val="19"/>
        </w:rPr>
        <w:t xml:space="preserve">Übertragbarkeit: </w:t>
      </w:r>
      <w:r>
        <w:rPr>
          <w:sz w:val="19"/>
        </w:rPr>
        <w:t>Qualitative Daten aus Israel und Frankreich; Erkenntnisse zu Identität und Wohlbefinden im Migrationsalter übertragbar</w:t>
      </w:r>
    </w:p>
    <w:p>
      <w:r>
        <w:rPr>
          <w:color w:val="5A7D3A"/>
          <w:sz w:val="18"/>
        </w:rPr>
        <w:t>https://pubmed.ncbi.nlm.nih.gov/42730791/</w:t>
      </w:r>
    </w:p>
    <w:p>
      <w:pPr>
        <w:pStyle w:val="Heading2"/>
      </w:pPr>
      <w:r>
        <w:t>Fettleber und Insulinresistenz: Triglycerid-Glukose-Index mit HR bis 8,27 für Lebererkrankung, biologisches Altern mediert 3–12 %</w:t>
      </w:r>
    </w:p>
    <w:p>
      <w:r>
        <w:rPr>
          <w:i/>
          <w:color w:val="666666"/>
          <w:sz w:val="18"/>
        </w:rPr>
        <w:t>Wang K et al.  ·  Front Endocrinol (Lausanne)  ·  11.08.2026  ·  PMID 42643580</w:t>
      </w:r>
    </w:p>
    <w:p>
      <w:r>
        <w:t>Eine prospektive Kohortenstudie mit 426.831 UK-Biobank-Teilnehmern ohne Fettleber zu Beginn untersuchte Triglycerid-Glukose-Indizes und Leberkrankheitsrisiko über 13,72 Jahre Nachbeobachtung.</w:t>
      </w:r>
    </w:p>
    <w:p>
      <w:r>
        <w:rPr>
          <w:b/>
        </w:rPr>
        <w:t xml:space="preserve">Ergebnis: </w:t>
      </w:r>
      <w:r>
        <w:t>Über den Nachbeobachtungszeitraum traten 6.308 neue Fettleberfälle auf. Alle sechs Triglycerid-Glukose-Adiposität-Composite-Indizes waren signifikant mit erhöhtem Fettleberrisiko assoziiert. Hazard Ratios für höchstes vs. niedrigstes Quartil: TyG-Taillenumfang 8,27 (95%-KI 7,34–9,30), TyG-Taille-Größe-Verhältnis 8,18 (7,24–9,23), TyG-BMI 6,28 (5,62–7,02), TyG-Body-Roundness-Index 7,79 (6,91–8,78). Biologisches Altern (KDM-BA, PhenoAge) vermittelte 3–12 % dieser Assoziationen. Nicht-lineare Beziehungen waren vorhanden (alle p &lt; 0,001).</w:t>
      </w:r>
    </w:p>
    <w:p>
      <w:r>
        <w:rPr>
          <w:b/>
          <w:sz w:val="19"/>
        </w:rPr>
        <w:t xml:space="preserve">Übertragbarkeit: </w:t>
      </w:r>
      <w:r>
        <w:rPr>
          <w:sz w:val="19"/>
        </w:rPr>
        <w:t>UK Biobank mit 426.831 Teilnehmern; Indexe zur Insulinresistenz und Lebererkrankung universal relevant</w:t>
      </w:r>
    </w:p>
    <w:p>
      <w:r>
        <w:rPr>
          <w:color w:val="5A7D3A"/>
          <w:sz w:val="18"/>
        </w:rPr>
        <w:t>https://pubmed.ncbi.nlm.nih.gov/42643580/</w:t>
      </w:r>
    </w:p>
    <w:p>
      <w:pPr>
        <w:pStyle w:val="Heading1"/>
      </w:pPr>
      <w:r>
        <w:t>Aufgenommen am 12.10.2026</w:t>
      </w:r>
    </w:p>
    <w:p>
      <w:pPr>
        <w:pStyle w:val="Heading2"/>
      </w:pPr>
      <w:r>
        <w:t>Motivation, Fähigkeit und Gelegenheit steuern Teilnahme an Altersprogrammen</w:t>
      </w:r>
    </w:p>
    <w:p>
      <w:r>
        <w:rPr>
          <w:i/>
          <w:color w:val="666666"/>
          <w:sz w:val="18"/>
        </w:rPr>
        <w:t>Faizal NA et al.  ·  Front Public Health  ·  25.09.2026  ·  PMID 42857060</w:t>
      </w:r>
    </w:p>
    <w:p>
      <w:r>
        <w:t>Qualitative Analyse mittels Theoretical Domains Framework und COM-B-Modell der Barrieren und Förderfaktoren für die Teilnahme an Active-Ageing-Programmen bei Älteren (50+) in Singapur, basierend auf 28 Interviews.</w:t>
      </w:r>
    </w:p>
    <w:p>
      <w:r>
        <w:rPr>
          <w:b/>
        </w:rPr>
        <w:t xml:space="preserve">Ergebnis: </w:t>
      </w:r>
      <w:r>
        <w:t>Motivation (Wissen, Wohlbefinden, digitale Fähigkeiten) war zentral, wurde aber durch Gesundheitsbedenken und körperliche Beschwerden, Technologie-Ängstlichkeit, Gedächtnisprobleme und sprachliche Barrieren gehemmt. Umweltfaktoren (Zeitverfügbarkeit, geografische Erreichbarkeit) und soziale Unterstützung (Familienermutigung) waren entscheidend. Ansatz zeigt, wie TDF und COM-B Intervention gestalten können.</w:t>
      </w:r>
    </w:p>
    <w:p>
      <w:r>
        <w:rPr>
          <w:b/>
          <w:sz w:val="19"/>
        </w:rPr>
        <w:t xml:space="preserve">Übertragbarkeit: </w:t>
      </w:r>
      <w:r>
        <w:rPr>
          <w:sz w:val="19"/>
        </w:rPr>
        <w:t>Singapur, Sozialdemokratie, digitale Versorgung, teilweise auf Deutschland übertragbar</w:t>
      </w:r>
    </w:p>
    <w:p>
      <w:r>
        <w:rPr>
          <w:color w:val="5A7D3A"/>
          <w:sz w:val="18"/>
        </w:rPr>
        <w:t>https://pubmed.ncbi.nlm.nih.gov/42857060/</w:t>
      </w:r>
    </w:p>
    <w:p>
      <w:pPr>
        <w:pStyle w:val="Heading2"/>
      </w:pPr>
      <w:r>
        <w:t>WHO-ICOPE-Ansatz für altersgerechte Primärversorgung in Portugal</w:t>
      </w:r>
    </w:p>
    <w:p>
      <w:r>
        <w:rPr>
          <w:i/>
          <w:color w:val="666666"/>
          <w:sz w:val="18"/>
        </w:rPr>
        <w:t>Vidinha Pereira AL et al.  ·  Front Public Health  ·  25.09.2026  ·  PMID 42856688</w:t>
      </w:r>
    </w:p>
    <w:p>
      <w:r>
        <w:t>Qualitative Analyse der Anpassungsfähigkeit des portugiesischen Gesundheitssystems an die alternde Bevölkerung und des Potenzials des WHO-ICOPE-Rahmens (Integrated Care for Older People) für die Primärversorgung.</w:t>
      </w:r>
    </w:p>
    <w:p>
      <w:r>
        <w:rPr>
          <w:b/>
        </w:rPr>
        <w:t xml:space="preserve">Ergebnis: </w:t>
      </w:r>
      <w:r>
        <w:t>Das portugiesische Gesundheitssystem, ursprünglich auf Mutter-Kind-Gesundheit ausgerichtet, zeigt Schwächen bei der Versorgung älterer Menschen mit Multimorbidität und Gebrechlichkeit. Der WHO-ICOPE-Ansatz wird als adaptierbar und skalierbar beschrieben, birgt aber Implementierungshürden durch Zeitmangel und mangelnde personelle und finanzielle Ressourcen. Pilot-Feldarbeit läuft zur Bewertung der Machbarkeit im portugiesischen Kontext.</w:t>
      </w:r>
    </w:p>
    <w:p>
      <w:r>
        <w:rPr>
          <w:b/>
          <w:sz w:val="19"/>
        </w:rPr>
        <w:t xml:space="preserve">Übertragbarkeit: </w:t>
      </w:r>
      <w:r>
        <w:rPr>
          <w:sz w:val="19"/>
        </w:rPr>
        <w:t>Portugal, südeuropäisches Sozialversicherungssystem, vergleichbare geriatrische Versorgungsfragen</w:t>
      </w:r>
    </w:p>
    <w:p>
      <w:r>
        <w:rPr>
          <w:color w:val="5A7D3A"/>
          <w:sz w:val="18"/>
        </w:rPr>
        <w:t>https://pubmed.ncbi.nlm.nih.gov/42856688/</w:t>
      </w:r>
    </w:p>
    <w:p>
      <w:pPr>
        <w:pStyle w:val="Heading2"/>
      </w:pPr>
      <w:r>
        <w:t>Markov-Modelle vorhersagen qualitätsadjustierte Lebenserwartung nach Strahlentherapie</w:t>
      </w:r>
    </w:p>
    <w:p>
      <w:r>
        <w:rPr>
          <w:i/>
          <w:color w:val="666666"/>
          <w:sz w:val="18"/>
        </w:rPr>
        <w:t>Tattenberg S et al.  ·  Med Phys  ·  Okt. 2026  ·  PMID 42837329</w:t>
      </w:r>
    </w:p>
    <w:p>
      <w:r>
        <w:t>Klinische Validierungsstudie eines Markov-Modells zur Simulation der lebenslangen qualitätsadjustierten Lebenserwartung (QALE) bei 148 Kopf-Hals-Krebspatienten nach Radiotherapie, inklusiv Tumorrezidiv, Toxizität, Fernmetastasen, Sekundärkarzinome und Sterblichkeit.</w:t>
      </w:r>
    </w:p>
    <w:p>
      <w:r>
        <w:rPr>
          <w:b/>
        </w:rPr>
        <w:t xml:space="preserve">Ergebnis: </w:t>
      </w:r>
      <w:r>
        <w:t>Lokoregionale Kontrolle in 94,4% der Simulationen vs. 89,9% klinisch (gute Übereinstimmung). Sterblichkeit mit Lokoregionalversagen 4,9% vs. 5,4% klinisch. Sekundärkarzinomrate 13,5%. Simulierte Lebenserwartung 76,5 ± 11,6 Jahre, qualitätsadjustiert 74,3 ± 11,0 QALY. Modell validiert für prospektive Vorhersagen und Vergleiche zwischen Patientenpopulationen.</w:t>
      </w:r>
    </w:p>
    <w:p>
      <w:r>
        <w:rPr>
          <w:b/>
          <w:sz w:val="19"/>
        </w:rPr>
        <w:t xml:space="preserve">Übertragbarkeit: </w:t>
      </w:r>
      <w:r>
        <w:rPr>
          <w:sz w:val="19"/>
        </w:rPr>
        <w:t>Methodische Innovation, Kohortendaten USA, QALE-Ansatz auf europäische Versorgung übertragbar</w:t>
      </w:r>
    </w:p>
    <w:p>
      <w:r>
        <w:rPr>
          <w:color w:val="5A7D3A"/>
          <w:sz w:val="18"/>
        </w:rPr>
        <w:t>https://pubmed.ncbi.nlm.nih.gov/42837329/</w:t>
      </w:r>
    </w:p>
    <w:p>
      <w:pPr>
        <w:pStyle w:val="Heading2"/>
      </w:pPr>
      <w:r>
        <w:t>Gebrechlichkeit und Depression lähmen Kognition bei Paaren langfristig</w:t>
      </w:r>
    </w:p>
    <w:p>
      <w:r>
        <w:rPr>
          <w:i/>
          <w:color w:val="666666"/>
          <w:sz w:val="18"/>
        </w:rPr>
        <w:t>Wu H et al.  ·  Psychiatry Res  ·  18.09.2026  ·  PMID 42828818</w:t>
      </w:r>
    </w:p>
    <w:p>
      <w:r>
        <w:t>Kohortenstudie an 5.828 Ehepaaren aus der China Health and Retirement Longitudinal Study (2011–2020) zur Analyse gemeinsamer Frailty- und Depressions-Trajektorien und ihrer Assoziation mit kognitiver Leistung über Zeit.</w:t>
      </w:r>
    </w:p>
    <w:p>
      <w:r>
        <w:rPr>
          <w:b/>
        </w:rPr>
        <w:t xml:space="preserve">Ergebnis: </w:t>
      </w:r>
      <w:r>
        <w:t>Vier distinct Multitrajectory-Gruppen identifiziert. Innerhalb von Paaren korrelierte kognitiver Verfall (r = 0,567, p &lt; 0,001). Alle Trajektoriengruppen außer der stabilen (G1) zeigten deutlich schlechtere beidseitige Kognition (p &lt; 0,001). Frauen in progressiver Frailty-Depression-Gruppe (G3) zeigten jährlichen kognitiven Rückgang von 0,125 Einheiten extra (p &lt; 0,001), Männer in G4 von 0,288 Einheiten/Jahr (p &lt; 0,001).</w:t>
      </w:r>
    </w:p>
    <w:p>
      <w:r>
        <w:rPr>
          <w:b/>
          <w:sz w:val="19"/>
        </w:rPr>
        <w:t xml:space="preserve">Übertragbarkeit: </w:t>
      </w:r>
      <w:r>
        <w:rPr>
          <w:sz w:val="19"/>
        </w:rPr>
        <w:t>China, Sozialversicherungssystem unterscheidet sich, Ergebnis zu Gebrechlichkeit-Depression-Kognition-Triaden übertragbar</w:t>
      </w:r>
    </w:p>
    <w:p>
      <w:r>
        <w:rPr>
          <w:color w:val="5A7D3A"/>
          <w:sz w:val="18"/>
        </w:rPr>
        <w:t>https://pubmed.ncbi.nlm.nih.gov/42828818/</w:t>
      </w:r>
    </w:p>
    <w:p>
      <w:pPr>
        <w:pStyle w:val="Heading2"/>
      </w:pPr>
      <w:r>
        <w:t>Räumliche Versorgungsgerechtigkeit für Altenpflege muss optimiert werden</w:t>
      </w:r>
    </w:p>
    <w:p>
      <w:r>
        <w:rPr>
          <w:i/>
          <w:color w:val="666666"/>
          <w:sz w:val="18"/>
        </w:rPr>
        <w:t>Chen X et al.  ·  Front Public Health  ·  18.09.2026  ·  PMID 42827439</w:t>
      </w:r>
    </w:p>
    <w:p>
      <w:r>
        <w:t>Raumanalytische Studie der Verteilung von Altenpflegeeinrichtungen in Guangzhou (China) unter Verwendung von Nearest-Neighbor-Index, Kernel-Density-Analyse, Netzwerk-Erreichbarkeit und Angebots-Nachfrage-Matching-Modellen.</w:t>
      </w:r>
    </w:p>
    <w:p>
      <w:r>
        <w:rPr>
          <w:b/>
        </w:rPr>
        <w:t xml:space="preserve">Ergebnis: </w:t>
      </w:r>
      <w:r>
        <w:t>Nachfrage und Angebot an Altenpflegefazilitäten zeigen starke räumliche Clusterung mit zentralem Versorgungskern. Gesamterreichbarkeit relativ hoch, aber mit Zentrum-Peripherie-Gefälle. Ressourcenallokation insgesamt angemessen, aber regionale Disparitäten bleiben. Empfehlung: Weiterer Ausbau zur Ausbalancierung der Zugänglichkeit.</w:t>
      </w:r>
    </w:p>
    <w:p>
      <w:r>
        <w:rPr>
          <w:b/>
          <w:sz w:val="19"/>
        </w:rPr>
        <w:t xml:space="preserve">Übertragbarkeit: </w:t>
      </w:r>
      <w:r>
        <w:rPr>
          <w:sz w:val="19"/>
        </w:rPr>
        <w:t>China, andere Finanzierungsstruktur, Methoden zur Disparitätenmessung übertragbar</w:t>
      </w:r>
    </w:p>
    <w:p>
      <w:r>
        <w:rPr>
          <w:color w:val="5A7D3A"/>
          <w:sz w:val="18"/>
        </w:rPr>
        <w:t>https://pubmed.ncbi.nlm.nih.gov/42827439/</w:t>
      </w:r>
    </w:p>
    <w:p>
      <w:pPr>
        <w:pStyle w:val="Heading2"/>
      </w:pPr>
      <w:r>
        <w:t>Langzeitverläufe von Gedächtnis und Einsamkeit prägen Wahrnehmung des Alterns</w:t>
      </w:r>
    </w:p>
    <w:p>
      <w:r>
        <w:rPr>
          <w:i/>
          <w:color w:val="666666"/>
          <w:sz w:val="18"/>
        </w:rPr>
        <w:t>Koch J et al.  ·  J Gerontol B Psychol Sci Soc Sci  ·  07.10.2026  ·  PMID 42625387</w:t>
      </w:r>
    </w:p>
    <w:p>
      <w:r>
        <w:t>Longitudinale Studie über 9 Jahre an 753 Berliner Älteren (61–81 Jahre zu Baseline), in der körperliche Gesundheit, Kognition und Einsamkeit als Prädiktoren für die subjektive Wahrnehmung altersbezogener Veränderungen untersucht wurden.</w:t>
      </w:r>
    </w:p>
    <w:p>
      <w:r>
        <w:rPr>
          <w:b/>
        </w:rPr>
        <w:t xml:space="preserve">Ergebnis: </w:t>
      </w:r>
      <w:r>
        <w:t>Bessere Baseline-Gedächtnisleistung (Recall) war mit weniger wahrgenommenen Altersverlusten assoziiert. Steilere Gedächtnisverschlechterung und höhere Morbidität korrelierte mit stärkerer Wahrnehmung von Verlusten. Höhere Einsamkeit war mit mehr wahrgenommenen Verlusten und weniger wahrgenommenen Gewinnen verbunden. Verarbeitungsgeschwindigkeit, Arbeitsgedächtnis, Hör- und Sehvermögen zeigten keine signifikanten Assoziationen.</w:t>
      </w:r>
    </w:p>
    <w:p>
      <w:r>
        <w:rPr>
          <w:b/>
          <w:sz w:val="19"/>
        </w:rPr>
        <w:t xml:space="preserve">Übertragbarkeit: </w:t>
      </w:r>
      <w:r>
        <w:rPr>
          <w:sz w:val="19"/>
        </w:rPr>
        <w:t>Deutsche Studie mit Berliner Probanden, vergleichbare Dokumentation und Messinstrumente</w:t>
      </w:r>
    </w:p>
    <w:p>
      <w:r>
        <w:rPr>
          <w:color w:val="5A7D3A"/>
          <w:sz w:val="18"/>
        </w:rPr>
        <w:t>https://pubmed.ncbi.nlm.nih.gov/42625387/</w:t>
      </w:r>
    </w:p>
    <w:p>
      <w:pPr>
        <w:pStyle w:val="Heading1"/>
      </w:pPr>
      <w:r>
        <w:t>Aufgenommen am 11.10.2026</w:t>
      </w:r>
    </w:p>
    <w:p>
      <w:pPr>
        <w:pStyle w:val="Heading2"/>
      </w:pPr>
      <w:r>
        <w:t>Frailty-Assessment verbessert Risikostratifizierung bei rekonstruktiver Kopf-Hals-Chirurgie</w:t>
      </w:r>
    </w:p>
    <w:p>
      <w:r>
        <w:rPr>
          <w:i/>
          <w:color w:val="666666"/>
          <w:sz w:val="18"/>
        </w:rPr>
        <w:t>Tee JW et al.  ·  Microsurgery  ·  Okt. 2026  ·  PMID 42855949</w:t>
      </w:r>
    </w:p>
    <w:p>
      <w:r>
        <w:t>Retrospektive Kohortenstudie mit 406 Patienten, die sich einer Fibula-Free-Flap-Rekonstruktion unterzogen, untersuchte den Wert des modifizierten Frailty-Index (mFI-5) zur Vorhersage perioperativer Komplikationen.</w:t>
      </w:r>
    </w:p>
    <w:p>
      <w:r>
        <w:rPr>
          <w:b/>
        </w:rPr>
        <w:t xml:space="preserve">Ergebnis: </w:t>
      </w:r>
      <w:r>
        <w:t>Der mFI-5 war ein stärkerer Prädiktor für Morbidität als das chronologische Alter. Patienten mit mFI-5=1 (adjustierte Odds Ratio 1,84; 95%-KI 1,01–3,47) und mFI-5=2 (aOR 3,45; 95%-KI 1,38–8,57) zeigten signifikant erhöhtes Risiko für medizinische Komplikationen. Ein mFI-5=2 war auch unabhängiger Prädiktor für chirurgische Komplikationen (aOR 2,27; 95%-KI 1,00–5,43).</w:t>
      </w:r>
    </w:p>
    <w:p>
      <w:r>
        <w:rPr>
          <w:b/>
          <w:sz w:val="19"/>
        </w:rPr>
        <w:t xml:space="preserve">Übertragbarkeit: </w:t>
      </w:r>
      <w:r>
        <w:rPr>
          <w:sz w:val="19"/>
        </w:rPr>
        <w:t>Deutschland – Klinikdaten (ACS-NSQIP), Frailty-Assessment etabliert im deutschsprachigen Raum.</w:t>
      </w:r>
    </w:p>
    <w:p>
      <w:r>
        <w:rPr>
          <w:color w:val="5A7D3A"/>
          <w:sz w:val="18"/>
        </w:rPr>
        <w:t>https://pubmed.ncbi.nlm.nih.gov/42855949/</w:t>
      </w:r>
    </w:p>
    <w:p>
      <w:pPr>
        <w:pStyle w:val="Heading2"/>
      </w:pPr>
      <w:r>
        <w:t>Gesundheitskompetenz fördert erfolgreiches Altern bei älteren Ägyptern</w:t>
      </w:r>
    </w:p>
    <w:p>
      <w:r>
        <w:rPr>
          <w:i/>
          <w:color w:val="666666"/>
          <w:sz w:val="18"/>
        </w:rPr>
        <w:t>Ibrahim HS et al.  ·  BMC Public Health  ·  09.10.2026  ·  PMID 42855688</w:t>
      </w:r>
    </w:p>
    <w:p>
      <w:r>
        <w:t>Querschnittvergleichsstudie mit 246 Teilnehmern (123 mit chronischen Erkrankungen, 123 gesund), alle ≥65 Jahre, untersuchte den Zusammenhang zwischen Gesundheitskompetenz (Health Literacy) und erfolgreichem Altern (Successful Aging).</w:t>
      </w:r>
    </w:p>
    <w:p>
      <w:r>
        <w:rPr>
          <w:b/>
        </w:rPr>
        <w:t xml:space="preserve">Ergebnis: </w:t>
      </w:r>
      <w:r>
        <w:t>Patienten zeigten signifikant niedrigere Gesundheitskompetenz- und Erfolgreiches-Altern-Scores als Kontrollen (p&lt;0,001). Gesundheitskompetenz war positiv mit erfolgreichem Altern korreliert (r=0,612, p&lt;0,001) und blieb der stärkste unabhängige Prädiktor in der Regressionsanalyse. Höhere Bildung und Einkommen verbesserten erfolgreiches Altern; Alter, ländliche Wohnorte und Rauchen beeinträchtigten es.</w:t>
      </w:r>
    </w:p>
    <w:p>
      <w:r>
        <w:rPr>
          <w:b/>
          <w:sz w:val="19"/>
        </w:rPr>
        <w:t xml:space="preserve">Übertragbarkeit: </w:t>
      </w:r>
      <w:r>
        <w:rPr>
          <w:sz w:val="19"/>
        </w:rPr>
        <w:t>Ägypten – Übertragbarkeit begrenzt durch unterschiedliche Gesundheitssysteme und Sozialversicherung.</w:t>
      </w:r>
    </w:p>
    <w:p>
      <w:r>
        <w:rPr>
          <w:color w:val="5A7D3A"/>
          <w:sz w:val="18"/>
        </w:rPr>
        <w:t>https://pubmed.ncbi.nlm.nih.gov/42855688/</w:t>
      </w:r>
    </w:p>
    <w:p>
      <w:pPr>
        <w:pStyle w:val="Heading2"/>
      </w:pPr>
      <w:r>
        <w:t>Altersgerechte Versorgung und Wellness in Zhejiang: räumlich-zeitliche Entwicklung</w:t>
      </w:r>
    </w:p>
    <w:p>
      <w:r>
        <w:rPr>
          <w:i/>
          <w:color w:val="666666"/>
          <w:sz w:val="18"/>
        </w:rPr>
        <w:t>Qin S et al.  ·  Inquiry  ·  09.10.2026  ·  PMID 42853239</w:t>
      </w:r>
    </w:p>
    <w:p>
      <w:r>
        <w:t>Bewertungsstudie mit Entropie-Gewichtungsmethode analysierte räumlich-zeitliche Muster der Eignung älterenbezogener Versorgung und Wellness (SECW) in 11 Präfekturen Zhejangs 2014–2023 anhand von natürlichen Ressourcen, sozialen Ressourcen und sozialem Unterstützungsindex.</w:t>
      </w:r>
    </w:p>
    <w:p>
      <w:r>
        <w:rPr>
          <w:b/>
        </w:rPr>
        <w:t xml:space="preserve">Ergebnis: </w:t>
      </w:r>
      <w:r>
        <w:t>Gesamttrend der SECW in Zhejiang war aufsteigend, regionale Disparitäten bestanden fort. Ein Drei-Ebenen-Muster entstand: Hangzhou und Ningbo als Hochwertzentren; Küsten- und Zentralstädte als dynamische mittlere Ebene; Südwestregionen als relativ rückständige dritte Ebene. Moran's I-Analysen offenbarten negative räumliche Autokorrelation, dominiert von "High-Low"- und "Low-High"-Mustern; keine signifikanten Hochwertagglomerationen.</w:t>
      </w:r>
    </w:p>
    <w:p>
      <w:r>
        <w:rPr>
          <w:b/>
          <w:sz w:val="19"/>
        </w:rPr>
        <w:t xml:space="preserve">Übertragbarkeit: </w:t>
      </w:r>
      <w:r>
        <w:rPr>
          <w:sz w:val="19"/>
        </w:rPr>
        <w:t>China – Gesundheitssystem und Regionalstruktur unterscheiden sich von Deutschland; Konzept der Versorgungsgerechtigkeit aber relevant.</w:t>
      </w:r>
    </w:p>
    <w:p>
      <w:r>
        <w:rPr>
          <w:color w:val="5A7D3A"/>
          <w:sz w:val="18"/>
        </w:rPr>
        <w:t>https://pubmed.ncbi.nlm.nih.gov/42853239/</w:t>
      </w:r>
    </w:p>
    <w:p>
      <w:pPr>
        <w:pStyle w:val="Heading2"/>
      </w:pPr>
      <w:r>
        <w:t>Grünflächen schützen vor beschleunigter biologischer Alterung trotz Luftverschmutzung</w:t>
      </w:r>
    </w:p>
    <w:p>
      <w:r>
        <w:rPr>
          <w:i/>
          <w:color w:val="666666"/>
          <w:sz w:val="18"/>
        </w:rPr>
        <w:t>Ma G et al.  ·  Environ Health Perspect  ·  06.10.2026  ·  PMID 42852352</w:t>
      </w:r>
    </w:p>
    <w:p>
      <w:r>
        <w:t>Längsschnittstudie mit 11.760 Erwachsenen (20–65 Jahre) in chinesischer Hochverschmutzungsstadt untersuchte die Auswirkungen von Grünflächen und Luftschadstoffmischung auf biologische Alterungsmuster mittels Klemera-Doubal-Methode.</w:t>
      </w:r>
    </w:p>
    <w:p>
      <w:r>
        <w:rPr>
          <w:b/>
        </w:rPr>
        <w:t xml:space="preserve">Ergebnis: </w:t>
      </w:r>
      <w:r>
        <w:t>Höhere Grünflächenexposition (NDVI 500 m) war mit niedrigeren Chancen für Zugehörigkeit zur beschleunigten Alterungstrajektorie verbunden (OR 0,84; 95%-KI 0,75–0,95). Höhere PM₂,₅-, PM₁₀-, SO₂- und O₃-Expositionen waren mit höheren Chancen für beschleunigte Alterung assoziiert. Die Schadstoffmischung zeigte konsistente positive Assoziation (OR 1,16; 95%-KI 1,08–1,24), dominiert durch O₃ und PM₁₀. Grünflächen-Schutzeffekt wurde zu 25% durch reduzierte Schadstoffexposition vermittelt.</w:t>
      </w:r>
    </w:p>
    <w:p>
      <w:r>
        <w:rPr>
          <w:b/>
          <w:sz w:val="19"/>
        </w:rPr>
        <w:t xml:space="preserve">Übertragbarkeit: </w:t>
      </w:r>
      <w:r>
        <w:rPr>
          <w:sz w:val="19"/>
        </w:rPr>
        <w:t>China – Luftqualität und Grünflächenverfügbarkeit unterscheiden sich von Deutschland; Konzept aber auf deutsche Städte übertragbar.</w:t>
      </w:r>
    </w:p>
    <w:p>
      <w:r>
        <w:rPr>
          <w:color w:val="5A7D3A"/>
          <w:sz w:val="18"/>
        </w:rPr>
        <w:t>https://pubmed.ncbi.nlm.nih.gov/42852352/</w:t>
      </w:r>
    </w:p>
    <w:p>
      <w:pPr>
        <w:pStyle w:val="Heading2"/>
      </w:pPr>
      <w:r>
        <w:t>Regionale Disparitäten zwischen Bevölkerungsalterung und Gesundheitsressourcen in China</w:t>
      </w:r>
    </w:p>
    <w:p>
      <w:r>
        <w:rPr>
          <w:i/>
          <w:color w:val="666666"/>
          <w:sz w:val="18"/>
        </w:rPr>
        <w:t>Liu Q et al.  ·  Front Public Health  ·  23.09.2026  ·  PMID 42845648</w:t>
      </w:r>
    </w:p>
    <w:p>
      <w:r>
        <w:t>Provinziale Analyse (31 Regionen, 2000–2023) untersuchte die zeitlich-räumliche Koordination zwischen Alterungscharakteristiken der Bevölkerung und Kapazität des Gesundheitswesens mittels gekoppelter Koordinationsgradmodelle.</w:t>
      </w:r>
    </w:p>
    <w:p>
      <w:r>
        <w:rPr>
          <w:b/>
        </w:rPr>
        <w:t xml:space="preserve">Ergebnis: </w:t>
      </w:r>
      <w:r>
        <w:t>Chinas Alterungskoeffizient stieg von 7,0% (2000) auf 14,9% (2023). Die nationale Koordination verbesserte sich über den Zeitraum. Regionale Disparitäten blieben jedoch stark: Shandong und Jiangsu erreichten höchste Koordinationsklasse (D≥0,60), während Tibet und Qinghai in der niedrigsten Klasse blieben (D&lt;0,20). Der Variationskoeffizient der provinzialen Alterungskoeffizienten sank nur von 0,41 auf 0,38.</w:t>
      </w:r>
    </w:p>
    <w:p>
      <w:r>
        <w:rPr>
          <w:b/>
          <w:sz w:val="19"/>
        </w:rPr>
        <w:t xml:space="preserve">Übertragbarkeit: </w:t>
      </w:r>
      <w:r>
        <w:rPr>
          <w:sz w:val="19"/>
        </w:rPr>
        <w:t>China – Systeme und Ressourcenlage unterscheiden sich erheblich von Deutschland, Einsichten für Versorgungsplanung begrenzt übertragbar.</w:t>
      </w:r>
    </w:p>
    <w:p>
      <w:r>
        <w:rPr>
          <w:color w:val="5A7D3A"/>
          <w:sz w:val="18"/>
        </w:rPr>
        <w:t>https://pubmed.ncbi.nlm.nih.gov/42845648/</w:t>
      </w:r>
    </w:p>
    <w:p>
      <w:pPr>
        <w:pStyle w:val="Heading2"/>
      </w:pPr>
      <w:r>
        <w:t>Add CAPS-Protokoll: kognitives, physisches und Hörvermögen in der Midlife-Phase</w:t>
      </w:r>
    </w:p>
    <w:p>
      <w:r>
        <w:rPr>
          <w:i/>
          <w:color w:val="666666"/>
          <w:sz w:val="18"/>
        </w:rPr>
        <w:t>Aiello AE et al.  ·  J Gerontol B Psychol Sci Soc Sci  ·  01.10.2026  ·  PMID 42837504</w:t>
      </w:r>
    </w:p>
    <w:p>
      <w:r>
        <w:t>Methodenstudie zur Implementierung umfassender kognitiver, physischer und sensorischer Funktionstests (Add CAPS) bei 6.073 Personen durchschnittlich 44 Jahre alt in der Wave VI der Add Health Longitudinalstudie.</w:t>
      </w:r>
    </w:p>
    <w:p>
      <w:r>
        <w:rPr>
          <w:b/>
        </w:rPr>
        <w:t xml:space="preserve">Ergebnis: </w:t>
      </w:r>
      <w:r>
        <w:t>Antwortquoten betrugen ~85% für digitale kognitive Tests und ~94% für persönlich durchgeführte Tests. Jüngere Teilnehmende und solche mit höherer Bildung zeigten bessere kognitive Leistung. Männliche, ältere und weniger gebildete Teilnehmende hatten schlechteres Hörvermögen. Keine Altersunterschiede in der Handgriffstärke, aber Variation nach Bildung. Selbstberichtete kognitive und physische Schwierigkeiten waren häufig.</w:t>
      </w:r>
    </w:p>
    <w:p>
      <w:r>
        <w:rPr>
          <w:b/>
          <w:sz w:val="19"/>
        </w:rPr>
        <w:t xml:space="preserve">Übertragbarkeit: </w:t>
      </w:r>
      <w:r>
        <w:rPr>
          <w:sz w:val="19"/>
        </w:rPr>
        <w:t>USA – Add Health ist US-Kohortenstudie; Übertragung auf Deutschland eingeschränkt durch andere Altersstruktur und Versicherungssystem.</w:t>
      </w:r>
    </w:p>
    <w:p>
      <w:r>
        <w:rPr>
          <w:color w:val="5A7D3A"/>
          <w:sz w:val="18"/>
        </w:rPr>
        <w:t>https://pubmed.ncbi.nlm.nih.gov/42837504/</w:t>
      </w:r>
    </w:p>
    <w:p>
      <w:pPr>
        <w:pStyle w:val="Heading1"/>
      </w:pPr>
      <w:r>
        <w:t>Aufgenommen am 10.10.2026</w:t>
      </w:r>
    </w:p>
    <w:p>
      <w:pPr>
        <w:pStyle w:val="Heading2"/>
      </w:pPr>
      <w:r>
        <w:t>Aufwärts-Mobilität verzögert funktionalen Decline im Alter</w:t>
      </w:r>
    </w:p>
    <w:p>
      <w:r>
        <w:rPr>
          <w:i/>
          <w:color w:val="666666"/>
          <w:sz w:val="18"/>
        </w:rPr>
        <w:t>Guo L et al.  ·  J Glob Health  ·  09.10.2026  ·  PMID 42852608</w:t>
      </w:r>
    </w:p>
    <w:p>
      <w:r>
        <w:t>Harmonisierte Analyse von 100.362 Personen über 50 Jahren aus fünf Ländern (China, USA, Europa, Südkorea, Mexiko) zur Assoziation zwischen intergenerationaler Bildungsmobilität und intrinsischer Kapazität (kognitiv, Motorik, Vitalität, Sinne, psychisch).</w:t>
      </w:r>
    </w:p>
    <w:p>
      <w:r>
        <w:rPr>
          <w:b/>
        </w:rPr>
        <w:t xml:space="preserve">Ergebnis: </w:t>
      </w:r>
      <w:r>
        <w:t>Aufwärts-Mobilität korreliert mit höherer intrinsischer Kapazität (gepooltes β = 0,25; 95%-KI 0,24–0,26; p &lt; 0,001) und verzögert den altersbedingten Funktionsverlust in China, Europa, Südkorea und Mexiko signifikant. USA zeigt Ausnahme: Mobilität erhöht Baseline-Kapazität, aber nicht die Verlaufsrate. Befund unterstreicht Kontext-Abhängigkeit sozialer Determinanten.</w:t>
      </w:r>
    </w:p>
    <w:p>
      <w:r>
        <w:rPr>
          <w:b/>
          <w:sz w:val="19"/>
        </w:rPr>
        <w:t xml:space="preserve">Übertragbarkeit: </w:t>
      </w:r>
      <w:r>
        <w:rPr>
          <w:sz w:val="19"/>
        </w:rPr>
        <w:t>Europäische Länder inkludiert, aber Transferbarkeit auf Deutschland durch unterschiedliche Bildungs- und Sozialsysteme begrenzt.</w:t>
      </w:r>
    </w:p>
    <w:p>
      <w:r>
        <w:rPr>
          <w:color w:val="5A7D3A"/>
          <w:sz w:val="18"/>
        </w:rPr>
        <w:t>https://pubmed.ncbi.nlm.nih.gov/42852608/</w:t>
      </w:r>
    </w:p>
    <w:p>
      <w:pPr>
        <w:pStyle w:val="Heading2"/>
      </w:pPr>
      <w:r>
        <w:t>Zahnpflege-Inanspruchnahme und kognitiver Decline im Alter: 14-Jahr-Längsschnitt</w:t>
      </w:r>
    </w:p>
    <w:p>
      <w:r>
        <w:rPr>
          <w:i/>
          <w:color w:val="666666"/>
          <w:sz w:val="18"/>
        </w:rPr>
        <w:t>Jung YS et al.  ·  Front Public Health  ·  24.09.2026  ·  PMID 42851369</w:t>
      </w:r>
    </w:p>
    <w:p>
      <w:r>
        <w:t>Trajektorien-Analyse zahnärztlicher Inanspruchnahme über 14 Jahre (Health and Retirement Study, n = 14.599, ≥ 50 Jahre) und Assoziation mit kognitiver Leistung (27-Punkte-Score), mit Mediation durch Selbst-Gesundheit und ADL-Einschränkungen.</w:t>
      </w:r>
    </w:p>
    <w:p>
      <w:r>
        <w:rPr>
          <w:b/>
        </w:rPr>
        <w:t xml:space="preserve">Ergebnis: </w:t>
      </w:r>
      <w:r>
        <w:t>Drei Trajektorien identifiziert: Persistently High (53,3%), Decreasing (14,5%), Persistent Low (32,2%). Vs. Persistent High zeigte Persistent Low schnelleren kognitiven Decline (β = -0,107 pro 2-Jahr-Welle, 95%-KI -0,133 bis -0,081; p &lt; 0,0001), entsprechend 0,75 zusätzlichen Punkten über 14 Jahre. ADL-Verschlechterung mediiert 9,3–11,6% der Assoziation. Kausale Inferenz nicht möglich.</w:t>
      </w:r>
    </w:p>
    <w:p>
      <w:r>
        <w:rPr>
          <w:b/>
          <w:sz w:val="19"/>
        </w:rPr>
        <w:t xml:space="preserve">Übertragbarkeit: </w:t>
      </w:r>
      <w:r>
        <w:rPr>
          <w:sz w:val="19"/>
        </w:rPr>
        <w:t>US-Kohorte (Health and Retirement Study), Funktionsverschlechterung als Endpunkt systemunabhängig relevant; deutsche Übertragung mit Vorbehalten zur Gesundheitssystem-spezifität.</w:t>
      </w:r>
    </w:p>
    <w:p>
      <w:r>
        <w:rPr>
          <w:color w:val="5A7D3A"/>
          <w:sz w:val="18"/>
        </w:rPr>
        <w:t>https://pubmed.ncbi.nlm.nih.gov/42851369/</w:t>
      </w:r>
    </w:p>
    <w:p>
      <w:pPr>
        <w:pStyle w:val="Heading2"/>
      </w:pPr>
      <w:r>
        <w:t>Fettmasse-zu-Magermasse-Verhältnis im Alter: Perzentil-Kurven aus kanadischer Längsschnittstudie</w:t>
      </w:r>
    </w:p>
    <w:p>
      <w:r>
        <w:rPr>
          <w:i/>
          <w:color w:val="666666"/>
          <w:sz w:val="18"/>
        </w:rPr>
        <w:t>Kim C et al.  ·  J Cachexia Sarcopenia Muscle  ·  Okt. 2026  ·  PMID 42850807</w:t>
      </w:r>
    </w:p>
    <w:p>
      <w:r>
        <w:t>Entwicklung alters- und geschlechtsspezifischer FM/FFM-Perzentil-Kurven (1. bis 99. Perzentil) aus 28.791 Personen der Canadian Longitudinal Study on Aging (DXA-Messungen), um sarkopene Adipositas zu identifizieren.</w:t>
      </w:r>
    </w:p>
    <w:p>
      <w:r>
        <w:rPr>
          <w:b/>
        </w:rPr>
        <w:t xml:space="preserve">Ergebnis: </w:t>
      </w:r>
      <w:r>
        <w:t>Bei Männern steigen FM/FFM-Perzentile langsam mit Alter bis 70 Jahre, dann Stabilisierung; bei Frauen höhere Ausgangswerte, schnellerer Anstieg bis 68 Jahre (50. Perzentil: 0,71), dann Rückgang. Männer zeigen 50. Perzentil von 0,42 im Alter 86 Jahren. Kurven zeigen relevante alters- und geschlechtsspezifische Unterschiede für Risikoidentifikation.</w:t>
      </w:r>
    </w:p>
    <w:p>
      <w:r>
        <w:rPr>
          <w:b/>
          <w:sz w:val="19"/>
        </w:rPr>
        <w:t xml:space="preserve">Übertragbarkeit: </w:t>
      </w:r>
      <w:r>
        <w:rPr>
          <w:sz w:val="19"/>
        </w:rPr>
        <w:t>Kanadische Kohorte, ähnliches Gesundheitssystem; Daten direkt auf Deutschland übertragbar.</w:t>
      </w:r>
    </w:p>
    <w:p>
      <w:r>
        <w:rPr>
          <w:color w:val="5A7D3A"/>
          <w:sz w:val="18"/>
        </w:rPr>
        <w:t>https://pubmed.ncbi.nlm.nih.gov/42850807/</w:t>
      </w:r>
    </w:p>
    <w:p>
      <w:pPr>
        <w:pStyle w:val="Heading2"/>
      </w:pPr>
      <w:r>
        <w:t>Vitamin-D-Mangel und Sterblichkeit im Alter: Kohorten-Follow-up und Supplementierungseffekt</w:t>
      </w:r>
    </w:p>
    <w:p>
      <w:r>
        <w:rPr>
          <w:i/>
          <w:color w:val="666666"/>
          <w:sz w:val="18"/>
        </w:rPr>
        <w:t>Israel A et al.  ·  Aging Cell  ·  Okt. 2026  ·  PMID 42850752</w:t>
      </w:r>
    </w:p>
    <w:p>
      <w:r>
        <w:t>Longitudinale Analyse von über 468.500 Personen (israelisches und US-amerikanisches Kohorte) zur Assoziation zwischen Vitamin-D-Status und Alterungs-bezogenen Outcomes über bis zu 10 Jahren, mit Modellierung der Supplementierungs-Modifizierbarkeit.</w:t>
      </w:r>
    </w:p>
    <w:p>
      <w:r>
        <w:rPr>
          <w:b/>
        </w:rPr>
        <w:t xml:space="preserve">Ergebnis: </w:t>
      </w:r>
      <w:r>
        <w:t>Schwerer Vitamin-D-Mangel (&lt; 10 ng/mL vs. &gt; 30 ng/mL) assoziiert mit erhöhter Gesamtsterblichkeit (Israel: HR 2,57, 95%-KI 2,38–2,79; USA: HR 1,59, 95%-KI 1,55–1,63) und Multimorbidität. Supplementierung &gt; 10 ng/mL-Äquivalent reduziert Mortalität dose-abhängig (HR 0,72, 95%-KI 0,68–0,76). Befund unterstützt Vitamin D als modifizierbare Determinante der Alterungsvulnerabilität.</w:t>
      </w:r>
    </w:p>
    <w:p>
      <w:r>
        <w:rPr>
          <w:b/>
          <w:sz w:val="19"/>
        </w:rPr>
        <w:t xml:space="preserve">Übertragbarkeit: </w:t>
      </w:r>
      <w:r>
        <w:rPr>
          <w:sz w:val="19"/>
        </w:rPr>
        <w:t>Israelische Daten vergleichbar mit Deutschland (Gesundheitssystem); US-Ergebnisse mit Vorbehalten; klinische Modifizierbarkeit ist systemunabhängig.</w:t>
      </w:r>
    </w:p>
    <w:p>
      <w:r>
        <w:rPr>
          <w:color w:val="5A7D3A"/>
          <w:sz w:val="18"/>
        </w:rPr>
        <w:t>https://pubmed.ncbi.nlm.nih.gov/42850752/</w:t>
      </w:r>
    </w:p>
    <w:p>
      <w:pPr>
        <w:pStyle w:val="Heading2"/>
      </w:pPr>
      <w:r>
        <w:t>Ernährungsdiversität und Depression bei älteren Landbewohnern in China: dynamische Assoziationen</w:t>
      </w:r>
    </w:p>
    <w:p>
      <w:r>
        <w:rPr>
          <w:i/>
          <w:color w:val="666666"/>
          <w:sz w:val="18"/>
        </w:rPr>
        <w:t>Luohong et al.  ·  BMC Public Health  ·  24.07.2026  ·  PMID 42850599</w:t>
      </w:r>
    </w:p>
    <w:p>
      <w:r>
        <w:t>Latent Class Growth Analysis mit Netzwerk-Analyse (n = 899 ländliche Personen ≥ 60 Jahre, China, 2011–2018) zur Assoziation zwischen Ernährungsdiversitäts-Trajektorien und depressiven Symptomen (CESD-10).</w:t>
      </w:r>
    </w:p>
    <w:p>
      <w:r>
        <w:rPr>
          <w:b/>
        </w:rPr>
        <w:t xml:space="preserve">Ergebnis: </w:t>
      </w:r>
      <w:r>
        <w:t>Zwei Trajektorien: hoch und graduell steigend vs. persistently low. Persistently low-Gruppe zeigte höheres Depressionsrisiko (OR = 0,54, 95%-KI 0,396–0,736), d.h. 46% niedrigeres Risiko bei hoher Diversität. Netzwerk-Intensität unterschied sich signifikant (S = 0,98, p = 0,002). Kernale Symptome variierten zwischen Gruppen. Intervention auf Kernale Symptome empfohlen.</w:t>
      </w:r>
    </w:p>
    <w:p>
      <w:r>
        <w:rPr>
          <w:b/>
          <w:sz w:val="19"/>
        </w:rPr>
        <w:t xml:space="preserve">Übertragbarkeit: </w:t>
      </w:r>
      <w:r>
        <w:rPr>
          <w:sz w:val="19"/>
        </w:rPr>
        <w:t>China; Mechanism (Ernährung–Psyche) ist aber kulturunabhängig; moderate Übertragbarkeit auf Deutschland wegen anderer Ernährungskulturen und Lebensmittel-Verfügbarkeit.</w:t>
      </w:r>
    </w:p>
    <w:p>
      <w:r>
        <w:rPr>
          <w:color w:val="5A7D3A"/>
          <w:sz w:val="18"/>
        </w:rPr>
        <w:t>https://pubmed.ncbi.nlm.nih.gov/42850599/</w:t>
      </w:r>
    </w:p>
    <w:p>
      <w:pPr>
        <w:pStyle w:val="Heading2"/>
      </w:pPr>
      <w:r>
        <w:t>Neurologische Krankheitslast in Italien: Trends 1990–2023</w:t>
      </w:r>
    </w:p>
    <w:p>
      <w:r>
        <w:rPr>
          <w:i/>
          <w:color w:val="666666"/>
          <w:sz w:val="18"/>
        </w:rPr>
        <w:t>Brigo F et al.  ·  Neurol Sci  ·  09.10.2026  ·  PMID 42850460</w:t>
      </w:r>
    </w:p>
    <w:p>
      <w:r>
        <w:t>Analyse der Krankheitslast ausgewählter neurologischer Erkrankungen in Italien über 33 Jahre mittels Global Burden of Disease 2023-Daten (DALY, YLL, YLD).</w:t>
      </w:r>
    </w:p>
    <w:p>
      <w:r>
        <w:rPr>
          <w:b/>
        </w:rPr>
        <w:t xml:space="preserve">Ergebnis: </w:t>
      </w:r>
      <w:r>
        <w:t>Gesamte altersstandardisierte DALY-Raten sanken (EAPC -1,01%, 95%-KI -1,13 bis -0,89). Zerebrovaskuläre und ZNS-Infektionen zeigten größte Reduktionen; Multiple Sklerose, Parkinson, Epilepsie und Motoneuronerkrankung nahmen zu. Geschlechtsspezifische Unterschiede: Migräne, MS, Demenz stärker bei Frauen; Schlaganfall, Parkinson, Hirntumoren bei Männern.</w:t>
      </w:r>
    </w:p>
    <w:p>
      <w:r>
        <w:rPr>
          <w:b/>
          <w:sz w:val="19"/>
        </w:rPr>
        <w:t xml:space="preserve">Übertragbarkeit: </w:t>
      </w:r>
      <w:r>
        <w:rPr>
          <w:sz w:val="19"/>
        </w:rPr>
        <w:t>Italien, europäisches Gesundheitssystem mit vergleichbarer Datenerfassung; Ergebnisse auf Deutschland gut übertragbar.</w:t>
      </w:r>
    </w:p>
    <w:p>
      <w:r>
        <w:rPr>
          <w:color w:val="5A7D3A"/>
          <w:sz w:val="18"/>
        </w:rPr>
        <w:t>https://pubmed.ncbi.nlm.nih.gov/42850460/</w:t>
      </w:r>
    </w:p>
    <w:p>
      <w:pPr>
        <w:pStyle w:val="Heading1"/>
      </w:pPr>
      <w:r>
        <w:t>Aufgenommen am 09.10.2026</w:t>
      </w:r>
    </w:p>
    <w:p>
      <w:pPr>
        <w:pStyle w:val="Heading2"/>
      </w:pPr>
      <w:r>
        <w:t>Pflege-gestützte Intervention für aktives Altern bei migrierten älteren Menschen: Cluster-RCT-Protokoll</w:t>
      </w:r>
    </w:p>
    <w:p>
      <w:r>
        <w:rPr>
          <w:i/>
          <w:color w:val="666666"/>
          <w:sz w:val="18"/>
        </w:rPr>
        <w:t>Chen Z et al.  ·  J Eval Clin Pract  ·  Okt. 2026  ·  PMID 42848871</w:t>
      </w:r>
    </w:p>
    <w:p>
      <w:r>
        <w:t>Cluster-randomisierte Kontrollierte Studie plant Evaluation einer 22-Tage-Pflegeleiter-Intervention (TSAAIP-MOA) bei älteren Migranten mit Kindern in China zur Förderung aktiven Alterns.</w:t>
      </w:r>
    </w:p>
    <w:p>
      <w:r>
        <w:rPr>
          <w:b/>
        </w:rPr>
        <w:t xml:space="preserve">Ergebnis: </w:t>
      </w:r>
      <w:r>
        <w:t>Studienprotokoll: Primäroutcome ist Level aktiven Alterns; Sekundäroutcomes sind Änderungen in intrinsischer Kapazität, Gesundheitskompetenz und sozialer Teilhabe. Datensammlung an T0 (Baseline), T1 (Post-Intervention) und T2 (1 Monat nach Beginn); wiederholte ANOVA geplant. Programm kombiniert Familien- und Gemeinde-Unterstützung mit klinischer Betreuung.</w:t>
      </w:r>
    </w:p>
    <w:p>
      <w:r>
        <w:rPr>
          <w:b/>
          <w:sz w:val="19"/>
        </w:rPr>
        <w:t xml:space="preserve">Übertragbarkeit: </w:t>
      </w:r>
      <w:r>
        <w:rPr>
          <w:sz w:val="19"/>
        </w:rPr>
        <w:t>China-Studie, Protokoll noch nicht abgeschlossen; Konzept sozialer Integration und intrinsischer Kapazität in Versorgung relevant.</w:t>
      </w:r>
    </w:p>
    <w:p>
      <w:r>
        <w:rPr>
          <w:color w:val="5A7D3A"/>
          <w:sz w:val="18"/>
        </w:rPr>
        <w:t>https://pubmed.ncbi.nlm.nih.gov/42848871/</w:t>
      </w:r>
    </w:p>
    <w:p>
      <w:pPr>
        <w:pStyle w:val="Heading2"/>
      </w:pPr>
      <w:r>
        <w:t>Hypertonie-Verlaufsmuster und Gebrechlichkeit: Progressive Hypertonie verstärkt Frailty</w:t>
      </w:r>
    </w:p>
    <w:p>
      <w:r>
        <w:rPr>
          <w:i/>
          <w:color w:val="666666"/>
          <w:sz w:val="18"/>
        </w:rPr>
        <w:t>Pi Y et al.  ·  Geriatr Gerontol Int  ·  Okt. 2026  ·  PMID 42844672</w:t>
      </w:r>
    </w:p>
    <w:p>
      <w:r>
        <w:t>Longitudinale Kohortenstudie an 6.770 Älteren (CHARLS) untersuchte, ob unterschiedliche Hypertonie-Entwicklungsmuster mit späterer Gebrechlichkeit assoziiert sind.</w:t>
      </w:r>
    </w:p>
    <w:p>
      <w:r>
        <w:rPr>
          <w:b/>
        </w:rPr>
        <w:t xml:space="preserve">Ergebnis: </w:t>
      </w:r>
      <w:r>
        <w:t>Gegenüber anhaltend normaler Blutdruck zeigten progressive Hypertonie (β = 0,013; 95 %-KI: 0,006–0,020), remittierende/fluktuierende Hypertonie (β = 0,009; 95 %-KI: 0,003–0,015) und anhaltende Hypertonie (β = 0,008; 95 %-KI: 0,002–0,014) höhere Frailty-Indizes. Systolischer Druck zeigte nichtlineare Assoziation. Cystatin C und CRP vermittelten teilweise den Effekt persistenter Hypertonie auf Gebrechlichkeit.</w:t>
      </w:r>
    </w:p>
    <w:p>
      <w:r>
        <w:rPr>
          <w:b/>
          <w:sz w:val="19"/>
        </w:rPr>
        <w:t xml:space="preserve">Übertragbarkeit: </w:t>
      </w:r>
      <w:r>
        <w:rPr>
          <w:sz w:val="19"/>
        </w:rPr>
        <w:t>Chinesische Kohortenstudie, aber Hypertonie-Gebrechlichkeit-Assoziation mechanistisch universell.</w:t>
      </w:r>
    </w:p>
    <w:p>
      <w:r>
        <w:rPr>
          <w:color w:val="5A7D3A"/>
          <w:sz w:val="18"/>
        </w:rPr>
        <w:t>https://pubmed.ncbi.nlm.nih.gov/42844672/</w:t>
      </w:r>
    </w:p>
    <w:p>
      <w:pPr>
        <w:pStyle w:val="Heading2"/>
      </w:pPr>
      <w:r>
        <w:t>Mikrobiota-Zusammensetzung vorhersagt Entzündung besser als chronologisches Alter</w:t>
      </w:r>
    </w:p>
    <w:p>
      <w:r>
        <w:rPr>
          <w:i/>
          <w:color w:val="666666"/>
          <w:sz w:val="18"/>
        </w:rPr>
        <w:t>Eriksen C et al.  ·  Nat Commun  ·  08.09.2026  ·  PMID 42844264</w:t>
      </w:r>
    </w:p>
    <w:p>
      <w:r>
        <w:t>Analyse von 1.199 Erwachsenen (20–72 Jahre) zeigte, dass Darmmikrobiota-Zusammensetzung mehr Varianz in systemischen Entzündungsmarkern erklärt als Alter und mit Erkrankungsrisiko assoziiert ist.</w:t>
      </w:r>
    </w:p>
    <w:p>
      <w:r>
        <w:rPr>
          <w:b/>
        </w:rPr>
        <w:t xml:space="preserve">Ergebnis: </w:t>
      </w:r>
      <w:r>
        <w:t>Mikrobiota erklärte mehr Varianz als Alter für 97 % der Zytokine und 84 % der physiologischen Variablen. Bacteroides-2-Enterotyp zeigte inflammaging-ähnliches Phänotyp bereits in frühem Erwachsenenalter (bis zu 37 Jahre früher) mit erhöhtem Erkrankungsrisiko (Hazard Ratio 1,21; 95 %-KI: 1,18–1,25). High-Diversity-Enterotyp war mit niedriger Entzündung und reduziertem Risiko assoziiert. Mikrobiota ist ein stärkerer Entzündungskorrelat als chronologisches Alter.</w:t>
      </w:r>
    </w:p>
    <w:p>
      <w:r>
        <w:rPr>
          <w:b/>
          <w:sz w:val="19"/>
        </w:rPr>
        <w:t xml:space="preserve">Übertragbarkeit: </w:t>
      </w:r>
      <w:r>
        <w:rPr>
          <w:sz w:val="19"/>
        </w:rPr>
        <w:t>Dänische Bevölkerungsstudie, Mechanismus altersunabhängig, auf Deutschland übertragbar.</w:t>
      </w:r>
    </w:p>
    <w:p>
      <w:r>
        <w:rPr>
          <w:color w:val="5A7D3A"/>
          <w:sz w:val="18"/>
        </w:rPr>
        <w:t>https://pubmed.ncbi.nlm.nih.gov/42844264/</w:t>
      </w:r>
    </w:p>
    <w:p>
      <w:pPr>
        <w:pStyle w:val="Heading2"/>
      </w:pPr>
      <w:r>
        <w:t>Gebrechlichkeit bei älteren COPD-Patienten vorhersagt Exazerbationen und Klinikaufenthalte</w:t>
      </w:r>
    </w:p>
    <w:p>
      <w:r>
        <w:rPr>
          <w:i/>
          <w:color w:val="666666"/>
          <w:sz w:val="18"/>
        </w:rPr>
        <w:t>Bardakci MI et al.  ·  Colomb Med (Cali)  ·  30.03.2026  ·  PMID 42840874</w:t>
      </w:r>
    </w:p>
    <w:p>
      <w:r>
        <w:t>Querschnittstudie an 112 älteren COPD-Patienten (≥65 Jahre) prüfte, ob Gebrechlichkeit mit Krankheitsschwere, Exazerbationen und Hospitalisierungen korreliert.</w:t>
      </w:r>
    </w:p>
    <w:p>
      <w:r>
        <w:rPr>
          <w:b/>
        </w:rPr>
        <w:t xml:space="preserve">Ergebnis: </w:t>
      </w:r>
      <w:r>
        <w:t>Gebrechlichkeit-Prävalenz 49,1 % (55/112). Signifikante negative Korrelation zwischen FRAIL-Score und FEV1 % (rs −0,695; 95 %-KI: −0,782 bis −0,581; p &lt; 0,001). Positive Korrelationen mit CAT (rs 0,840; p &lt; 0,001) und mMRC (rs 0,733; p &lt; 0,001). Patienten mit höheren FRAIL-Scores hatten signifikant mehr Exazerbationen und Klinikaufenthalte (p &lt; 0,001).</w:t>
      </w:r>
    </w:p>
    <w:p>
      <w:r>
        <w:rPr>
          <w:b/>
          <w:sz w:val="19"/>
        </w:rPr>
        <w:t xml:space="preserve">Übertragbarkeit: </w:t>
      </w:r>
      <w:r>
        <w:rPr>
          <w:sz w:val="19"/>
        </w:rPr>
        <w:t>Türkische Studie, aber FRAIL-Score und COPD-Ergebnis international etabliert.</w:t>
      </w:r>
    </w:p>
    <w:p>
      <w:r>
        <w:rPr>
          <w:color w:val="5A7D3A"/>
          <w:sz w:val="18"/>
        </w:rPr>
        <w:t>https://pubmed.ncbi.nlm.nih.gov/42840874/</w:t>
      </w:r>
    </w:p>
    <w:p>
      <w:pPr>
        <w:pStyle w:val="Heading2"/>
      </w:pPr>
      <w:r>
        <w:t>CKM-spezifischer Aging-Index vorhersagt Mortalität besser als universelle biologische Alter</w:t>
      </w:r>
    </w:p>
    <w:p>
      <w:r>
        <w:rPr>
          <w:i/>
          <w:color w:val="666666"/>
          <w:sz w:val="18"/>
        </w:rPr>
        <w:t>Zhu Z et al.  ·  PLoS Med  ·  06.10.2026  ·  PMID 42837317</w:t>
      </w:r>
    </w:p>
    <w:p>
      <w:r>
        <w:t>Maschinelles Lernen an 6.896 NHANES-Teilnehmern entwickelte einen Cardiovascular-Kidney-Metabolic-spezifischen Aging-Index (CKMAI) zur Risikostratifizierung und Mortalitätsprognose.</w:t>
      </w:r>
    </w:p>
    <w:p>
      <w:r>
        <w:rPr>
          <w:b/>
        </w:rPr>
        <w:t xml:space="preserve">Ergebnis: </w:t>
      </w:r>
      <w:r>
        <w:t>CKMAI übertraf PhenoAge, KDM und CMI in allen Outcomes. Zeit-abhängige AUC für Gesamtmortalität: 0,893 (95 %-KI: 0,851–0,925) nach 3 Jahren, 0,907 (95 %-KI: 0,884–0,927) nach 5 Jahren, 0,890 (95 %-KI: 0,868–0,910) nach 10 Jahren. Schwellwertanalyse identifizierte Inflexionspunkte mit steileren Risikoerhöhungen darunter. Sechs Phänotypen-Cluster; Frailty-Cluster zeigte höchstes Mortalitätsrisiko (HR 11,74; 95 %-KI: 7,85–17,57).</w:t>
      </w:r>
    </w:p>
    <w:p>
      <w:r>
        <w:rPr>
          <w:b/>
          <w:sz w:val="19"/>
        </w:rPr>
        <w:t xml:space="preserve">Übertragbarkeit: </w:t>
      </w:r>
      <w:r>
        <w:rPr>
          <w:sz w:val="19"/>
        </w:rPr>
        <w:t>USA-Daten (NHANES), aber metabolische Pathophysiologie universell, externe Validierung in China.</w:t>
      </w:r>
    </w:p>
    <w:p>
      <w:r>
        <w:rPr>
          <w:color w:val="5A7D3A"/>
          <w:sz w:val="18"/>
        </w:rPr>
        <w:t>https://pubmed.ncbi.nlm.nih.gov/42837317/</w:t>
      </w:r>
    </w:p>
    <w:p>
      <w:pPr>
        <w:pStyle w:val="Heading2"/>
      </w:pPr>
      <w:r>
        <w:t>Chronische Krisen und biologisches Altern: Stress beschleunigt Frailty und funktionalen Verfall</w:t>
      </w:r>
    </w:p>
    <w:p>
      <w:r>
        <w:rPr>
          <w:i/>
          <w:color w:val="666666"/>
          <w:sz w:val="18"/>
        </w:rPr>
        <w:t>Lushchak O et al.  ·  Biogerontology  ·  03.09.2026  ·  PMID 42690451</w:t>
      </w:r>
    </w:p>
    <w:p>
      <w:r>
        <w:t>Perspektivarbeit argumentiert, dass prolongierte Krisen (beispielsweise Krieg) chronische biologische Alterungsprozesse durch Stressachsen-Überaktivierung, Schlafstörung, Entzündung und Sarkopenie beschleunigen.</w:t>
      </w:r>
    </w:p>
    <w:p>
      <w:r>
        <w:rPr>
          <w:b/>
        </w:rPr>
        <w:t xml:space="preserve">Ergebnis: </w:t>
      </w:r>
      <w:r>
        <w:t>Konzeptrahmen verbindet HPA-Achsen-Aktivierung, Glukokortikoid-Dysregulation, ROS-Produktion, zelluläre Seneszenz und Mitochondrien-Dysfunktion mit abdominalem Übergewicht, sarkopener Adipositas, Frailty und funktionalem Verfall unter Krisenbedingungen. Psychisches Wohlbefinden, metabolisches Screening, Muskelrehabilitation sollten integriert bewertet werden statt isoliert; funktionale Fähigkeit ist Leitindikator.</w:t>
      </w:r>
    </w:p>
    <w:p>
      <w:r>
        <w:rPr>
          <w:b/>
          <w:sz w:val="19"/>
        </w:rPr>
        <w:t xml:space="preserve">Übertragbarkeit: </w:t>
      </w:r>
      <w:r>
        <w:rPr>
          <w:sz w:val="19"/>
        </w:rPr>
        <w:t>Ukraine-Fallbeispiel; biologische Mechanismen krisen- und kontextabhängig, aber Prinzipien für Vulnerabilität älterer Menschen universal.</w:t>
      </w:r>
    </w:p>
    <w:p>
      <w:r>
        <w:rPr>
          <w:color w:val="5A7D3A"/>
          <w:sz w:val="18"/>
        </w:rPr>
        <w:t>https://pubmed.ncbi.nlm.nih.gov/42690451/</w:t>
      </w:r>
    </w:p>
    <w:p>
      <w:pPr>
        <w:pStyle w:val="Heading2"/>
      </w:pPr>
      <w:r>
        <w:t>Kognitive Reserve und psychisches Wohlbefinden: Leibesaktivitäten schützen vor Stress im Alter</w:t>
      </w:r>
    </w:p>
    <w:p>
      <w:r>
        <w:rPr>
          <w:i/>
          <w:color w:val="666666"/>
          <w:sz w:val="18"/>
        </w:rPr>
        <w:t>Ordin M et al.  ·  Brain Behav  ·  Sept. 2026  ·  PMID 42687444</w:t>
      </w:r>
    </w:p>
    <w:p>
      <w:r>
        <w:t>Querschnittsstudie an 80 Senioren (65–101 Jahre) in Spanien untersuchte Assoziationen zwischen kognitiver Reserve (Freizeit), psychischem Wohlbefinden und kognitiver Leistung.</w:t>
      </w:r>
    </w:p>
    <w:p>
      <w:r>
        <w:rPr>
          <w:b/>
        </w:rPr>
        <w:t xml:space="preserve">Ergebnis: </w:t>
      </w:r>
      <w:r>
        <w:t>Bei Männern: höhere CRS-Scores (kognitive Reserve) assoziiert mit niedrigerem wahrgenommenem Stress und größerer Einsamkeit. CRS-Scores korreliert mit ausgewählten Aufmerksamkeitsmaßen. Keine signifikante Assoziation zwischen CRS und Gedächtnisspanne. Geschlechtsspezifische Befunde unterschiedlich; Frauen zeigten vergleichbare Muster nicht.</w:t>
      </w:r>
    </w:p>
    <w:p>
      <w:r>
        <w:rPr>
          <w:b/>
          <w:sz w:val="19"/>
        </w:rPr>
        <w:t xml:space="preserve">Übertragbarkeit: </w:t>
      </w:r>
      <w:r>
        <w:rPr>
          <w:sz w:val="19"/>
        </w:rPr>
        <w:t>Spanische Gemeindestudie; kognitive Reserve und psychisches Wohlbefinden altersunabhängig relevant.</w:t>
      </w:r>
    </w:p>
    <w:p>
      <w:r>
        <w:rPr>
          <w:color w:val="5A7D3A"/>
          <w:sz w:val="18"/>
        </w:rPr>
        <w:t>https://pubmed.ncbi.nlm.nih.gov/42687444/</w:t>
      </w:r>
    </w:p>
    <w:p>
      <w:pPr>
        <w:pStyle w:val="Heading1"/>
      </w:pPr>
      <w:r>
        <w:t>Aufgenommen am 08.10.2026</w:t>
      </w:r>
    </w:p>
    <w:p>
      <w:pPr>
        <w:pStyle w:val="Heading2"/>
      </w:pPr>
      <w:r>
        <w:t>Hitzewellen gefährden geriatrische Versorgungspfade – Stresstest zeigt Systemfragmentierung</w:t>
      </w:r>
    </w:p>
    <w:p>
      <w:r>
        <w:rPr>
          <w:i/>
          <w:color w:val="666666"/>
          <w:sz w:val="18"/>
        </w:rPr>
        <w:t>Annweiler C et al.  ·  Geriatr Psychol Neuropsychiatr Vieil  ·  01.09.2026  ·  PMID 42842818</w:t>
      </w:r>
    </w:p>
    <w:p>
      <w:r>
        <w:t>Beobachtungsstudie zu Auswirkungen der Hitzewelle Juni/Juli 2026 auf akute geriatrische Stationen und Rehabilitationseinheiten in Frankreich mit Erfassung von Raumtemperaturen, Kapazitätsbelastung und organisatorischen Anpassungen.</w:t>
      </w:r>
    </w:p>
    <w:p>
      <w:r>
        <w:rPr>
          <w:b/>
        </w:rPr>
        <w:t xml:space="preserve">Ergebnis: </w:t>
      </w:r>
      <w:r>
        <w:t>45,5 % der Stationen meldeten zunächst unerträgliche Patientenzimmertemperaturen, 88,4 % Personalermüdung. Eine Woche später besserten sich die Akutsymptome (tolerable Temperaturen 53,6 % → 100 %, p&lt;0,001; Notaufnahmebelastung 91,1 % → 63,3 %, p&lt;0,001), doch die Downstream-Kapazität blieb kritisch: 87,5 % der Stationen meldeten unzureichende Rehabilitationskapazität, die sich nicht verbesserte (86,7 %, p=0,903). Gekürzte Räume und Geräte reduzierten Hitzekomplikationen. Das Hitzeereignis offenbarte ein bereits fragiles System mit persistenter Versorgungsfragmentierung.</w:t>
      </w:r>
    </w:p>
    <w:p>
      <w:r>
        <w:rPr>
          <w:b/>
          <w:sz w:val="19"/>
        </w:rPr>
        <w:t xml:space="preserve">Übertragbarkeit: </w:t>
      </w:r>
      <w:r>
        <w:rPr>
          <w:sz w:val="19"/>
        </w:rPr>
        <w:t>Frankreich, deutsche Versorgung vergleichbar gefährdet; Klimaresilenz Gesundheitswesen zentrale Strategie</w:t>
      </w:r>
    </w:p>
    <w:p>
      <w:r>
        <w:rPr>
          <w:color w:val="5A7D3A"/>
          <w:sz w:val="18"/>
        </w:rPr>
        <w:t>https://pubmed.ncbi.nlm.nih.gov/42842818/</w:t>
      </w:r>
    </w:p>
    <w:p>
      <w:pPr>
        <w:pStyle w:val="Heading2"/>
      </w:pPr>
      <w:r>
        <w:t>Kohlenhydrat-Fett-Verhältnis positiv mit Gebrechlichkeit assoziiert – Ernährungsempfehlung für Ältere</w:t>
      </w:r>
    </w:p>
    <w:p>
      <w:r>
        <w:rPr>
          <w:i/>
          <w:color w:val="666666"/>
          <w:sz w:val="18"/>
        </w:rPr>
        <w:t>Nanri H et al.  ·  Eur J Nutr  ·  07.10.2026  ·  PMID 42841976</w:t>
      </w:r>
    </w:p>
    <w:p>
      <w:r>
        <w:t>Querschnittstudie an 5.679 älteren Japanern (≥65 Jahre) zur Assoziation des Kohlenhydrat-zu-Fett-Energieverh ältnisses (CFr) mit umfassender Gebrechlichkeit (Kihon-Checklist-Score ≥7) über multivariable logistische Regression mit Stratifizierung nach Proteinzufuhr.</w:t>
      </w:r>
    </w:p>
    <w:p>
      <w:r>
        <w:rPr>
          <w:b/>
        </w:rPr>
        <w:t xml:space="preserve">Ergebnis: </w:t>
      </w:r>
      <w:r>
        <w:t>30,0 % (1.705/5.679) zeigten umfassende Gebrechlichkeit. Adjustierte Odds-Ratios für höchstes CFr-Quartil vs. niedrigstes: 1,92 (95%-KI 1,55–2,38, p&lt;0,001). Dose-Wirkung-Beziehung linear über alle Geschlechter und Proteinzufuhr-Tertile, ohne Effektmodifikation. Höhere Kohlenhydrate bei moderater Fettreduktion assoziiert mit erhöhter Gebrechlichkeitsprä valenz, unabhängig von Proteinmenge.</w:t>
      </w:r>
    </w:p>
    <w:p>
      <w:r>
        <w:rPr>
          <w:b/>
          <w:sz w:val="19"/>
        </w:rPr>
        <w:t xml:space="preserve">Übertragbarkeit: </w:t>
      </w:r>
      <w:r>
        <w:rPr>
          <w:sz w:val="19"/>
        </w:rPr>
        <w:t>Japan, Ernährungsepidemiologie; Qualität beschränkt auf Querschnitt ohne Kausalität</w:t>
      </w:r>
    </w:p>
    <w:p>
      <w:r>
        <w:rPr>
          <w:color w:val="5A7D3A"/>
          <w:sz w:val="18"/>
        </w:rPr>
        <w:t>https://pubmed.ncbi.nlm.nih.gov/42841976/</w:t>
      </w:r>
    </w:p>
    <w:p>
      <w:pPr>
        <w:pStyle w:val="Heading2"/>
      </w:pPr>
      <w:r>
        <w:t>Gebrechlichkeit vorhersagt prolongierte Hospitalisierung und schlechtere Outcomes nach Quadrizeps-Sehnenriss</w:t>
      </w:r>
    </w:p>
    <w:p>
      <w:r>
        <w:rPr>
          <w:i/>
          <w:color w:val="666666"/>
          <w:sz w:val="18"/>
        </w:rPr>
        <w:t>Ozdemir E et al.  ·  Ulus Travma Acil Cerrahi Derg  ·  Okt. 2026  ·  PMID 42841891</w:t>
      </w:r>
    </w:p>
    <w:p>
      <w:r>
        <w:t>Retrospektive multizentrische Kohortenstudie an 67 älteren Patienten (Mittelwert 57,5 Jahre) mit akutem Quadrizeps-Sehnenriss, bewertet mit modifiziertem Frailty Index (mFI-5) und Clinical Frailty Scale (CFS) zur Vorhersage von Aufenthaltsdauer und funktionaler Erholung (Lysholm-Score ≥12 Monate).</w:t>
      </w:r>
    </w:p>
    <w:p>
      <w:r>
        <w:rPr>
          <w:b/>
        </w:rPr>
        <w:t xml:space="preserve">Ergebnis: </w:t>
      </w:r>
      <w:r>
        <w:t>Höhere mFI-5-Scores waren mit prolongierter Hospitalisierungsdauer assoziiert (r=0,404, p&lt;0,001); jeder 1-Punkt-Anstieg sagte 1,26 Tage längeren Aufenthalt voraus (95%-KI 0,61–1,90; R²=0,337). CFS war unabhängig mit schlechterer Erholung verbunden: jeder 1-Punkt-Anstieg entsprach 4,32-Punkt-Reduktion im Lysholm-Score (95%-KI –6,98 bis –1,67; R²=0,163). Höchstes Risiko-Quartil zeigte 16,7× erhöhtes Mortalitätsrisiko.</w:t>
      </w:r>
    </w:p>
    <w:p>
      <w:r>
        <w:rPr>
          <w:b/>
          <w:sz w:val="19"/>
        </w:rPr>
        <w:t xml:space="preserve">Übertragbarkeit: </w:t>
      </w:r>
      <w:r>
        <w:rPr>
          <w:sz w:val="19"/>
        </w:rPr>
        <w:t>Türkei, Orthopädie-Versorgung vergleichbar; geriatrisches Assessment umsetzbar</w:t>
      </w:r>
    </w:p>
    <w:p>
      <w:r>
        <w:rPr>
          <w:color w:val="5A7D3A"/>
          <w:sz w:val="18"/>
        </w:rPr>
        <w:t>https://pubmed.ncbi.nlm.nih.gov/42841891/</w:t>
      </w:r>
    </w:p>
    <w:p>
      <w:pPr>
        <w:pStyle w:val="Heading2"/>
      </w:pPr>
      <w:r>
        <w:t>Biofeedback reduziert Schwindel-Beeinträchtigung im Alltag älterer Menschen</w:t>
      </w:r>
    </w:p>
    <w:p>
      <w:r>
        <w:rPr>
          <w:i/>
          <w:color w:val="666666"/>
          <w:sz w:val="18"/>
        </w:rPr>
        <w:t>Chiara B et al.  ·  Curr Aging Sci  ·  2026  ·  PMID 42841459</w:t>
      </w:r>
    </w:p>
    <w:p>
      <w:r>
        <w:t>Randomisierte kontrollierte Studie zur Wirksamkeit von Biofeedback-Training (Procomp Infinity) bei 190 älteren Ambulanzpatienten (&gt;65 Jahre) mit Schwindel über 3 Monate ohne Auffrischungssitzungen.</w:t>
      </w:r>
    </w:p>
    <w:p>
      <w:r>
        <w:rPr>
          <w:b/>
        </w:rPr>
        <w:t xml:space="preserve">Ergebnis: </w:t>
      </w:r>
      <w:r>
        <w:t>Repeated-ANOVA zeigte signifikante Reduktion der Dizziness-Handicap-Inventory(DHI)-Scores nach 3 Monaten in der Biofeedback-Gruppe; Patienten lernten durch Muskelentspannung und Atemkontrolle, die Symptome zu bewältigen und erlangten Selbstwirksamkeit. Die Intervention reduzierte die funktionalen Auswirkungen von Schwindel und Instabilität im alltäglichen Leben substanziell.</w:t>
      </w:r>
    </w:p>
    <w:p>
      <w:r>
        <w:rPr>
          <w:b/>
          <w:sz w:val="19"/>
        </w:rPr>
        <w:t xml:space="preserve">Übertragbarkeit: </w:t>
      </w:r>
      <w:r>
        <w:rPr>
          <w:sz w:val="19"/>
        </w:rPr>
        <w:t>Italien, Methode kulturübergreifend übertragbar; Effektgröße in Abstract nicht quantifiziert</w:t>
      </w:r>
    </w:p>
    <w:p>
      <w:r>
        <w:rPr>
          <w:color w:val="5A7D3A"/>
          <w:sz w:val="18"/>
        </w:rPr>
        <w:t>https://pubmed.ncbi.nlm.nih.gov/42841459/</w:t>
      </w:r>
    </w:p>
    <w:p>
      <w:pPr>
        <w:pStyle w:val="Heading2"/>
      </w:pPr>
      <w:r>
        <w:t>Beschleunigtes Hirnaltern bei psychiatrischen und neurodegenerativen Störungen quantifiziert</w:t>
      </w:r>
    </w:p>
    <w:p>
      <w:r>
        <w:rPr>
          <w:i/>
          <w:color w:val="666666"/>
          <w:sz w:val="18"/>
        </w:rPr>
        <w:t>Gupta Y et al.  ·  Psychol Med  ·  07.10.2026  ·  PMID 42839301</w:t>
      </w:r>
    </w:p>
    <w:p>
      <w:r>
        <w:t>Lifespan-MRT-Studie an 25.425 Gesunden (Alter 2–95 Jahre) und 3.530 Patienten mit Schizophrenie, Depression, bipolarer Störung, ADHS, Substanzabhängigkeit, Alzheimer und FTD zur Bestimmung eines Brain-Predicted-Age-Difference (brain-PAD).</w:t>
      </w:r>
    </w:p>
    <w:p>
      <w:r>
        <w:rPr>
          <w:b/>
        </w:rPr>
        <w:t xml:space="preserve">Ergebnis: </w:t>
      </w:r>
      <w:r>
        <w:t>Modell erreichte mittleren absoluten Fehler von 5–7 Jahren. Signifikante Erhöhung von Δbrain-PAD bei Schizophrenie (+7,64 Jahre), FTD (+7,61), Alzheimer (+3,24), bipolarer Störung (+2,08), Depression (+2,76) und CSUD (+2,91 Jahre), nicht bei ADHS. Regionale Analysen zeigten gemeinsame und störungsspezifische morphometrische Alterationen. Effekt: Quantitativer Rahmen für Hirnaltern über Störungen hinweg, aber mechanistischer Versorgungsbezug fehlt.</w:t>
      </w:r>
    </w:p>
    <w:p>
      <w:r>
        <w:rPr>
          <w:b/>
          <w:sz w:val="19"/>
        </w:rPr>
        <w:t xml:space="preserve">Übertragbarkeit: </w:t>
      </w:r>
      <w:r>
        <w:rPr>
          <w:sz w:val="19"/>
        </w:rPr>
        <w:t>Deutschland, Forschung; Mechanismus-Biomarker ohne Behandlungsendpunkt – begrenzte geriatrische Relevanz</w:t>
      </w:r>
    </w:p>
    <w:p>
      <w:r>
        <w:rPr>
          <w:color w:val="5A7D3A"/>
          <w:sz w:val="18"/>
        </w:rPr>
        <w:t>https://pubmed.ncbi.nlm.nih.gov/42839301/</w:t>
      </w:r>
    </w:p>
    <w:p>
      <w:pPr>
        <w:pStyle w:val="Heading2"/>
      </w:pPr>
      <w:r>
        <w:t>Dehnen verbessert Gelenkbeweglichkeit älterer Menschen, aber nicht isoliert funktionale Leistung</w:t>
      </w:r>
    </w:p>
    <w:p>
      <w:r>
        <w:rPr>
          <w:i/>
          <w:color w:val="666666"/>
          <w:sz w:val="18"/>
        </w:rPr>
        <w:t>Tenace D et al.  ·  Recenti Prog Med  ·  Okt. 2026  ·  PMID 42831708</w:t>
      </w:r>
    </w:p>
    <w:p>
      <w:r>
        <w:t>Narrative Literaturübersicht (PubMed, Scopus, Cochrane) zu Effektivität statischen, dynamischen Dehnens und propriozeptiver neuromuskulärer Fazilitation auf Beweglichkeit, Steifheit, Schmerz und funktionale Autonomie bei älteren Menschen.</w:t>
      </w:r>
    </w:p>
    <w:p>
      <w:r>
        <w:rPr>
          <w:b/>
        </w:rPr>
        <w:t xml:space="preserve">Ergebnis: </w:t>
      </w:r>
      <w:r>
        <w:t>Evidenz für Dehnen zeigt konsistente Gewinne bei Gelenkbeweglichkeit und Flexibilität; einige Studien berichten günstige Effekte auf wahrgenommene Steifheit und muskuloskelettale Schmerzen. Verbesserungen der Gesamtfunktion, Balance und Sturzprävention sind jedoch weniger konsistent. Fazit: Dehnen ist kein Monotherapie-Ansatz, sondern komplementäre Komponente in Multikomponenten-Programmen, am wirksamsten für Mobilitätsgewinne bei Menschen mit Ausgangsfunktionsverlust.</w:t>
      </w:r>
    </w:p>
    <w:p>
      <w:r>
        <w:rPr>
          <w:b/>
          <w:sz w:val="19"/>
        </w:rPr>
        <w:t xml:space="preserve">Übertragbarkeit: </w:t>
      </w:r>
      <w:r>
        <w:rPr>
          <w:sz w:val="19"/>
        </w:rPr>
        <w:t>Italien, Evidenzlage europäisch dominiert, methodisch konsistent</w:t>
      </w:r>
    </w:p>
    <w:p>
      <w:r>
        <w:rPr>
          <w:color w:val="5A7D3A"/>
          <w:sz w:val="18"/>
        </w:rPr>
        <w:t>https://pubmed.ncbi.nlm.nih.gov/42831708/</w:t>
      </w:r>
    </w:p>
    <w:p>
      <w:pPr>
        <w:pStyle w:val="Heading2"/>
      </w:pPr>
      <w:r>
        <w:t>Resilienz ist häufige, aber nicht universelle Reaktion auf funktionalen Gesundheitsverlust im Alter</w:t>
      </w:r>
    </w:p>
    <w:p>
      <w:r>
        <w:rPr>
          <w:i/>
          <w:color w:val="666666"/>
          <w:sz w:val="18"/>
        </w:rPr>
        <w:t>Köhler T et al.  ·  Soc Sci Med  ·  29.08.2026  ·  PMID 42700481</w:t>
      </w:r>
    </w:p>
    <w:p>
      <w:r>
        <w:t>Growth-Mixture-Modelling-Analyse von SHARE-Daten zu Anpassungstrajektorien der Lebensqualität nach Beginn von Aktivitätseinschränkungen bei älteren Menschen (Match-Kontroll-Design für Kausalitätsattribution).</w:t>
      </w:r>
    </w:p>
    <w:p>
      <w:r>
        <w:rPr>
          <w:b/>
        </w:rPr>
        <w:t xml:space="preserve">Ergebnis: </w:t>
      </w:r>
      <w:r>
        <w:t>Bei Lebenszufriedenheit und Lebensqualität entstanden 3 Trajektorien mit Resilienz als Modalantwort (86,5 % bzw. 78,7 %); bei depressiven Symptomen 4 Trajektorien mit gleichen Anteilen resilient und chronisch (je 43,4 %). Stärkere Behinderung sagte Erholungstrajektorie voraus, vorbestehende Limitations und sozioökonomische Benachteiligung waren mit chronischen Pfaden assoziiert. Befund: Resilienz ist verbreitet, aber nicht uniform; multidimensionale Outcomes essentiell.</w:t>
      </w:r>
    </w:p>
    <w:p>
      <w:r>
        <w:rPr>
          <w:b/>
          <w:sz w:val="19"/>
        </w:rPr>
        <w:t xml:space="preserve">Übertragbarkeit: </w:t>
      </w:r>
      <w:r>
        <w:rPr>
          <w:sz w:val="19"/>
        </w:rPr>
        <w:t>Europa (SHARE), deutsches Sozialversicherungssystem direkt übertragbar</w:t>
      </w:r>
    </w:p>
    <w:p>
      <w:r>
        <w:rPr>
          <w:color w:val="5A7D3A"/>
          <w:sz w:val="18"/>
        </w:rPr>
        <w:t>https://pubmed.ncbi.nlm.nih.gov/42700481/</w:t>
      </w:r>
    </w:p>
    <w:p>
      <w:pPr>
        <w:pStyle w:val="Heading1"/>
      </w:pPr>
      <w:r>
        <w:t>Aufgenommen am 07.10.2026</w:t>
      </w:r>
    </w:p>
    <w:p>
      <w:pPr>
        <w:pStyle w:val="Heading2"/>
      </w:pPr>
      <w:r>
        <w:t>Kohorte der Altern-Studie Add Health in mittlerem Alter mit schlechterer Gesundheit als Vorgängergenerationen</w:t>
      </w:r>
    </w:p>
    <w:p>
      <w:r>
        <w:rPr>
          <w:i/>
          <w:color w:val="666666"/>
          <w:sz w:val="18"/>
        </w:rPr>
        <w:t>Gaydosh L et al.  ·  J Gerontol B Psychol Sci Soc Sci  ·  01.10.2026  ·  PMID 42837509</w:t>
      </w:r>
    </w:p>
    <w:p>
      <w:r>
        <w:t>Add Health Welle VI (Durchschnittsalter 44 Jahre, n=11.979) und Vergleich mit NHANES-Kohorten: Analyse von Altersmustern in Allgemeingesundheit, psychischer Gesundheit, Gesundheitsverhalten und chronischen Erkrankungen über Lebensabschnitte.</w:t>
      </w:r>
    </w:p>
    <w:p>
      <w:r>
        <w:rPr>
          <w:b/>
        </w:rPr>
        <w:t xml:space="preserve">Ergebnis: </w:t>
      </w:r>
      <w:r>
        <w:t>Add Health zeigte beim Alterungsübergang in Mittelalter Verschlechterung in Allgemeingesundheit, psychischer Gesundheit und chronischen Erkrankungen, während Gesundheitsverhalten sich verbesserte. Im Vergleich zu NHANES-Kohorten: Add Health-Kohorte hat schlechtere Gesundheit als ältere Kohorten und teilweise schlechter als eigene Geburtskohorte zu früheren Zeitpunkten. Bildungsgradienten sind relativ stabil, mit einigen Anzeichen von Zunahme über Zeit.</w:t>
      </w:r>
    </w:p>
    <w:p>
      <w:r>
        <w:rPr>
          <w:b/>
          <w:sz w:val="19"/>
        </w:rPr>
        <w:t xml:space="preserve">Übertragbarkeit: </w:t>
      </w:r>
      <w:r>
        <w:rPr>
          <w:sz w:val="19"/>
        </w:rPr>
        <w:t>USA, begrenzt auf US-Versorgungskontext; Trends sozioökonomischer Disparitäten aber universal relevant</w:t>
      </w:r>
    </w:p>
    <w:p>
      <w:r>
        <w:rPr>
          <w:color w:val="5A7D3A"/>
          <w:sz w:val="18"/>
        </w:rPr>
        <w:t>https://pubmed.ncbi.nlm.nih.gov/42837509/</w:t>
      </w:r>
    </w:p>
    <w:p>
      <w:pPr>
        <w:pStyle w:val="Heading2"/>
      </w:pPr>
      <w:r>
        <w:t>Soziale Isolation und Einsamkeit vorhersagend für kognitive Verschlechterung von Jugend bis Alter</w:t>
      </w:r>
    </w:p>
    <w:p>
      <w:r>
        <w:rPr>
          <w:i/>
          <w:color w:val="666666"/>
          <w:sz w:val="18"/>
        </w:rPr>
        <w:t>Yang YC et al.  ·  J Gerontol B Psychol Sci Soc Sci  ·  01.10.2026  ·  PMID 42837505</w:t>
      </w:r>
    </w:p>
    <w:p>
      <w:r>
        <w:t>Koordinierte Längsschnittanalyse von drei großen US-Kohorten (Add Health, MIDUS, HRS; n=18.553, Alter 11+), um Zusammenhang zwischen Isolations-/Einsamkeitsmuster und Gedächtnisschwund über Lebensverlauf zu prüfen.</w:t>
      </w:r>
    </w:p>
    <w:p>
      <w:r>
        <w:rPr>
          <w:b/>
        </w:rPr>
        <w:t xml:space="preserve">Ergebnis: </w:t>
      </w:r>
      <w:r>
        <w:t>Starke negative Effekte sozialer Isolation in jungem und älterem Erwachsenenalter, Einsamkeit besonders im Alter auf Gedächtnisfunktion. Persistente (nicht nur transiente) Isolation und Einsamkeit waren mit schlechteren Merkfähigkeitswerten verbunden (p&lt;0,05 nach Adjustierung). Effekte blieben signifikant auch nach Anpassung für soziodemografische und Verhaltensfaktoren, zeigten sich aber weniger konsistent als Niveau-Effekte.</w:t>
      </w:r>
    </w:p>
    <w:p>
      <w:r>
        <w:rPr>
          <w:b/>
          <w:sz w:val="19"/>
        </w:rPr>
        <w:t xml:space="preserve">Übertragbarkeit: </w:t>
      </w:r>
      <w:r>
        <w:rPr>
          <w:sz w:val="19"/>
        </w:rPr>
        <w:t>USA-Kohorten, Mechanismen wahrscheinlich übertragbar; Ausmaß hängt von Sozialstruktur ab</w:t>
      </w:r>
    </w:p>
    <w:p>
      <w:r>
        <w:rPr>
          <w:color w:val="5A7D3A"/>
          <w:sz w:val="18"/>
        </w:rPr>
        <w:t>https://pubmed.ncbi.nlm.nih.gov/42837505/</w:t>
      </w:r>
    </w:p>
    <w:p>
      <w:pPr>
        <w:pStyle w:val="Heading2"/>
      </w:pPr>
      <w:r>
        <w:t>Soziale Teilhabe vor Schlaganfall assoziiert mit physischer Resilienz nach Schlaganfall</w:t>
      </w:r>
    </w:p>
    <w:p>
      <w:r>
        <w:rPr>
          <w:i/>
          <w:color w:val="666666"/>
          <w:sz w:val="18"/>
        </w:rPr>
        <w:t>Zhang Y et al.  ·  PLoS One  ·  06.10.2026  ·  PMID 42837339</w:t>
      </w:r>
    </w:p>
    <w:p>
      <w:r>
        <w:t>Querschnittsstudie an 314 Schlaganfallpatienten (≥45 Jahre) in China, die retrospektive soziale Partizipation vor dem Ereignis mit aktueller physischer Resilienz verknüpfte.</w:t>
      </w:r>
    </w:p>
    <w:p>
      <w:r>
        <w:rPr>
          <w:b/>
        </w:rPr>
        <w:t xml:space="preserve">Ergebnis: </w:t>
      </w:r>
      <w:r>
        <w:t>Schwache positive Korrelation zwischen sozialer Teilhabe und physischer Resilienz (r=0,295, p&lt;0,001). Pro Punkt höherer sozialer Partizipationsscore war physische Resilienz um 0,725 Punkte höher (95%-KI 0,405–1,044, p&lt;0,001), Effekt über alle Frailty-Level konsistent. Belastende retrospektive Erhebung schließt aber kausale Aussagen aus.</w:t>
      </w:r>
    </w:p>
    <w:p>
      <w:r>
        <w:rPr>
          <w:b/>
          <w:sz w:val="19"/>
        </w:rPr>
        <w:t xml:space="preserve">Übertragbarkeit: </w:t>
      </w:r>
      <w:r>
        <w:rPr>
          <w:sz w:val="19"/>
        </w:rPr>
        <w:t>China, begrenzt übertragbar; Mechanismus unterscheidet sich von Deutschland</w:t>
      </w:r>
    </w:p>
    <w:p>
      <w:r>
        <w:rPr>
          <w:color w:val="5A7D3A"/>
          <w:sz w:val="18"/>
        </w:rPr>
        <w:t>https://pubmed.ncbi.nlm.nih.gov/42837339/</w:t>
      </w:r>
    </w:p>
    <w:p>
      <w:pPr>
        <w:pStyle w:val="Heading2"/>
      </w:pPr>
      <w:r>
        <w:t>Gemeinschaftsgaststätten für Senioren fördern Nutzung durch Awareness-Partizipation-Kaufverhalten-Weitersagen-Sequenz</w:t>
      </w:r>
    </w:p>
    <w:p>
      <w:r>
        <w:rPr>
          <w:i/>
          <w:color w:val="666666"/>
          <w:sz w:val="18"/>
        </w:rPr>
        <w:t>Wang S et al.  ·  Front Public Health  ·  21.09.2026  ·  PMID 42836140</w:t>
      </w:r>
    </w:p>
    <w:p>
      <w:r>
        <w:t>Querschnittsstudie in Nanjing (China) mit 1.568 älteren Erwachsenen (≥60 Jahre) zur Nutzung von Seniorengaststätten, strukturelle Gleichungsmodellierung zur Assoziation von Bewusstsein, Interaktion, Kauf und Weitergabe.</w:t>
      </w:r>
    </w:p>
    <w:p>
      <w:r>
        <w:rPr>
          <w:b/>
        </w:rPr>
        <w:t xml:space="preserve">Ergebnis: </w:t>
      </w:r>
      <w:r>
        <w:t>Strukturmodell zeigte signifikante sequenziell positive Assoziationen: Awareness→Interaction (p&lt;0,001), Interaction→Purchase (p&lt;0,001), Purchase→Sharing (p&lt;0,001). Alle Pfade statistisch signifikant, gutes Modellfit. Querschnittdesign erlaubt aber keine Kausalaussagen – hilfreich aber für Serviceoptimierung.</w:t>
      </w:r>
    </w:p>
    <w:p>
      <w:r>
        <w:rPr>
          <w:b/>
          <w:sz w:val="19"/>
        </w:rPr>
        <w:t xml:space="preserve">Übertragbarkeit: </w:t>
      </w:r>
      <w:r>
        <w:rPr>
          <w:sz w:val="19"/>
        </w:rPr>
        <w:t>China, teilweise übertragbar; Versorgungskontext unterscheidet sich von Deutschland</w:t>
      </w:r>
    </w:p>
    <w:p>
      <w:r>
        <w:rPr>
          <w:color w:val="5A7D3A"/>
          <w:sz w:val="18"/>
        </w:rPr>
        <w:t>https://pubmed.ncbi.nlm.nih.gov/42836140/</w:t>
      </w:r>
    </w:p>
    <w:p>
      <w:pPr>
        <w:pStyle w:val="Heading2"/>
      </w:pPr>
      <w:r>
        <w:t>Nierentransplantation verbessert Gebrechlichkeit und kognitive Funktion über zwei Jahre</w:t>
      </w:r>
    </w:p>
    <w:p>
      <w:r>
        <w:rPr>
          <w:i/>
          <w:color w:val="666666"/>
          <w:sz w:val="18"/>
        </w:rPr>
        <w:t>Beerli N et al.  ·  Transpl Int  ·  21.09.2026  ·  PMID 42835482</w:t>
      </w:r>
    </w:p>
    <w:p>
      <w:r>
        <w:t>Prospektive multizentrische Schweizer Kohortenstudie mit 230 Nierentransplantatierten, die Frailty und milde kognitive Beeinträchtigung (MCI) vor und nach Transplantation über bis zu zwei Jahre verfolgten.</w:t>
      </w:r>
    </w:p>
    <w:p>
      <w:r>
        <w:rPr>
          <w:b/>
        </w:rPr>
        <w:t xml:space="preserve">Ergebnis: </w:t>
      </w:r>
      <w:r>
        <w:t>Frailty sank von 8,3% vor Transplantation auf unter 2% im Follow-up, Präfrailty von 54,3% auf 27,6% nach zwei Jahren; MCI-Prävalenz fiel von 42,6% auf 31,3%. Bessere kognitive Funktion vorhersagte niedrigere nachfolgende Frailty, aber nicht umgekehrt. Das Ergebnis zeigt, dass Nierenverpflanzung funktionelle Gebrechlichkeit deutlich reduziert.</w:t>
      </w:r>
    </w:p>
    <w:p>
      <w:r>
        <w:rPr>
          <w:b/>
          <w:sz w:val="19"/>
        </w:rPr>
        <w:t xml:space="preserve">Übertragbarkeit: </w:t>
      </w:r>
      <w:r>
        <w:rPr>
          <w:sz w:val="19"/>
        </w:rPr>
        <w:t>Schweizer Universitätskliniken, vergleichbares deutschsprachiges Versorgungssystem</w:t>
      </w:r>
    </w:p>
    <w:p>
      <w:r>
        <w:rPr>
          <w:color w:val="5A7D3A"/>
          <w:sz w:val="18"/>
        </w:rPr>
        <w:t>https://pubmed.ncbi.nlm.nih.gov/42835482/</w:t>
      </w:r>
    </w:p>
    <w:p>
      <w:pPr>
        <w:pStyle w:val="Heading1"/>
      </w:pPr>
      <w:r>
        <w:t>Aufgenommen am 06.10.2026</w:t>
      </w:r>
    </w:p>
    <w:p>
      <w:pPr>
        <w:pStyle w:val="Heading2"/>
      </w:pPr>
      <w:r>
        <w:t>Frailty als multidimensionales biopsychosoziales Syndrom: Update zu Konzepten und Versorgung</w:t>
      </w:r>
    </w:p>
    <w:p>
      <w:r>
        <w:rPr>
          <w:i/>
          <w:color w:val="666666"/>
          <w:sz w:val="18"/>
        </w:rPr>
        <w:t>Cohen CI et al.  ·  Clin Geriatr Med  ·  Nov. 2026  ·  PMID 42833807</w:t>
      </w:r>
    </w:p>
    <w:p>
      <w:r>
        <w:t>Übersichtsartikel fasst die Entwicklung von Frailty-Konzeptualisierung von primär physisch zu einem komplexen, multidimensionalen biopsychosozialen Syndrom zusammen, unter Einbeziehung von Definition, Diagnose-Tools, Epidemiologie, Pathogenese und Versorgungsansätze.</w:t>
      </w:r>
    </w:p>
    <w:p>
      <w:r>
        <w:rPr>
          <w:b/>
        </w:rPr>
        <w:t xml:space="preserve">Ergebnis: </w:t>
      </w:r>
      <w:r>
        <w:t>Frailty erweitert von physischer zu physischer, kognitiver, sozialer und psychologischer Frailty. Tools und Assessment-Domains aufgelistet; Epidemiologie, Risikofaktoren, Pathogenese, Prävention und Behandlungs-Frameworks skizziert. Ungelöste Versorgungsfragen benannt. Keine spezifischen Zahlenergebnisse, sondern konzeptueller Überblick über den Wandel im Feld.</w:t>
      </w:r>
    </w:p>
    <w:p>
      <w:r>
        <w:rPr>
          <w:b/>
          <w:sz w:val="19"/>
        </w:rPr>
        <w:t xml:space="preserve">Übertragbarkeit: </w:t>
      </w:r>
      <w:r>
        <w:rPr>
          <w:sz w:val="19"/>
        </w:rPr>
        <w:t>US-amerikanisches Review; biopsychosoziales Frailty-Modell international etabliert, auf deutsches System direkt anwendbar.</w:t>
      </w:r>
    </w:p>
    <w:p>
      <w:r>
        <w:rPr>
          <w:color w:val="5A7D3A"/>
          <w:sz w:val="18"/>
        </w:rPr>
        <w:t>https://pubmed.ncbi.nlm.nih.gov/42833807/</w:t>
      </w:r>
    </w:p>
    <w:p>
      <w:pPr>
        <w:pStyle w:val="Heading2"/>
      </w:pPr>
      <w:r>
        <w:t>Altersfeindlichkeit als upstream-Determinante: Sturzverhütung durch multilevel Reframing</w:t>
      </w:r>
    </w:p>
    <w:p>
      <w:r>
        <w:rPr>
          <w:i/>
          <w:color w:val="666666"/>
          <w:sz w:val="18"/>
        </w:rPr>
        <w:t>McMahon SK et al.  ·  Clin Geriatr Med  ·  03.09.2026  ·  PMID 42833800</w:t>
      </w:r>
    </w:p>
    <w:p>
      <w:r>
        <w:t>Konzeptuelle Analyse aus USA untersucht, wie strukturelle, interpersonelle und individuelle Ebenen von Altersdiskriminierung die Implementierung, Akzeptanz und Wirksamkeit von Sturz-Prävention bei älteren Menschen beeinträchtigen.</w:t>
      </w:r>
    </w:p>
    <w:p>
      <w:r>
        <w:rPr>
          <w:b/>
        </w:rPr>
        <w:t xml:space="preserve">Ergebnis: </w:t>
      </w:r>
      <w:r>
        <w:t>Lücke zwischen Evidenz (starke Maßnahmen-Effektivität) und Implementierung getrieben durch Ageismus: Untererfassung, Umweltbarrieren, internalisierte Stigma. Empfehlung für ganzheitlichen, mehrebenenigen Ansatz, der soziale Determinanten (besonders Ageismus) integriert; Systemische, klinische und Kommunikations-Änderungen für bessere Prävention, Engagement, sichere Mobilität. Framework ‚Reframing Aging' zitiert.</w:t>
      </w:r>
    </w:p>
    <w:p>
      <w:r>
        <w:rPr>
          <w:b/>
          <w:sz w:val="19"/>
        </w:rPr>
        <w:t xml:space="preserve">Übertragbarkeit: </w:t>
      </w:r>
      <w:r>
        <w:rPr>
          <w:sz w:val="19"/>
        </w:rPr>
        <w:t>USA-Perspektive; konzeptueller Rahmen zur Sturzverhütung durch Anti-Ageismus-Ansätze prinzipiell auf deutsches System übertragbar, erfordert aber Systemanpassung.</w:t>
      </w:r>
    </w:p>
    <w:p>
      <w:r>
        <w:rPr>
          <w:color w:val="5A7D3A"/>
          <w:sz w:val="18"/>
        </w:rPr>
        <w:t>https://pubmed.ncbi.nlm.nih.gov/42833800/</w:t>
      </w:r>
    </w:p>
    <w:p>
      <w:pPr>
        <w:pStyle w:val="Heading2"/>
      </w:pPr>
      <w:r>
        <w:t>Aortenstenose im Alter: Weshalb Lebenserwartung keine Indikation zum Verzicht auf Klappenersatz ist</w:t>
      </w:r>
    </w:p>
    <w:p>
      <w:r>
        <w:rPr>
          <w:i/>
          <w:color w:val="666666"/>
          <w:sz w:val="18"/>
        </w:rPr>
        <w:t>Demir OM et al.  ·  Open Heart  ·  05.10.2026  ·  PMID 42833700</w:t>
      </w:r>
    </w:p>
    <w:p>
      <w:r>
        <w:t>Konzeptuelles Argument zur Fehlinterpretation von Lebenserwartung bei älteren Patienten mit symptomatischer schwerer Aortenstenose und der Frage, wann Ventilintervention gerechtfertigt ist.</w:t>
      </w:r>
    </w:p>
    <w:p>
      <w:r>
        <w:rPr>
          <w:b/>
        </w:rPr>
        <w:t xml:space="preserve">Ergebnis: </w:t>
      </w:r>
      <w:r>
        <w:t>Nationale Sterbe- und Überlebenstafeln: 90-Jähriger in England/Wales hat noch 3,9 Jahre Lebenserwartung; 82-Jähriger lebt länger als 72-Jähriger. 'Schlagrisiko ist kardial, nicht chronologisch' — korreliert mit extravalvulärer Herzschädigung, Frailty und konkurrierenden Erkrankungen, nicht mit Kalenderalter. Stadium, nicht Alter, diskriminiert Outcome. Empfehlung: conditional, komorbidität-adjustierte Prognose statt Alters-Nihilismus.</w:t>
      </w:r>
    </w:p>
    <w:p>
      <w:r>
        <w:rPr>
          <w:b/>
          <w:sz w:val="19"/>
        </w:rPr>
        <w:t xml:space="preserve">Übertragbarkeit: </w:t>
      </w:r>
      <w:r>
        <w:rPr>
          <w:sz w:val="19"/>
        </w:rPr>
        <w:t>Britisches System; medizinisches Konzept zur Patientenauswahl übertragbar auf deutsches Altensystem.</w:t>
      </w:r>
    </w:p>
    <w:p>
      <w:r>
        <w:rPr>
          <w:color w:val="5A7D3A"/>
          <w:sz w:val="18"/>
        </w:rPr>
        <w:t>https://pubmed.ncbi.nlm.nih.gov/42833700/</w:t>
      </w:r>
    </w:p>
    <w:p>
      <w:pPr>
        <w:pStyle w:val="Heading2"/>
      </w:pPr>
      <w:r>
        <w:t>Körperliche Leistung puffert Alterseffekt auf Exekutivfunktion bei Demenzrisiko</w:t>
      </w:r>
    </w:p>
    <w:p>
      <w:r>
        <w:rPr>
          <w:i/>
          <w:color w:val="666666"/>
          <w:sz w:val="18"/>
        </w:rPr>
        <w:t>Reparaz-Escudero I et al.  ·  J Cachexia Sarcopenia Muscle  ·  Okt. 2026  ·  PMID 42833623</w:t>
      </w:r>
    </w:p>
    <w:p>
      <w:r>
        <w:t>Querschnittsstudie an 920 älteren Spaniern (60–85 Jahre) mit erhöhtem Demenzrisiko untersuchte, ob Ganggeschwindigkeit, Handgriffkraft und Beinmuskelpower den Zusammenhang zwischen Alter und Exekutivfunktion moderieren.</w:t>
      </w:r>
    </w:p>
    <w:p>
      <w:r>
        <w:rPr>
          <w:b/>
        </w:rPr>
        <w:t xml:space="preserve">Ergebnis: </w:t>
      </w:r>
      <w:r>
        <w:t>Höhere körperliche Leistung schwächte die Alters-Exekutivfunktion-Assoziation ab. Ganggeschwindigkeit moderierte die Beziehung am konsistentesten; Johnson-Neyman-Analyse zeigte: Alters-Exekutivfunktion-Effekt nur bei Ganggeschwindigkeiten unter 1,68–1,83 m/s messbar (1,0–15,9 % der Teilnehmer). Sex-spezifische Muster: Ganggeschwindigkeit bei TMT-B bei Männern, Stroop-Interferenz bei Frauen moderat.</w:t>
      </w:r>
    </w:p>
    <w:p>
      <w:r>
        <w:rPr>
          <w:b/>
          <w:sz w:val="19"/>
        </w:rPr>
        <w:t xml:space="preserve">Übertragbarkeit: </w:t>
      </w:r>
      <w:r>
        <w:rPr>
          <w:sz w:val="19"/>
        </w:rPr>
        <w:t>Spanische Demenzrisiko-Kohorte; körperliches Training zur Exekutivschutzung übertragbar auf deutsche Altenpopulation.</w:t>
      </w:r>
    </w:p>
    <w:p>
      <w:r>
        <w:rPr>
          <w:color w:val="5A7D3A"/>
          <w:sz w:val="18"/>
        </w:rPr>
        <w:t>https://pubmed.ncbi.nlm.nih.gov/42833623/</w:t>
      </w:r>
    </w:p>
    <w:p>
      <w:pPr>
        <w:pStyle w:val="Heading2"/>
      </w:pPr>
      <w:r>
        <w:t>Elektromyographie beim Gehen identifiziert Gebrechlichkeit bei älteren Patienten mit Herzkrankheit</w:t>
      </w:r>
    </w:p>
    <w:p>
      <w:r>
        <w:rPr>
          <w:i/>
          <w:color w:val="666666"/>
          <w:sz w:val="18"/>
        </w:rPr>
        <w:t>Huang P et al.  ·  J Cachexia Sarcopenia Muscle  ·  Okt. 2026  ·  PMID 42830734</w:t>
      </w:r>
    </w:p>
    <w:p>
      <w:r>
        <w:t>Fall-Kontroll-Studie mit 150 älteren Patienten mit Herzkrankheit (75 gebrechlich, 75 nicht-gebrechlich) verglich oberflächliche Elektromyographie (sEMG) der Unterschenkelmuskeln beim Gehen und testete deren Diskriminativwert für Frailty.</w:t>
      </w:r>
    </w:p>
    <w:p>
      <w:r>
        <w:rPr>
          <w:b/>
        </w:rPr>
        <w:t xml:space="preserve">Ergebnis: </w:t>
      </w:r>
      <w:r>
        <w:t>Gebrechliche waren älter (76,04 vs. 68,55 Jahre), benötigten länger für 10-m-Gang (13,34 vs. 9,44 s), niedrigere POMA-Scores (21,51 vs. 27,59). Gebrechliche zeigten höhere integrierte EMG des linken Semitendinosus (534,4 vs. 455,5 μV·s, p=0,0084) und höhere Aktivierungssequenz-Rang des linken Rectus femoris (p=0,0404). Im Frequenzbereich höhere Medianfrequenz (MF) in 6 Muskeln. Multivariates Modell: MF Rectus femoris rechts (OR 1,067, p=0,038), MF Gastrocnemius rechts (OR 1,054, p=0,019), Aktivierungsrang TA rechts (OR 0,640, p=0,014) unabhängig assoziiert. sEMG+Alter-Modell: AUC 0,8418 (Sensitivität 0,8933, Spezifität 0,6400), Vollmodell mit POMA: AUC 0,8740.</w:t>
      </w:r>
    </w:p>
    <w:p>
      <w:r>
        <w:rPr>
          <w:b/>
          <w:sz w:val="19"/>
        </w:rPr>
        <w:t xml:space="preserve">Übertragbarkeit: </w:t>
      </w:r>
      <w:r>
        <w:rPr>
          <w:sz w:val="19"/>
        </w:rPr>
        <w:t>Chinesische Klinik-Kohorte; sEMG-Methode und Frailty-Assessments international vergleichbar.</w:t>
      </w:r>
    </w:p>
    <w:p>
      <w:r>
        <w:rPr>
          <w:color w:val="5A7D3A"/>
          <w:sz w:val="18"/>
        </w:rPr>
        <w:t>https://pubmed.ncbi.nlm.nih.gov/42830734/</w:t>
      </w:r>
    </w:p>
    <w:p>
      <w:pPr>
        <w:pStyle w:val="Heading2"/>
      </w:pPr>
      <w:r>
        <w:t>Glukosestoffwechsel und vaskuläres Altern: Prädiktive Güte einfacher Marker im Screening</w:t>
      </w:r>
    </w:p>
    <w:p>
      <w:r>
        <w:rPr>
          <w:i/>
          <w:color w:val="666666"/>
          <w:sz w:val="18"/>
        </w:rPr>
        <w:t>Wang J et al.  ·  Front Endocrinol (Lausanne)  ·  18.09.2026  ·  PMID 42827523</w:t>
      </w:r>
    </w:p>
    <w:p>
      <w:r>
        <w:t>Retrospektive Querschnittsstudie mit 555 Personen aus Routineuntersuchungen evaluierte sieben Glukosemetaboliten-Indizes (TyG, CHG, HOMA-IR etc.) und deren Assoziationen mit frühem vaskulärem Altern (EVA, baPWV).</w:t>
      </w:r>
    </w:p>
    <w:p>
      <w:r>
        <w:rPr>
          <w:b/>
        </w:rPr>
        <w:t xml:space="preserve">Ergebnis: </w:t>
      </w:r>
      <w:r>
        <w:t>156/555 (28,1%) hatten EVA. Alle sieben Marker unabhängig mit EVA assoziiert nach Confounding-Kontrolle. CHG-Index stärkste Korrelation mit baPWV-Mittelwert (r=0,402, p&lt;0,001). ROC-Analysen: HbA1c höchste AUC (0,690), TyG-Index höchste Sensitivität (70,51%). Bescheidene Diskriminanzleistung über alle Marker. Schluss: TyG und HbA1c als potenzielle kostengünstige Hilfsmarker für EVA-Screening; interne Bootstrap- und externe prospektive Validierung erforderlich.</w:t>
      </w:r>
    </w:p>
    <w:p>
      <w:r>
        <w:rPr>
          <w:b/>
          <w:sz w:val="19"/>
        </w:rPr>
        <w:t xml:space="preserve">Übertragbarkeit: </w:t>
      </w:r>
      <w:r>
        <w:rPr>
          <w:sz w:val="19"/>
        </w:rPr>
        <w:t>Chinesische Gesundheitsuntersuchungskohorte; Biomarker-Interpretation übertragbar, aber lokale Altersstruktur verschieden.</w:t>
      </w:r>
    </w:p>
    <w:p>
      <w:r>
        <w:rPr>
          <w:color w:val="5A7D3A"/>
          <w:sz w:val="18"/>
        </w:rPr>
        <w:t>https://pubmed.ncbi.nlm.nih.gov/42827523/</w:t>
      </w:r>
    </w:p>
    <w:p>
      <w:pPr>
        <w:pStyle w:val="Heading2"/>
      </w:pPr>
      <w:r>
        <w:t>Arteriosklerose und Sarkopenie: biologisches Alter als Mediator, Gebrechlichkeit als Modifikator</w:t>
      </w:r>
    </w:p>
    <w:p>
      <w:r>
        <w:rPr>
          <w:i/>
          <w:color w:val="666666"/>
          <w:sz w:val="18"/>
        </w:rPr>
        <w:t>Sun A et al.  ·  Front Public Health  ·  14.09.2026  ·  PMID 42807006</w:t>
      </w:r>
    </w:p>
    <w:p>
      <w:r>
        <w:t>Prospektive UK-Biobank-Kohortenstudie mit 32.451 Teilnehmern untersuchte, ob Arteriensteifigkeit (ASI) mit Sarkopenie-Risiko assoziiert ist und welche Rolle biologisches Alter und Frailty spielen.</w:t>
      </w:r>
    </w:p>
    <w:p>
      <w:r>
        <w:rPr>
          <w:b/>
        </w:rPr>
        <w:t xml:space="preserve">Ergebnis: </w:t>
      </w:r>
      <w:r>
        <w:t>Höchstes vs. niedriges ASI-Tertil: HR 1,38 (95%-KI 1,22–1,55) für wahrscheinliche Sarkopenie, HR 1,56 (95%-KI 1,11–2,18) für Sarkopenie. Biologisches Alter mediierte 8,66 % und 18,85 % dieser Assoziationen. Frailty modifizierte die Magnitude erheblich; Assoziationen überwiegend bei nicht-Gebrechlichen. Erkannter nichtlinearer Zusammenhang bei wahrscheinlicher Sarkopenie, linear bei manifester Sarkopenie.</w:t>
      </w:r>
    </w:p>
    <w:p>
      <w:r>
        <w:rPr>
          <w:b/>
          <w:sz w:val="19"/>
        </w:rPr>
        <w:t xml:space="preserve">Übertragbarkeit: </w:t>
      </w:r>
      <w:r>
        <w:rPr>
          <w:sz w:val="19"/>
        </w:rPr>
        <w:t>UK Biobank; methodische Validierbarkeit aber Altersdurchschnitt und Sozialstruktur unterscheiden sich von Deutschland.</w:t>
      </w:r>
    </w:p>
    <w:p>
      <w:r>
        <w:rPr>
          <w:color w:val="5A7D3A"/>
          <w:sz w:val="18"/>
        </w:rPr>
        <w:t>https://pubmed.ncbi.nlm.nih.gov/42807006/</w:t>
      </w:r>
    </w:p>
    <w:p>
      <w:pPr>
        <w:pStyle w:val="Heading1"/>
      </w:pPr>
      <w:r>
        <w:t>Aufgenommen am 05.10.2026</w:t>
      </w:r>
    </w:p>
    <w:p>
      <w:pPr>
        <w:pStyle w:val="Heading2"/>
      </w:pPr>
      <w:r>
        <w:t>Prävention durch Hausbesuche erfordert sektorenübergreifende Partnerschaften und Unterstützung durch Führungspersonen</w:t>
      </w:r>
    </w:p>
    <w:p>
      <w:r>
        <w:rPr>
          <w:i/>
          <w:color w:val="666666"/>
          <w:sz w:val="18"/>
        </w:rPr>
        <w:t>Nivestam A et al.  ·  Scand J Caring Sci  ·  Dez. 2026  ·  PMID 42828510</w:t>
      </w:r>
    </w:p>
    <w:p>
      <w:r>
        <w:t>Qualitative Studie (Fokusgruppen mit 16 Fachpersonen aus 5 schwedischen Gemeinden) identifiziert, welche Kooperationspartner Hausbesucher für erfolgreiche Prävention und gesundes Altern mobilisieren.</w:t>
      </w:r>
    </w:p>
    <w:p>
      <w:r>
        <w:rPr>
          <w:b/>
        </w:rPr>
        <w:t xml:space="preserve">Ergebnis: </w:t>
      </w:r>
      <w:r>
        <w:t>Hausbesucher arbeiten mit breitem Spektrum von Partnern zusammen: kritisch sind Politiker und Medien; wichtig sind Akteure für sinnvolle Freizeit, Partizipation, lebenslanges Lernen und Gesundheits-/Sozialsektoren. Unterstützung durch Führungspersonen in Schlüsselpositionen steigert Effektivität. Kernempfehlung: gesamtgesellschaftlicher (whole-of-society) Ansatz zur Planung von Präventionsbesuchen.</w:t>
      </w:r>
    </w:p>
    <w:p>
      <w:r>
        <w:rPr>
          <w:b/>
          <w:sz w:val="19"/>
        </w:rPr>
        <w:t xml:space="preserve">Übertragbarkeit: </w:t>
      </w:r>
      <w:r>
        <w:rPr>
          <w:sz w:val="19"/>
        </w:rPr>
        <w:t>Skandinavien vergleichbar, universelles Gesundheitssystem, übertragbar auf Deutschland.</w:t>
      </w:r>
    </w:p>
    <w:p>
      <w:r>
        <w:rPr>
          <w:color w:val="5A7D3A"/>
          <w:sz w:val="18"/>
        </w:rPr>
        <w:t>https://pubmed.ncbi.nlm.nih.gov/42828510/</w:t>
      </w:r>
    </w:p>
    <w:p>
      <w:pPr>
        <w:pStyle w:val="Heading2"/>
      </w:pPr>
      <w:r>
        <w:t>Krankenversicherung für Ernährungstherapie älterer Krebspatienten determiniert Funktionsfähigkeit</w:t>
      </w:r>
    </w:p>
    <w:p>
      <w:r>
        <w:rPr>
          <w:i/>
          <w:color w:val="666666"/>
          <w:sz w:val="18"/>
        </w:rPr>
        <w:t>Yang J  ·  Front Public Health  ·  18.09.2026  ·  PMID 42827769</w:t>
      </w:r>
    </w:p>
    <w:p>
      <w:r>
        <w:t>Narratives Mini-Review analysiert Versicherungsdeckung für medizinische Ernährungstherapie (Medical Nutrition Therapy, MNT) bei älteren Frauen mit Krebs als Politikfrage für Langzeitpflege und Frailty-Equity in USA, Australien und UK.</w:t>
      </w:r>
    </w:p>
    <w:p>
      <w:r>
        <w:rPr>
          <w:b/>
        </w:rPr>
        <w:t xml:space="preserve">Ergebnis: </w:t>
      </w:r>
      <w:r>
        <w:t>Untersucht, wie Versicherungsdesign – Leistungsbeschränkungen, Kostenbeteiligung, fragmentierte Autorisierung – den Zugang zu MNT und damit Risiken für Mangelernährung, Sarkopenie und funktionalen Niedergang lenkt. Empfiehlt MNT als essenzielle, risikostratifizierte Komponente von Onkologie und Langzeitpflege, nicht als optionales Wellness-Angebot, mit kontinuierlichen Übergängen zwischen Klinik, Heimat und Pflege.</w:t>
      </w:r>
    </w:p>
    <w:p>
      <w:r>
        <w:rPr>
          <w:b/>
          <w:sz w:val="19"/>
        </w:rPr>
        <w:t xml:space="preserve">Übertragbarkeit: </w:t>
      </w:r>
      <w:r>
        <w:rPr>
          <w:sz w:val="19"/>
        </w:rPr>
        <w:t>UK-System vergleichbar; Kernaussage zur Finanzierungspolitik auch auf deutsches System übertragbar.</w:t>
      </w:r>
    </w:p>
    <w:p>
      <w:r>
        <w:rPr>
          <w:color w:val="5A7D3A"/>
          <w:sz w:val="18"/>
        </w:rPr>
        <w:t>https://pubmed.ncbi.nlm.nih.gov/42827769/</w:t>
      </w:r>
    </w:p>
    <w:p>
      <w:pPr>
        <w:pStyle w:val="Heading2"/>
      </w:pPr>
      <w:r>
        <w:t>Biologische Organaltern und Proteinprofile vorhersagen Mortalitätsrisiko besser als Standard-Biomarker</w:t>
      </w:r>
    </w:p>
    <w:p>
      <w:r>
        <w:rPr>
          <w:i/>
          <w:color w:val="666666"/>
          <w:sz w:val="18"/>
        </w:rPr>
        <w:t>Pyrgioti M et al.  ·  Aging Cell  ·  Okt. 2026  ·  PMID 42823846</w:t>
      </w:r>
    </w:p>
    <w:p>
      <w:r>
        <w:t>Benchmarking von 11 proteomic organ clocks gegen etablierte Altersmarker (epigenetisches Alter, Telomerlänge, Lungenfunktion, Kognition, Neuroimaging) für 16-Jahres-Gesamtmortalität in einer schottischen Kohorte (n=861; 444 Todesfälle).</w:t>
      </w:r>
    </w:p>
    <w:p>
      <w:r>
        <w:rPr>
          <w:b/>
        </w:rPr>
        <w:t xml:space="preserve">Ergebnis: </w:t>
      </w:r>
      <w:r>
        <w:t>Unter proteomic clocks: beschleunigte Leber-(HR=1,43), Immun-(HR=1,42) und Herzalterung (HR=1,38) waren stärkste Prädiktor:innen. Aber älteres epigenetisches Alter, kleineres Hirnvolumen, reduzierte Atemfunktion und schlechtere Kognition zeigten stärkere Assoziationen (HR=1,44–1,62). Von 9703 Plasma-Proteinen: GDF15 (HR=1,56), WFDC2 (HR=1,47) und TIMP1 (HR=1,45) führend mit Mortalität assoziiert.</w:t>
      </w:r>
    </w:p>
    <w:p>
      <w:r>
        <w:rPr>
          <w:b/>
          <w:sz w:val="19"/>
        </w:rPr>
        <w:t xml:space="preserve">Übertragbarkeit: </w:t>
      </w:r>
      <w:r>
        <w:rPr>
          <w:sz w:val="19"/>
        </w:rPr>
        <w:t>UK-Biobank-Kohorte, europäische Altersstruktur, direkt auf Deutschland übertragbar.</w:t>
      </w:r>
    </w:p>
    <w:p>
      <w:r>
        <w:rPr>
          <w:color w:val="5A7D3A"/>
          <w:sz w:val="18"/>
        </w:rPr>
        <w:t>https://pubmed.ncbi.nlm.nih.gov/42823846/</w:t>
      </w:r>
    </w:p>
    <w:p>
      <w:pPr>
        <w:pStyle w:val="Heading2"/>
      </w:pPr>
      <w:r>
        <w:t>Gesunde Altersverläufe senken kardiovaskuläres Erkrankungsrisiko</w:t>
      </w:r>
    </w:p>
    <w:p>
      <w:r>
        <w:rPr>
          <w:i/>
          <w:color w:val="666666"/>
          <w:sz w:val="18"/>
        </w:rPr>
        <w:t>Du R et al.  ·  J Nutr Health Aging  ·  04.09.2026  ·  PMID 42697165</w:t>
      </w:r>
    </w:p>
    <w:p>
      <w:r>
        <w:t>Studie untersucht die Assoziation zwischen Mustern gesunder Alterung (gemessen mit ATHLOS-Score) und dem Auftreten kardiovaskulärer Erkrankungen in drei europäischen und chinesischen Kohorten.</w:t>
      </w:r>
    </w:p>
    <w:p>
      <w:r>
        <w:rPr>
          <w:b/>
        </w:rPr>
        <w:t xml:space="preserve">Ergebnis: </w:t>
      </w:r>
      <w:r>
        <w:t>Verglichen mit der niedrigsten Altersverlauf-Gruppe zeigte die mittlere Gruppe reduziertes CVD-Risiko (SHARE HR=0,89; ELSA HR=0,66; CHARLS HR=0,67), die höchste Gruppe sogar deutlich gesenkt (SHARE HR=0,61; ELSA HR=0,36; CHARLS HR=0,39). Assoziation war konsistent über SES- und Lebensstil-Schichten. Hochwertige Altersverläufe sind kardioprotektiv.</w:t>
      </w:r>
    </w:p>
    <w:p>
      <w:r>
        <w:rPr>
          <w:b/>
          <w:sz w:val="19"/>
        </w:rPr>
        <w:t xml:space="preserve">Übertragbarkeit: </w:t>
      </w:r>
      <w:r>
        <w:rPr>
          <w:sz w:val="19"/>
        </w:rPr>
        <w:t>SHARE und ELSA europäisch vergleichbar, CHARLS repräsentiert alternatives System.</w:t>
      </w:r>
    </w:p>
    <w:p>
      <w:r>
        <w:rPr>
          <w:color w:val="5A7D3A"/>
          <w:sz w:val="18"/>
        </w:rPr>
        <w:t>https://pubmed.ncbi.nlm.nih.gov/42697165/</w:t>
      </w:r>
    </w:p>
    <w:p>
      <w:pPr>
        <w:pStyle w:val="Heading2"/>
      </w:pPr>
      <w:r>
        <w:t>Spezialisierte Versorgung fragiler Chirurgiepatienten senkt Morbidität und erhält Lebensqualität</w:t>
      </w:r>
    </w:p>
    <w:p>
      <w:r>
        <w:rPr>
          <w:i/>
          <w:color w:val="666666"/>
          <w:sz w:val="18"/>
        </w:rPr>
        <w:t>Castellví Valls J et al.  ·  Cir Esp (Engl Ed)  ·  01.09.2026  ·  PMID 42680087</w:t>
      </w:r>
    </w:p>
    <w:p>
      <w:r>
        <w:t>Evaluiert Effektivität eines integrierten geriatrischen Versorgungsbereichs für fragile Patienten, die operativ behandelt wurden, mit Fokus auf perioperative Morbidität, Mortalität und Funktionsfähigkeit.</w:t>
      </w:r>
    </w:p>
    <w:p>
      <w:r>
        <w:rPr>
          <w:b/>
        </w:rPr>
        <w:t xml:space="preserve">Ergebnis: </w:t>
      </w:r>
      <w:r>
        <w:t>Von 413 Patienten (Alter 80 J., 91,8% ASA III-IV) wurden 288 operiert. Perioperative Komplikationen Clavien-Dindo III-V: 9,7%, 30-Tage-Mortalität 3,1%, Wiederaufnahmen 13,2%. Nach 3 Monaten und 1 Jahr waren 82,5% der operierten Patienten in Funktion gleich oder besser als präoperativ. Von 125 nicht operierten Patienten starben 48,3% im 1. Jahr.</w:t>
      </w:r>
    </w:p>
    <w:p>
      <w:r>
        <w:rPr>
          <w:b/>
          <w:sz w:val="19"/>
        </w:rPr>
        <w:t xml:space="preserve">Übertragbarkeit: </w:t>
      </w:r>
      <w:r>
        <w:rPr>
          <w:sz w:val="19"/>
        </w:rPr>
        <w:t>Spanisch-katalanisches Krankenhaus-System, deutsche Geriatrien vergleichbar organisiert.</w:t>
      </w:r>
    </w:p>
    <w:p>
      <w:r>
        <w:rPr>
          <w:color w:val="5A7D3A"/>
          <w:sz w:val="18"/>
        </w:rPr>
        <w:t>https://pubmed.ncbi.nlm.nih.gov/42680087/</w:t>
      </w:r>
    </w:p>
    <w:p>
      <w:pPr>
        <w:pStyle w:val="Heading2"/>
      </w:pPr>
      <w:r>
        <w:t>Schlaf-Mikrostruktur in der Älterung vorhersagt kognitive Trajektorie über 10 Jahre</w:t>
      </w:r>
    </w:p>
    <w:p>
      <w:r>
        <w:rPr>
          <w:i/>
          <w:color w:val="666666"/>
          <w:sz w:val="18"/>
        </w:rPr>
        <w:t>Urdanibia-Centelles O et al.  ·  Sleep Med  ·  20.08.2026  ·  PMID 42628340</w:t>
      </w:r>
    </w:p>
    <w:p>
      <w:r>
        <w:t>Prospektive Kohortenstudie (n=82 mit ausreichend NREM-Schlaf, Polysomnografie und kognitive Tests 10 Jahre auseinander) untersucht, ob Schlafmerkmale (Spindel, Slow Waves, EEG-Kohärenz) kognitive Alterung und Verfall vorhersagen.</w:t>
      </w:r>
    </w:p>
    <w:p>
      <w:r>
        <w:rPr>
          <w:b/>
        </w:rPr>
        <w:t xml:space="preserve">Ergebnis: </w:t>
      </w:r>
      <w:r>
        <w:t>Über 10 Jahre: Verarbeitungsgeschwindigkeit nahm um 6,1 s zu, symbolische Konversion um 2,3 ab. Höhere Schlafeffizienz → besseres kognitives Halten. Erhöhte Wachphase und erhöhtes Arousal → schlechtere Gedächtnis- und Lernleistung. Höhere Fast-Spindle-Amplitude und -Frequenz, Slow-Wave-Charakteristika und N2/REM-Kohärenz korrelierten mit Verarbeitungsgeschwindigkeit, Aufmerksamkeit und globaler Kognition.</w:t>
      </w:r>
    </w:p>
    <w:p>
      <w:r>
        <w:rPr>
          <w:b/>
          <w:sz w:val="19"/>
        </w:rPr>
        <w:t xml:space="preserve">Übertragbarkeit: </w:t>
      </w:r>
      <w:r>
        <w:rPr>
          <w:sz w:val="19"/>
        </w:rPr>
        <w:t>Dänische Geburtskohorte, nordeuropäisches System vergleichbar.</w:t>
      </w:r>
    </w:p>
    <w:p>
      <w:r>
        <w:rPr>
          <w:color w:val="5A7D3A"/>
          <w:sz w:val="18"/>
        </w:rPr>
        <w:t>https://pubmed.ncbi.nlm.nih.gov/42628340/</w:t>
      </w:r>
    </w:p>
    <w:p>
      <w:pPr>
        <w:pStyle w:val="Heading1"/>
      </w:pPr>
      <w:r>
        <w:t>Aufgenommen am 04.10.2026</w:t>
      </w:r>
    </w:p>
    <w:p>
      <w:pPr>
        <w:pStyle w:val="Heading2"/>
      </w:pPr>
      <w:r>
        <w:t>Ernährungsscreening und Vorrehabilitation reduzieren Komplikationen bei älteren Frauen in der Krebschirurgie</w:t>
      </w:r>
    </w:p>
    <w:p>
      <w:r>
        <w:rPr>
          <w:i/>
          <w:color w:val="666666"/>
          <w:sz w:val="18"/>
        </w:rPr>
        <w:t>Feng Y et al.  ·  Front Public Health  ·  17.09.2026  ·  PMID 42824555</w:t>
      </w:r>
    </w:p>
    <w:p>
      <w:r>
        <w:t>Narrative Review zu Pflegeintervention bei älteren Frauen mit Krebs vor Operation: Frailty- und Ernährungsscreening, Dietitian-Referral, multimodale Prehabilitation und Enhanced Recovery.</w:t>
      </w:r>
    </w:p>
    <w:p>
      <w:r>
        <w:rPr>
          <w:b/>
        </w:rPr>
        <w:t xml:space="preserve">Ergebnis: </w:t>
      </w:r>
      <w:r>
        <w:t>Integrierten zwei-Schritt-Ansatz mit Frailty/Ernährungsscreening plus Multidimensionalem Assessment, Protein-Energie-Support und Mobilisierung in Enhanced-Recovery-Pathways wird empfohlen. Begründung: Ältere Frauen erleben Frailty-Malnutrition-Stress-Achse; Mangelernährung und Muskelabbau persistieren über Adjuvanztherapie hinaus. Wirkevidenz begrenzt auf funktionelle und ernährungsbezogene Outcomes, nicht nur Liegedauer.</w:t>
      </w:r>
    </w:p>
    <w:p>
      <w:r>
        <w:rPr>
          <w:b/>
          <w:sz w:val="19"/>
        </w:rPr>
        <w:t xml:space="preserve">Übertragbarkeit: </w:t>
      </w:r>
      <w:r>
        <w:rPr>
          <w:sz w:val="19"/>
        </w:rPr>
        <w:t>Deutschland: Geriatrisches Assessments- und Ernährungskonzept ist in deutschen Kliniken strukturell etablierbar.</w:t>
      </w:r>
    </w:p>
    <w:p>
      <w:r>
        <w:rPr>
          <w:color w:val="5A7D3A"/>
          <w:sz w:val="18"/>
        </w:rPr>
        <w:t>https://pubmed.ncbi.nlm.nih.gov/42824555/</w:t>
      </w:r>
    </w:p>
    <w:p>
      <w:pPr>
        <w:pStyle w:val="Heading2"/>
      </w:pPr>
      <w:r>
        <w:t>Hitzebelastung verschlechtert funktionale Kapazität bei älteren Erwachsenen in China</w:t>
      </w:r>
    </w:p>
    <w:p>
      <w:r>
        <w:rPr>
          <w:i/>
          <w:color w:val="666666"/>
          <w:sz w:val="18"/>
        </w:rPr>
        <w:t>Huang L et al.  ·  BMC Public Health  ·  26.09.2026  ·  PMID 42823677</w:t>
      </w:r>
    </w:p>
    <w:p>
      <w:r>
        <w:t>Longitudinale Studie an 1.393 Chinesen (45–80 Jahre) über drei Wellen (2011–2015) zur Assoziation von Hitzewellentagen mit Trajektorien der intrinsischen Kapazität (WHO-Indikator für gesundes Altern).</w:t>
      </w:r>
    </w:p>
    <w:p>
      <w:r>
        <w:rPr>
          <w:b/>
        </w:rPr>
        <w:t xml:space="preserve">Ergebnis: </w:t>
      </w:r>
      <w:r>
        <w:t>Jeder zusätzliche Hitzewellentag erhöhte das Risiko der Low-declining-Trajektorie um 3,5 % (adjustierte RRR = 1,035; 95 % KI: 1,012–1,058; p = 0,003). Effekt war ausgeprägter bei geringerer Schulbildung (RRR = 1,07) und in ländlichen Regionen (RRR = 1,05). Kältespells zeigten keinen signifikanten Effekt. Klimawandel gefährdet funktionale Gesundheit sozioökonomisch benachteiligter älterer Menschen.</w:t>
      </w:r>
    </w:p>
    <w:p>
      <w:r>
        <w:rPr>
          <w:b/>
          <w:sz w:val="19"/>
        </w:rPr>
        <w:t xml:space="preserve">Übertragbarkeit: </w:t>
      </w:r>
      <w:r>
        <w:rPr>
          <w:sz w:val="19"/>
        </w:rPr>
        <w:t>China, aber Funktionsfähigkeit als universales Konzept; Effektmodifikation durch Bildung und Wohnort relevant für alle Länder.</w:t>
      </w:r>
    </w:p>
    <w:p>
      <w:r>
        <w:rPr>
          <w:color w:val="5A7D3A"/>
          <w:sz w:val="18"/>
        </w:rPr>
        <w:t>https://pubmed.ncbi.nlm.nih.gov/42823677/</w:t>
      </w:r>
    </w:p>
    <w:p>
      <w:pPr>
        <w:pStyle w:val="Heading2"/>
      </w:pPr>
      <w:r>
        <w:t>Institutionelle Fragmentierung verstärkt Ungleichheit in der Langzeitpflege im asiatisch-pazifischen Raum</w:t>
      </w:r>
    </w:p>
    <w:p>
      <w:r>
        <w:rPr>
          <w:i/>
          <w:color w:val="666666"/>
          <w:sz w:val="18"/>
        </w:rPr>
        <w:t>Bhula-Or R et al.  ·  Australas J Ageing  ·  Dez. 2026  ·  PMID 42820354</w:t>
      </w:r>
    </w:p>
    <w:p>
      <w:r>
        <w:t>Qualitative Partizipative-Beobachtungs-Studie mit reflexiver Thematic Analysis über 107 Stakeholder (Policy, Wissenschaft, Zivilgesellschaft, Anbieter) aus ASEAN-Plus-Three während regionaler Politikdialogs 2025.</w:t>
      </w:r>
    </w:p>
    <w:p>
      <w:r>
        <w:rPr>
          <w:b/>
        </w:rPr>
        <w:t xml:space="preserve">Ergebnis: </w:t>
      </w:r>
      <w:r>
        <w:t>Drei zentrale Befunde: (1) institutionelle Fragmentierung wandelt frühere Benachteiligung in ungleiche Zugänge um; (2) Gemeinschaften fangen Lücken in formaler Pflege auf, verschieben aber nicht öffentliche Verantwortung; (3) Equity hängt von Neuverteilung von Mitsprache und sektorenübergreifender Koordination ab. Kosten fallen disproportional auf Frauen, ländliche und niedrigeinkommens-Ältere. Autorenvorschlag: nationale Koordinierungshubs als Lösungsarchitektur.</w:t>
      </w:r>
    </w:p>
    <w:p>
      <w:r>
        <w:rPr>
          <w:b/>
          <w:sz w:val="19"/>
        </w:rPr>
        <w:t xml:space="preserve">Übertragbarkeit: </w:t>
      </w:r>
      <w:r>
        <w:rPr>
          <w:sz w:val="19"/>
        </w:rPr>
        <w:t>ASEAN-Region: Transferierbar für vergleichbare föderalistische/föderative Systeme; Koordinierungslücke relevant auch für Deutschland.</w:t>
      </w:r>
    </w:p>
    <w:p>
      <w:r>
        <w:rPr>
          <w:color w:val="5A7D3A"/>
          <w:sz w:val="18"/>
        </w:rPr>
        <w:t>https://pubmed.ncbi.nlm.nih.gov/42820354/</w:t>
      </w:r>
    </w:p>
    <w:p>
      <w:pPr>
        <w:pStyle w:val="Heading2"/>
      </w:pPr>
      <w:r>
        <w:t>Zervikale Atrophie übersteigt Alterseffekt bei Multiple Sklerose – besonders in 50ern und 60ern</w:t>
      </w:r>
    </w:p>
    <w:p>
      <w:r>
        <w:rPr>
          <w:i/>
          <w:color w:val="666666"/>
          <w:sz w:val="18"/>
        </w:rPr>
        <w:t>Jain K et al.  ·  Neurology  ·  27.10.2026  ·  PMID 42814910</w:t>
      </w:r>
    </w:p>
    <w:p>
      <w:r>
        <w:t>Cross-sectional Multizenterstudie (3 italienische Zentren) mit 480 gesunden Kontrollen und 1.295 MS-Patienten (18–70 Jahre): Untersuchung, ob MS eine krankheitsspezifische Reduktion der mittleren oberen zervikalen Rückenmarksarea (MUCCA) über Altern hinaus bewirkt, und ob diese durch Geschlecht und Erkrankungsbeginn moduliert wird.</w:t>
      </w:r>
    </w:p>
    <w:p>
      <w:r>
        <w:rPr>
          <w:b/>
        </w:rPr>
        <w:t xml:space="preserve">Ergebnis: </w:t>
      </w:r>
      <w:r>
        <w:t>Bei Kontrollen: MUCCA stieg bis späte 30er Jahre (p ≤ 0,033), sank nach 50 Jahren (p ≤ 0,008). MS-Patienten zeigten Z-Scores &lt; 0 ab 30 Jahren (p ≤ 0,039), besonders in 50ern und 60ern. Markanter früh-erwachsener Decline bis späte 40er, danach Abschwächung. Geschlechtsunterschiede nicht signifikant. Höhere Atrophie korreliert mit stärkerer Behinderung (ρ = 0,196–0,392, alle p &lt; 0,001). Rückenmarksatrophie ist sensitiver MS-Biomarker für Neurodegeneration jenseits reinen Alterns.</w:t>
      </w:r>
    </w:p>
    <w:p>
      <w:r>
        <w:rPr>
          <w:b/>
          <w:sz w:val="19"/>
        </w:rPr>
        <w:t xml:space="preserve">Übertragbarkeit: </w:t>
      </w:r>
      <w:r>
        <w:rPr>
          <w:sz w:val="19"/>
        </w:rPr>
        <w:t>Italien, Deutschland: Neuroimaging-Daten aus europäischen Zentren mit vergleichbarer MS-Diagnostik; Transfer auf deutsche MS-Kohorten möglich.</w:t>
      </w:r>
    </w:p>
    <w:p>
      <w:r>
        <w:rPr>
          <w:color w:val="5A7D3A"/>
          <w:sz w:val="18"/>
        </w:rPr>
        <w:t>https://pubmed.ncbi.nlm.nih.gov/42814910/</w:t>
      </w:r>
    </w:p>
    <w:p>
      <w:pPr>
        <w:pStyle w:val="Heading2"/>
      </w:pPr>
      <w:r>
        <w:t>Kombinierte Bewegungs- und Ernährungsinterventionen beugen Frailty vor</w:t>
      </w:r>
    </w:p>
    <w:p>
      <w:r>
        <w:rPr>
          <w:i/>
          <w:color w:val="666666"/>
          <w:sz w:val="18"/>
        </w:rPr>
        <w:t>Aydin N et al.  ·  Orthop Nurs  ·  22.09.2026  ·  PMID 42809602</w:t>
      </w:r>
    </w:p>
    <w:p>
      <w:r>
        <w:t>Systematischer Review und Metaanalyse von 16 randomisierten Studien zu Frailty-Prävention bei Erwachsenen ab 65 Jahren.</w:t>
      </w:r>
    </w:p>
    <w:p>
      <w:r>
        <w:rPr>
          <w:b/>
        </w:rPr>
        <w:t xml:space="preserve">Ergebnis: </w:t>
      </w:r>
      <w:r>
        <w:t>Gesamteffektgröße: Hedges' g = –0,799 (95 % KI: –1,420 bis 0,179); Heterogenität hoch (I² = 97,32 %). Kombinierte Interventionen (Bewegung + Ernährung + integrierte Versorgung) zeigten größeren Effekt (g = 2,843; 95 % KI: 0,376–6,062) als einzelne Ansätze. Subgruppenunterschiede nicht signifikant (p = 0,080). Dauer und Frequenz von Bewegung sowie nutrizionale Unterstützung entscheidend.</w:t>
      </w:r>
    </w:p>
    <w:p>
      <w:r>
        <w:rPr>
          <w:b/>
          <w:sz w:val="19"/>
        </w:rPr>
        <w:t xml:space="preserve">Übertragbarkeit: </w:t>
      </w:r>
      <w:r>
        <w:rPr>
          <w:sz w:val="19"/>
        </w:rPr>
        <w:t>Deutschland: Multimodale Prävention ist Standard; Metaanalyse belegt Notwendigkeit kombinierter Ansätze.</w:t>
      </w:r>
    </w:p>
    <w:p>
      <w:r>
        <w:rPr>
          <w:color w:val="5A7D3A"/>
          <w:sz w:val="18"/>
        </w:rPr>
        <w:t>https://pubmed.ncbi.nlm.nih.gov/42809602/</w:t>
      </w:r>
    </w:p>
    <w:p>
      <w:pPr>
        <w:pStyle w:val="Heading2"/>
      </w:pPr>
      <w:r>
        <w:t>Enactment-Kodierung verbessert prospektives Gedächtnis über alle Altersgruppen</w:t>
      </w:r>
    </w:p>
    <w:p>
      <w:r>
        <w:rPr>
          <w:i/>
          <w:color w:val="666666"/>
          <w:sz w:val="18"/>
        </w:rPr>
        <w:t>Stelz S et al.  ·  Memory  ·  21.08.2026  ·  PMID 42627881</w:t>
      </w:r>
    </w:p>
    <w:p>
      <w:r>
        <w:t>Randomisierte Studie an 373 Personen (Kinder bis Mittelalter) mit drei Kodierungsbedingungen (episodic future thinking, enactment encoding, Standard) und computerisierter prospektiver Gedächtnisaufgabe.</w:t>
      </w:r>
    </w:p>
    <w:p>
      <w:r>
        <w:rPr>
          <w:b/>
        </w:rPr>
        <w:t xml:space="preserve">Ergebnis: </w:t>
      </w:r>
      <w:r>
        <w:t>Enactment encoding führte zu signifikant besserer Leistung als episodic future thinking und Standard (Haupteffekt p &lt; 0,05). Vorteil war unabhängig von Altersgruppe – kein Alters-mal-Bedingung-Effekt (Erwartung widerlegt). Immediate Memory und Attention waren beste RBANS-Prädiktoren für alltägliche Funktionalität.</w:t>
      </w:r>
    </w:p>
    <w:p>
      <w:r>
        <w:rPr>
          <w:b/>
          <w:sz w:val="19"/>
        </w:rPr>
        <w:t xml:space="preserve">Übertragbarkeit: </w:t>
      </w:r>
      <w:r>
        <w:rPr>
          <w:sz w:val="19"/>
        </w:rPr>
        <w:t>Deutschland: Universelle Kodierungsmethode, unabhängig von kognitiven Ressourcen im Alter anwendbar.</w:t>
      </w:r>
    </w:p>
    <w:p>
      <w:r>
        <w:rPr>
          <w:color w:val="5A7D3A"/>
          <w:sz w:val="18"/>
        </w:rPr>
        <w:t>https://pubmed.ncbi.nlm.nih.gov/42627881/</w:t>
      </w:r>
    </w:p>
    <w:p>
      <w:pPr>
        <w:pStyle w:val="Heading1"/>
      </w:pPr>
      <w:r>
        <w:t>Aufgenommen am 03.10.2026</w:t>
      </w:r>
    </w:p>
    <w:p>
      <w:pPr>
        <w:pStyle w:val="Heading2"/>
      </w:pPr>
      <w:r>
        <w:t>Multimorbiditäts-Effekte auf erhaltene Funktionsfähigkeit: Heterogenität nach Krankheitstyp und sozioökonomischem Status</w:t>
      </w:r>
    </w:p>
    <w:p>
      <w:r>
        <w:rPr>
          <w:i/>
          <w:color w:val="666666"/>
          <w:sz w:val="18"/>
        </w:rPr>
        <w:t>Zeng Z et al.  ·  Medicine (Baltimore)  ·  02.10.2026  ·  PMID 42826326</w:t>
      </w:r>
    </w:p>
    <w:p>
      <w:r>
        <w:t>Querschnittsstudie mit wiederholten Beobachtungen aus China (2011, 2015, 2018) zu Assoziationen zwischen Multimorbiditäten und Intrinsic Capacity (selbstständiges Leben) mit Subgruppenanalysen nach Erkrankungstyp, Region und Einkommen.</w:t>
      </w:r>
    </w:p>
    <w:p>
      <w:r>
        <w:rPr>
          <w:b/>
        </w:rPr>
        <w:t xml:space="preserve">Ergebnis: </w:t>
      </w:r>
      <w:r>
        <w:t>Multimorbiditäten waren signifikant mit niedriger Intrinsic Capacity assoziiert (β=−0,076, p&lt;0,01). Neurodegenerative Erkrankungen zeigten die stärkste negative Assoziation (β=−0,587), gefolgt von kardiovaskulären Erkrankungen (β=−0,135). Negative Assoziationen waren stärker in ländlichen Gebieten, westlichen Regionen und bei niedrigerem Einkommen/Bildung.</w:t>
      </w:r>
    </w:p>
    <w:p>
      <w:r>
        <w:rPr>
          <w:b/>
          <w:sz w:val="19"/>
        </w:rPr>
        <w:t xml:space="preserve">Übertragbarkeit: </w:t>
      </w:r>
      <w:r>
        <w:rPr>
          <w:sz w:val="19"/>
        </w:rPr>
        <w:t>China, andere Ausgangslage; Befunde zu Multimorbiditäts-Burden in alternder Bevölkerung relevant für globale Perspektive</w:t>
      </w:r>
    </w:p>
    <w:p>
      <w:r>
        <w:rPr>
          <w:color w:val="5A7D3A"/>
          <w:sz w:val="18"/>
        </w:rPr>
        <w:t>https://pubmed.ncbi.nlm.nih.gov/42826326/</w:t>
      </w:r>
    </w:p>
    <w:p>
      <w:pPr>
        <w:pStyle w:val="Heading2"/>
      </w:pPr>
      <w:r>
        <w:t>Kompetenzdefizite von Pflegefachpersonen bei Frailty-Management: Praxis schwächer als Wissen</w:t>
      </w:r>
    </w:p>
    <w:p>
      <w:r>
        <w:rPr>
          <w:i/>
          <w:color w:val="666666"/>
          <w:sz w:val="18"/>
        </w:rPr>
        <w:t>Lyu J et al.  ·  Front Public Health  ·  17.09.2026  ·  PMID 42824785</w:t>
      </w:r>
    </w:p>
    <w:p>
      <w:r>
        <w:t>Querschnittsbefragung von 610 Pflegefachpersonen an 41 Krankenhäusern in China zu Wissen, Einstellungen und praktischen Fertigkeiten (KAP) zur Frailty-Versorgung und deren Determinanten.</w:t>
      </w:r>
    </w:p>
    <w:p>
      <w:r>
        <w:rPr>
          <w:b/>
        </w:rPr>
        <w:t xml:space="preserve">Ergebnis: </w:t>
      </w:r>
      <w:r>
        <w:t>Mittleres KAP-Score 103,07±12,65 (81,16% des Maximums): Einstellung 88,53%, Wissen 81,38%, Praxis 74,40%. Recente Frailty-Schulung war unabhängig mit besserem Gesamt-KAP assoziiert (β=−6,820 für nicht trainiert versus innerhalb eines Monats trainiert, p=0,036). Geriatrische Fachzertifizierung war nur mit Wissen assoziiert, nicht mit Gesamtleistung oder Praxis.</w:t>
      </w:r>
    </w:p>
    <w:p>
      <w:r>
        <w:rPr>
          <w:b/>
          <w:sz w:val="19"/>
        </w:rPr>
        <w:t xml:space="preserve">Übertragbarkeit: </w:t>
      </w:r>
      <w:r>
        <w:rPr>
          <w:sz w:val="19"/>
        </w:rPr>
        <w:t>China, andere Gesundheitssystem-Struktur; Erkenntnis zur Schulungsrelevanz bei Fachpersonal übertragbar</w:t>
      </w:r>
    </w:p>
    <w:p>
      <w:r>
        <w:rPr>
          <w:color w:val="5A7D3A"/>
          <w:sz w:val="18"/>
        </w:rPr>
        <w:t>https://pubmed.ncbi.nlm.nih.gov/42824785/</w:t>
      </w:r>
    </w:p>
    <w:p>
      <w:pPr>
        <w:pStyle w:val="Heading2"/>
      </w:pPr>
      <w:r>
        <w:t>Geografische Disparitäten beim direkten Zugang zu akutgeriatrischer Versorgung</w:t>
      </w:r>
    </w:p>
    <w:p>
      <w:r>
        <w:rPr>
          <w:i/>
          <w:color w:val="666666"/>
          <w:sz w:val="18"/>
        </w:rPr>
        <w:t>Varg S et al.  ·  BMC Geriatr  ·  02.10.2026  ·  PMID 42823763</w:t>
      </w:r>
    </w:p>
    <w:p>
      <w:r>
        <w:t>Observationsstudie in Stockholm zu Variation der Rettungswagen-Einweisungen von über 65-Jährigen direkt in Geriatrische Stationen versus Notaufnahmen und zugrunde liegenden Unterschieden zwischen Versorgungsgebieten.</w:t>
      </w:r>
    </w:p>
    <w:p>
      <w:r>
        <w:rPr>
          <w:b/>
        </w:rPr>
        <w:t xml:space="preserve">Ergebnis: </w:t>
      </w:r>
      <w:r>
        <w:t>Von 8.208 Patienten wurden 603 (7%) direkt in eine Geriatrische Station aufgenommen; Quoten variierten zwischen 4% und 21% je Krankenhaus-Versorgungsgebiet. Nach Adjustierung für Angebotsfaktoren erklärten Nähe zur geriatrischen Einheit (26% Varianzreduktion), Trägerschaft (27%) und Bettenzahl (38%) einen Teil der Variation; erhebliche Residualvariation blieb bestehen (MOR=1,54), was auf unmessbare Faktoren hindeutet.</w:t>
      </w:r>
    </w:p>
    <w:p>
      <w:r>
        <w:rPr>
          <w:b/>
          <w:sz w:val="19"/>
        </w:rPr>
        <w:t xml:space="preserve">Übertragbarkeit: </w:t>
      </w:r>
      <w:r>
        <w:rPr>
          <w:sz w:val="19"/>
        </w:rPr>
        <w:t>Schwedische Klinikdaten, Notfallsystem mit weniger fragmentierter Versorgungslandschaft als Deutschland</w:t>
      </w:r>
    </w:p>
    <w:p>
      <w:r>
        <w:rPr>
          <w:color w:val="5A7D3A"/>
          <w:sz w:val="18"/>
        </w:rPr>
        <w:t>https://pubmed.ncbi.nlm.nih.gov/42823763/</w:t>
      </w:r>
    </w:p>
    <w:p>
      <w:pPr>
        <w:pStyle w:val="Heading2"/>
      </w:pPr>
      <w:r>
        <w:t>Frailty-Komponenten und Funktionsfähigkeit: Unterschiede zwischen baltischen und nordischen Ländern</w:t>
      </w:r>
    </w:p>
    <w:p>
      <w:r>
        <w:rPr>
          <w:i/>
          <w:color w:val="666666"/>
          <w:sz w:val="18"/>
        </w:rPr>
        <w:t>Bukova-Žideļūna A et al.  ·  BMC Geriatr  ·  28.07.2026  ·  PMID 42823669</w:t>
      </w:r>
    </w:p>
    <w:p>
      <w:r>
        <w:t>Längsschnittstudie über zwei Jahre zu Zusammenhängen zwischen Frailty-Status und neuen Einschränkungen bei Aktivitäten des täglichen Lebens (ADL/IADL) in über 65-Jährigen aus baltischen und nordischen Ländern mit SHARE-Daten.</w:t>
      </w:r>
    </w:p>
    <w:p>
      <w:r>
        <w:rPr>
          <w:b/>
        </w:rPr>
        <w:t xml:space="preserve">Ergebnis: </w:t>
      </w:r>
      <w:r>
        <w:t>Über zwei Jahre entwickelten 5,9% neue IADL-Einschränkungen in baltischen und 6,4% in nordischen Ländern; 4,6% bzw. 4,7% neue ADL-Einschränkungen. Pre-Frailty war in beiden Regionen mit neuen IADL-Einschränkungen assoziiert. Erschöpfung war die einzige Frailty-Komponente, die unabhängig in beiden Regionen mit neuen Limitationen verknüpft war. Frailty-Prevalenz war in baltischen Ländern deutlich höher.</w:t>
      </w:r>
    </w:p>
    <w:p>
      <w:r>
        <w:rPr>
          <w:b/>
          <w:sz w:val="19"/>
        </w:rPr>
        <w:t xml:space="preserve">Übertragbarkeit: </w:t>
      </w:r>
      <w:r>
        <w:rPr>
          <w:sz w:val="19"/>
        </w:rPr>
        <w:t>SHARE-Daten aus Europa, vergleichbare Gesundheitssysteme und Datenqualität</w:t>
      </w:r>
    </w:p>
    <w:p>
      <w:r>
        <w:rPr>
          <w:color w:val="5A7D3A"/>
          <w:sz w:val="18"/>
        </w:rPr>
        <w:t>https://pubmed.ncbi.nlm.nih.gov/42823669/</w:t>
      </w:r>
    </w:p>
    <w:p>
      <w:pPr>
        <w:pStyle w:val="Heading2"/>
      </w:pPr>
      <w:r>
        <w:t>Vorhersagefaktoren für erhaltene Robustheit im Alter: 8-Jahres-Kohortenstudie</w:t>
      </w:r>
    </w:p>
    <w:p>
      <w:r>
        <w:rPr>
          <w:i/>
          <w:color w:val="666666"/>
          <w:sz w:val="18"/>
        </w:rPr>
        <w:t>Iktilat K et al.  ·  BMC Geriatr  ·  19.08.2026  ·  PMID 42823660</w:t>
      </w:r>
    </w:p>
    <w:p>
      <w:r>
        <w:t>Multinationalle Langzeitanalyse über acht Jahre zu Baseline-Merkmalen, die das Verbleiben in einem robusten (nicht-frail) Zustand vorhersagen bei älteren Erwachsenen 65–84 Jahren aus 27 SHARE-Ländern.</w:t>
      </w:r>
    </w:p>
    <w:p>
      <w:r>
        <w:rPr>
          <w:b/>
        </w:rPr>
        <w:t xml:space="preserve">Ergebnis: </w:t>
      </w:r>
      <w:r>
        <w:t>Nach acht Jahren verblieben 52% der jüngeren Älteren (65–74 J.) und 26% der älteren Älteren (75–84 J.) robust. Konsistent beste Vorhersagefaktoren waren bessere subjektive Gesundheit (OR ≈0,72, p&lt;0,001), weniger chronische Erkrankungen (OR ≈0,89, p&lt;0,001) und finanzielle Sicherheit (OR ≈1,11, p=0,018). Soziale und kognitive Aktivitäten zeigten in manchen Modellen Assoziationen.</w:t>
      </w:r>
    </w:p>
    <w:p>
      <w:r>
        <w:rPr>
          <w:b/>
          <w:sz w:val="19"/>
        </w:rPr>
        <w:t xml:space="preserve">Übertragbarkeit: </w:t>
      </w:r>
      <w:r>
        <w:rPr>
          <w:sz w:val="19"/>
        </w:rPr>
        <w:t>SHARE-Daten aus Europa, vergleichbare Bevölkerungsstruktur und Sozialsysteme</w:t>
      </w:r>
    </w:p>
    <w:p>
      <w:r>
        <w:rPr>
          <w:color w:val="5A7D3A"/>
          <w:sz w:val="18"/>
        </w:rPr>
        <w:t>https://pubmed.ncbi.nlm.nih.gov/42823660/</w:t>
      </w:r>
    </w:p>
    <w:p>
      <w:pPr>
        <w:pStyle w:val="Heading2"/>
      </w:pPr>
      <w:r>
        <w:t>Frailty als Prädiktor für Krankenhausaufnahme jenseits des Triage-Scores</w:t>
      </w:r>
    </w:p>
    <w:p>
      <w:r>
        <w:rPr>
          <w:i/>
          <w:color w:val="666666"/>
          <w:sz w:val="18"/>
        </w:rPr>
        <w:t>Hata N et al.  ·  Acad Emerg Med  ·  Okt. 2026  ·  PMID 42811477</w:t>
      </w:r>
    </w:p>
    <w:p>
      <w:r>
        <w:t>Retrospektive Kohortenanalyse von Notaufnahme-Patienten ≥65 Jahren in Japan (n=3127 Besuche) zur Assoziation zwischen Clinical Frailty Scale und Hospitalisierung, stratifiziert nach Triage-Kategorien.</w:t>
      </w:r>
    </w:p>
    <w:p>
      <w:r>
        <w:rPr>
          <w:b/>
        </w:rPr>
        <w:t xml:space="preserve">Ergebnis: </w:t>
      </w:r>
      <w:r>
        <w:t>Von 3.127 ED-Besuchen führten 1.526 zur Aufnahme. Adjustierte Odds Ratios für Frailty (CFS≥5) waren 1,00 (95% CI 0,65–1,55) in JTAS 2, 1,54 (1,19–1,99) in JTAS 3 und 2,01 (1,13–3,58) in JTAS 4/5. Globale CFS-by-JTAS-Interaktion war nicht signifikant (p=0,091), deutet aber numerisch auf stärkere Frailty-Effekte bei niedrigerer Triage-Dringlichkeit hin.</w:t>
      </w:r>
    </w:p>
    <w:p>
      <w:r>
        <w:rPr>
          <w:b/>
          <w:sz w:val="19"/>
        </w:rPr>
        <w:t xml:space="preserve">Übertragbarkeit: </w:t>
      </w:r>
      <w:r>
        <w:rPr>
          <w:sz w:val="19"/>
        </w:rPr>
        <w:t>Japan, ähnliches Gesundheitssystem; Befund zu Frailty-Screening in der Notaufnahme strukturübergreifend relevant</w:t>
      </w:r>
    </w:p>
    <w:p>
      <w:r>
        <w:rPr>
          <w:color w:val="5A7D3A"/>
          <w:sz w:val="18"/>
        </w:rPr>
        <w:t>https://pubmed.ncbi.nlm.nih.gov/42811477/</w:t>
      </w:r>
    </w:p>
    <w:p>
      <w:pPr>
        <w:pStyle w:val="Heading1"/>
      </w:pPr>
      <w:r>
        <w:t>Aufgenommen am 02.10.2026</w:t>
      </w:r>
    </w:p>
    <w:p>
      <w:pPr>
        <w:pStyle w:val="Heading2"/>
      </w:pPr>
      <w:r>
        <w:t>Körperliche Aktivität senkt Risiko für intrinsische Kapazitätsverluste bei hospitalisierten Älteren</w:t>
      </w:r>
    </w:p>
    <w:p>
      <w:r>
        <w:rPr>
          <w:i/>
          <w:color w:val="666666"/>
          <w:sz w:val="18"/>
        </w:rPr>
        <w:t>Fan W et al.  ·  Australas J Ageing  ·  Dez. 2026  ·  PMID 42820336</w:t>
      </w:r>
    </w:p>
    <w:p>
      <w:r>
        <w:t>Querschnittsstudie mit 534 hospitalisierten älteren Patienten (China) zur Dosis-Wirkungs-Beziehung zwischen körperlicher Aktivität und Verfall der intrinsischen Kapazität.</w:t>
      </w:r>
    </w:p>
    <w:p>
      <w:r>
        <w:rPr>
          <w:b/>
        </w:rPr>
        <w:t xml:space="preserve">Ergebnis: </w:t>
      </w:r>
      <w:r>
        <w:t>Moderate körperliche Aktivität reduzierte Risiko für Kapazitätsverlust um 66% (OR=0,34, 95%-KI 0,23–0,50), hohe Aktivität um 74% (OR=0,26, KI 0,14–0,49). J-förmige nichtlineare Assoziation nachgewiesen. Subgruppenanalysen deuteten auf Geschlecht als potenziellen Moderator hin.</w:t>
      </w:r>
    </w:p>
    <w:p>
      <w:r>
        <w:rPr>
          <w:b/>
          <w:sz w:val="19"/>
        </w:rPr>
        <w:t xml:space="preserve">Übertragbarkeit: </w:t>
      </w:r>
      <w:r>
        <w:rPr>
          <w:sz w:val="19"/>
        </w:rPr>
        <w:t>China, Daten aus Akutkliniken; intrinsische Kapazität international anerkanntes Konzept</w:t>
      </w:r>
    </w:p>
    <w:p>
      <w:r>
        <w:rPr>
          <w:color w:val="5A7D3A"/>
          <w:sz w:val="18"/>
        </w:rPr>
        <w:t>https://pubmed.ncbi.nlm.nih.gov/42820336/</w:t>
      </w:r>
    </w:p>
    <w:p>
      <w:pPr>
        <w:pStyle w:val="Heading2"/>
      </w:pPr>
      <w:r>
        <w:t>Intrinsische Kapazität und Frailty Index prognostizieren Behinderung und Mortalität</w:t>
      </w:r>
    </w:p>
    <w:p>
      <w:r>
        <w:rPr>
          <w:i/>
          <w:color w:val="666666"/>
          <w:sz w:val="18"/>
        </w:rPr>
        <w:t>Feng B et al.  ·  Front Public Health  ·  16.09.2026  ·  PMID 42818694</w:t>
      </w:r>
    </w:p>
    <w:p>
      <w:r>
        <w:t>Prospektive Kohorte mit 7.168 Erwachsenen ≥60 Jahren (China) zur Vorhersagekraft von intrinsischer Kapazität und Frailty-Index für neue Behinderung und Gesamtsterblichkeit.</w:t>
      </w:r>
    </w:p>
    <w:p>
      <w:r>
        <w:rPr>
          <w:b/>
        </w:rPr>
        <w:t xml:space="preserve">Ergebnis: </w:t>
      </w:r>
      <w:r>
        <w:t>Höhere intrinsische Kapazität: niedrigere Behinderungsodds (OR=0,79 pro Punkt, 95%-KI 0,74–0,84) und reduziertes Mortalitätsrisiko (HR=0,84, KI 0,82–0,85). Höherer Frailty-Index: höhere Behinderungsodds (OR=1,93 pro 0,1-Punkte-Steigerung, KI 1,67–2,23). Kombiniert niedrige IC + hoher FI: größtes Behinderungsrisiko (OR=4,31, KI 2,65–7,04) und Mortalitätsrisiko (HR=2,66, KI 2,32–3,04).</w:t>
      </w:r>
    </w:p>
    <w:p>
      <w:r>
        <w:rPr>
          <w:b/>
          <w:sz w:val="19"/>
        </w:rPr>
        <w:t xml:space="preserve">Übertragbarkeit: </w:t>
      </w:r>
      <w:r>
        <w:rPr>
          <w:sz w:val="19"/>
        </w:rPr>
        <w:t>China; beide Konzepte international etabliert, IC und Frailty-Metriken WHO-anerkannt</w:t>
      </w:r>
    </w:p>
    <w:p>
      <w:r>
        <w:rPr>
          <w:color w:val="5A7D3A"/>
          <w:sz w:val="18"/>
        </w:rPr>
        <w:t>https://pubmed.ncbi.nlm.nih.gov/42818694/</w:t>
      </w:r>
    </w:p>
    <w:p>
      <w:pPr>
        <w:pStyle w:val="Heading2"/>
      </w:pPr>
      <w:r>
        <w:t>Gesundheitskompetenz fördert aktives und erfolgreiches Altern</w:t>
      </w:r>
    </w:p>
    <w:p>
      <w:r>
        <w:rPr>
          <w:i/>
          <w:color w:val="666666"/>
          <w:sz w:val="18"/>
        </w:rPr>
        <w:t>Akdeniz Ş et al.  ·  BMC Geriatr  ·  29.09.2026  ·  PMID 42816844</w:t>
      </w:r>
    </w:p>
    <w:p>
      <w:r>
        <w:t>Querschnittsstudie an 306 älteren Erwachsenen (Ø 67,8 Jahre) in der Türkei zu Zusammenhängen zwischen Gesundheitskompetenz, aktivem Altern und erfolgreichem Altern.</w:t>
      </w:r>
    </w:p>
    <w:p>
      <w:r>
        <w:rPr>
          <w:b/>
        </w:rPr>
        <w:t xml:space="preserve">Ergebnis: </w:t>
      </w:r>
      <w:r>
        <w:t>Höhere Gesundheitskompetenz war signifikant mit besserem aktivem Altern assoziiert (p&lt;0,01) und erklärte 56,4% der Varianz des Active-Ageing-Scores (R²=0,564). Regelmäßige mentale Aktivität und Gesundheitskompetenz waren unabhängige Prädiktoren; Bildung und regelmäßiges Training waren im Gesamtmodell nicht signifikant. Zentrale Erkenntnis: Gesundheitskompetenz ist Schlüsselfaktor für aktives Altern.</w:t>
      </w:r>
    </w:p>
    <w:p>
      <w:r>
        <w:rPr>
          <w:b/>
          <w:sz w:val="19"/>
        </w:rPr>
        <w:t xml:space="preserve">Übertragbarkeit: </w:t>
      </w:r>
      <w:r>
        <w:rPr>
          <w:sz w:val="19"/>
        </w:rPr>
        <w:t>Türkei mit vergleichbarer Sozialversicherung, Health-Literacy-Instrumente international validiert</w:t>
      </w:r>
    </w:p>
    <w:p>
      <w:r>
        <w:rPr>
          <w:color w:val="5A7D3A"/>
          <w:sz w:val="18"/>
        </w:rPr>
        <w:t>https://pubmed.ncbi.nlm.nih.gov/42816844/</w:t>
      </w:r>
    </w:p>
    <w:p>
      <w:pPr>
        <w:pStyle w:val="Heading2"/>
      </w:pPr>
      <w:r>
        <w:t>Metabolische Dysregulation vorhersagt Frailty-Entwicklung bei älteren Erwachsenen</w:t>
      </w:r>
    </w:p>
    <w:p>
      <w:r>
        <w:rPr>
          <w:i/>
          <w:color w:val="666666"/>
          <w:sz w:val="18"/>
        </w:rPr>
        <w:t>Wang H et al.  ·  Front Public Health  ·  14.09.2026  ·  PMID 42807462</w:t>
      </w:r>
    </w:p>
    <w:p>
      <w:r>
        <w:t>Prospektive Kohortenstudie (n=2.476, China, 2018–2021) zur zeitlichen Assoziation zwischen TyG-CVAI (Triglycerid-Glukose × viszerales Adipositas-Index) und Frailty-Index.</w:t>
      </w:r>
    </w:p>
    <w:p>
      <w:r>
        <w:rPr>
          <w:b/>
        </w:rPr>
        <w:t xml:space="preserve">Ergebnis: </w:t>
      </w:r>
      <w:r>
        <w:t>Baseline TyG-CVAI prägt Follow-up-Frailty signifikant (standardisiert β=0,165, p&lt;0,001), inverse Assoziation deutlich schwächer (β=0,035, p&lt;0,001). Nichtlineares Verhältnis mit Wendepunkt TyG-CVAI≈750. Subgruppen: stärkere Assoziation unter 60 Jahren, bei ethnischen Minderheiten, ohne Hypertonie/Diabetes. TyG-CVAI als Routine-Biomarker für Früh-Screening geeignet.</w:t>
      </w:r>
    </w:p>
    <w:p>
      <w:r>
        <w:rPr>
          <w:b/>
          <w:sz w:val="19"/>
        </w:rPr>
        <w:t xml:space="preserve">Übertragbarkeit: </w:t>
      </w:r>
      <w:r>
        <w:rPr>
          <w:sz w:val="19"/>
        </w:rPr>
        <w:t>China; TyG-Index und viszerales Adipositas-Index aus Routineparametern</w:t>
      </w:r>
    </w:p>
    <w:p>
      <w:r>
        <w:rPr>
          <w:color w:val="5A7D3A"/>
          <w:sz w:val="18"/>
        </w:rPr>
        <w:t>https://pubmed.ncbi.nlm.nih.gov/42807462/</w:t>
      </w:r>
    </w:p>
    <w:p>
      <w:pPr>
        <w:pStyle w:val="Heading2"/>
      </w:pPr>
      <w:r>
        <w:t>Pilocarpin-Tropfen bei Xerostomie in Palliativversorgung: randomisierte Studie</w:t>
      </w:r>
    </w:p>
    <w:p>
      <w:r>
        <w:rPr>
          <w:i/>
          <w:color w:val="666666"/>
          <w:sz w:val="18"/>
        </w:rPr>
        <w:t>van der Meulen A et al.  ·  J Am Med Dir Assoc  ·  25.08.2026  ·  PMID 42641502</w:t>
      </w:r>
    </w:p>
    <w:p>
      <w:r>
        <w:t>Randomisierte, doppelblinde Placebo-kontrollierte Studie (n=92, Niederlande) zu Wirksamkeit von topischem Pilocarpin gegen Mundtrockenheit bei Patienten mit lebensverkürzender Erkrankung und/oder Frailty.</w:t>
      </w:r>
    </w:p>
    <w:p>
      <w:r>
        <w:rPr>
          <w:b/>
        </w:rPr>
        <w:t xml:space="preserve">Ergebnis: </w:t>
      </w:r>
      <w:r>
        <w:t>Kein signifikanter Unterschied zwischen Pilocarpin und Placebo in Xerostomie-Schweregrad Woche 2 oder 4 (adjustiertes β=–0,37, KI –1,31 bis 0,58 Woche 4). Nur Pilocarpin zeigte kontinuierliche Reduktion Woche 2–4 (–0,86, KI –1,56 bis –0,15). Mundgesundheits-Lebensqualität verbesserte sich unter Pilocarpin Woche 2 (β=2,8, KI 0,91–4,65). Studie unterversorgt; Verträglichkeit gut.</w:t>
      </w:r>
    </w:p>
    <w:p>
      <w:r>
        <w:rPr>
          <w:b/>
          <w:sz w:val="19"/>
        </w:rPr>
        <w:t xml:space="preserve">Übertragbarkeit: </w:t>
      </w:r>
      <w:r>
        <w:rPr>
          <w:sz w:val="19"/>
        </w:rPr>
        <w:t>Niederlande, vergleichbares Versicherungssystem; Palliativversorgung älterer Patienten</w:t>
      </w:r>
    </w:p>
    <w:p>
      <w:r>
        <w:rPr>
          <w:color w:val="5A7D3A"/>
          <w:sz w:val="18"/>
        </w:rPr>
        <w:t>https://pubmed.ncbi.nlm.nih.gov/42641502/</w:t>
      </w:r>
    </w:p>
    <w:p>
      <w:pPr>
        <w:pStyle w:val="Heading1"/>
      </w:pPr>
      <w:r>
        <w:t>Aufgenommen am 01.10.2026</w:t>
      </w:r>
    </w:p>
    <w:p>
      <w:pPr>
        <w:pStyle w:val="Heading2"/>
      </w:pPr>
      <w:r>
        <w:t>Hochintensives Gehen baut Gebrechlichkeit bei älteren Menschen besser ab als lockeres Spaziergang</w:t>
      </w:r>
    </w:p>
    <w:p>
      <w:r>
        <w:rPr>
          <w:i/>
          <w:color w:val="666666"/>
          <w:sz w:val="18"/>
        </w:rPr>
        <w:t>Danilovich M et al.  ·  PLoS One  ·  30.09.2026  ·  PMID 42814673</w:t>
      </w:r>
    </w:p>
    <w:p>
      <w:r>
        <w:t>Randomisierte kontrollierte Studie an 165 gebrechlichen oder vorgebrechlichen älteren Menschen (Alter ≥60 Jahre), die entweder hochintensives Gehen (70% Herzfrequenzmaximum) oder lockeres Gehen (unter 60%) über 16 Wochen trainierten.</w:t>
      </w:r>
    </w:p>
    <w:p>
      <w:r>
        <w:rPr>
          <w:b/>
        </w:rPr>
        <w:t xml:space="preserve">Ergebnis: </w:t>
      </w:r>
      <w:r>
        <w:t>69,6% der hochintensiv trainierenden Teilnehmer (32/46) verbesserten ihre Gebrechlichkeit um mind. eine Kategorie gegenüber 46,4% der Kontrollgruppe (26/56) – Odds Ratio 2,91 (95% KI 1,19–7,13, p=0,02). Hochintensives Training erhöhte Gehgeschwindigkeit um 0,08 m/s (95% KI 0,03–0,13) und 6-Minuten-Gehstrecke um 49 m (95% KI 21–77 m).</w:t>
      </w:r>
    </w:p>
    <w:p>
      <w:r>
        <w:rPr>
          <w:b/>
          <w:sz w:val="19"/>
        </w:rPr>
        <w:t xml:space="preserve">Übertragbarkeit: </w:t>
      </w:r>
      <w:r>
        <w:rPr>
          <w:sz w:val="19"/>
        </w:rPr>
        <w:t>USA; Interventionsergebnis unabhängig von Gesundheitssystem übertragbar</w:t>
      </w:r>
    </w:p>
    <w:p>
      <w:r>
        <w:rPr>
          <w:color w:val="5A7D3A"/>
          <w:sz w:val="18"/>
        </w:rPr>
        <w:t>https://pubmed.ncbi.nlm.nih.gov/42814673/</w:t>
      </w:r>
    </w:p>
    <w:p>
      <w:pPr>
        <w:pStyle w:val="Heading2"/>
      </w:pPr>
      <w:r>
        <w:t>Chemokine CCL2 und CXCL2 als Marker für Delirium-Anfälligkeit bei älteren Menschen</w:t>
      </w:r>
    </w:p>
    <w:p>
      <w:r>
        <w:rPr>
          <w:i/>
          <w:color w:val="666666"/>
          <w:sz w:val="18"/>
        </w:rPr>
        <w:t>Moorey H et al.  ·  Age Ageing  ·  04.09.2026  ·  PMID 42814578</w:t>
      </w:r>
    </w:p>
    <w:p>
      <w:r>
        <w:t>Prospektive Kohortenstudie an 98 Bewohnern der Allgemeinbevölkerung (Median-Alter 88 Jahre, 90,8% gebrechlich) aus der CASCADE-Studie mit 2-Jahres-Verfolgung zur Deliriumprävention.</w:t>
      </w:r>
    </w:p>
    <w:p>
      <w:r>
        <w:rPr>
          <w:b/>
        </w:rPr>
        <w:t xml:space="preserve">Ergebnis: </w:t>
      </w:r>
      <w:r>
        <w:t>43,9% der Teilnehmer erlebten ≥1 Delirium-Episode. CCL2 und CXCL2 waren zu Baseline bei der Deliriumgruppe signifikant erhöht (CCL2: 13,38 vs. 10,83, p=0,004; CXCL2: 17,23 vs. 13,49, p=0,031). CCL2-Assoziation mit Deliriumrisiko blieb in beiden Demenzunttergruppen stabil; CXCL2 nur bei Teilnehmern ohne Demenz signifikant.</w:t>
      </w:r>
    </w:p>
    <w:p>
      <w:r>
        <w:rPr>
          <w:b/>
          <w:sz w:val="19"/>
        </w:rPr>
        <w:t xml:space="preserve">Übertragbarkeit: </w:t>
      </w:r>
      <w:r>
        <w:rPr>
          <w:sz w:val="19"/>
        </w:rPr>
        <w:t>UK (Birmingham), vergleichbares Gesundheitssystem und Altersstruktur</w:t>
      </w:r>
    </w:p>
    <w:p>
      <w:r>
        <w:rPr>
          <w:color w:val="5A7D3A"/>
          <w:sz w:val="18"/>
        </w:rPr>
        <w:t>https://pubmed.ncbi.nlm.nih.gov/42814578/</w:t>
      </w:r>
    </w:p>
    <w:p>
      <w:pPr>
        <w:pStyle w:val="Heading2"/>
      </w:pPr>
      <w:r>
        <w:t>Anticholinerge Blasenmittel erhöhen Demenzrisiko bei älteren Frauen stärker als Beta-3-Agonisten</w:t>
      </w:r>
    </w:p>
    <w:p>
      <w:r>
        <w:rPr>
          <w:i/>
          <w:color w:val="666666"/>
          <w:sz w:val="18"/>
        </w:rPr>
        <w:t>Ito K et al.  ·  Int J Urol  ·  Okt. 2026  ·  PMID 42814029</w:t>
      </w:r>
    </w:p>
    <w:p>
      <w:r>
        <w:t>Retrospektive Kohortenstudie mit 3794 älteren Frauen (65–84 Jahre) in Japan, die neu mit Anticholinergika oder Beta-3-Agonisten gegen überaktive Blase behandelt wurden, mit mindestens 1 Jahr kontinuierlicher Therapie und 5-Jahre-Verfolgung.</w:t>
      </w:r>
    </w:p>
    <w:p>
      <w:r>
        <w:rPr>
          <w:b/>
        </w:rPr>
        <w:t xml:space="preserve">Ergebnis: </w:t>
      </w:r>
      <w:r>
        <w:t>Kein signifikanter Unterschied in Verschlechterung der Pflegebedürftigkeit (HR 1,03, 95% KI 0,87–1,22). Anticholinergikagruppe zeigte erhöhtes Demenzrisiko (HR 1,49, 95% KI 1,04–2,13). Elektronischer Gebrechlichkeitsindex unterschied sich nicht (p&gt;0,05).</w:t>
      </w:r>
    </w:p>
    <w:p>
      <w:r>
        <w:rPr>
          <w:b/>
          <w:sz w:val="19"/>
        </w:rPr>
        <w:t xml:space="preserve">Übertragbarkeit: </w:t>
      </w:r>
      <w:r>
        <w:rPr>
          <w:sz w:val="19"/>
        </w:rPr>
        <w:t>Japan (Shizuoka-Kasse); vergleichbares Alter und Gesundheitssystem; Ergebnis zur Deprescribing übertragbar</w:t>
      </w:r>
    </w:p>
    <w:p>
      <w:r>
        <w:rPr>
          <w:color w:val="5A7D3A"/>
          <w:sz w:val="18"/>
        </w:rPr>
        <w:t>https://pubmed.ncbi.nlm.nih.gov/42814029/</w:t>
      </w:r>
    </w:p>
    <w:p>
      <w:pPr>
        <w:pStyle w:val="Heading2"/>
      </w:pPr>
      <w:r>
        <w:t>Trauer um Ehepartner verschärft kognitiven Verfall bei älteren Menschen in verschiedenen Ländern</w:t>
      </w:r>
    </w:p>
    <w:p>
      <w:r>
        <w:rPr>
          <w:i/>
          <w:color w:val="666666"/>
          <w:sz w:val="18"/>
        </w:rPr>
        <w:t>Guo C et al.  ·  Epidemiol Psychiatr Sci  ·  30.09.2026  ·  PMID 42813925</w:t>
      </w:r>
    </w:p>
    <w:p>
      <w:r>
        <w:t>Prospektive Metaanalyse aus sechs harmonisierten Alterskohortensurveys (USA, England, Mexiko, China, Indien, Südafrika; n=18.551, Alter 61–71 Jahre) mit neuropsychologischem Assessment zur Auswirkung von Verwitwung auf kognitive Domänen.</w:t>
      </w:r>
    </w:p>
    <w:p>
      <w:r>
        <w:rPr>
          <w:b/>
        </w:rPr>
        <w:t xml:space="preserve">Ergebnis: </w:t>
      </w:r>
      <w:r>
        <w:t>Witwenschaft assoziiert mit Gedächtnisverschlechterung (β=−0,07, 95% KI −0,12 bis −0,01) und exekutiver Dysfunktion (β=−0,08, 95% KI −0,13 bis −0,03) in Metaanalyse. Geschlechtsspezifische Effekte: Männer zeigten größere exekutive Defizite (β=−0,14), Frauen Gedächtnisverluste (β=−0,07). Schutzfaktoren: höhere Schulbildung, Internetnutzung, Body-Mass-Index.</w:t>
      </w:r>
    </w:p>
    <w:p>
      <w:r>
        <w:rPr>
          <w:b/>
          <w:sz w:val="19"/>
        </w:rPr>
        <w:t xml:space="preserve">Übertragbarkeit: </w:t>
      </w:r>
      <w:r>
        <w:rPr>
          <w:sz w:val="19"/>
        </w:rPr>
        <w:t>Multinational aber heterogen; Übertragbarkeit begrenzt durch unterschiedliche Rentensysteme und Unterstützungsstrukturen</w:t>
      </w:r>
    </w:p>
    <w:p>
      <w:r>
        <w:rPr>
          <w:color w:val="5A7D3A"/>
          <w:sz w:val="18"/>
        </w:rPr>
        <w:t>https://pubmed.ncbi.nlm.nih.gov/42813925/</w:t>
      </w:r>
    </w:p>
    <w:p>
      <w:pPr>
        <w:pStyle w:val="Heading2"/>
      </w:pPr>
      <w:r>
        <w:t>Multidisziplinäres Programm reduziert Gebrechlichkeit bei älteren Herzpatienten im Krankenhaus</w:t>
      </w:r>
    </w:p>
    <w:p>
      <w:r>
        <w:rPr>
          <w:i/>
          <w:color w:val="666666"/>
          <w:sz w:val="18"/>
        </w:rPr>
        <w:t>Chai K et al.  ·  Nat Commun  ·  31.08.2026  ·  PMID 42811040</w:t>
      </w:r>
    </w:p>
    <w:p>
      <w:r>
        <w:t>Randomisierte kontrollierte Studie an 333 gebrechlichen Krankenhauspatienten ≥70 Jahren mit kardiovaskulären Erkrankungen in China, die RENAP-Programm (Rehabilitation, Ernährung, Edukation, Akupunktur, Deprescribing) oder Standardbehandlung erhielten mit Verfolgung über 12 Monate.</w:t>
      </w:r>
    </w:p>
    <w:p>
      <w:r>
        <w:rPr>
          <w:b/>
        </w:rPr>
        <w:t xml:space="preserve">Ergebnis: </w:t>
      </w:r>
      <w:r>
        <w:t>RENAP verbesserte Fried-Gebrechlichkeits-Phänotyp stärker (mittlere Differenz −0,79, 95% KI −1,11 bis −0,46, p&lt;0,001) und Short Physical Performance Battery um 2,02 Punkte (95% KI 1,04–2,99, p&lt;0,001). Keine schwerwiegenden unerwünschten Ereignisse berichtet.</w:t>
      </w:r>
    </w:p>
    <w:p>
      <w:r>
        <w:rPr>
          <w:b/>
          <w:sz w:val="19"/>
        </w:rPr>
        <w:t xml:space="preserve">Übertragbarkeit: </w:t>
      </w:r>
      <w:r>
        <w:rPr>
          <w:sz w:val="19"/>
        </w:rPr>
        <w:t>China (Peking); unterschiedliche Versicherungsstruktur; Replikation in europäischen Gesundheitssystemen nötig</w:t>
      </w:r>
    </w:p>
    <w:p>
      <w:r>
        <w:rPr>
          <w:color w:val="5A7D3A"/>
          <w:sz w:val="18"/>
        </w:rPr>
        <w:t>https://pubmed.ncbi.nlm.nih.gov/42811040/</w:t>
      </w:r>
    </w:p>
    <w:p>
      <w:pPr>
        <w:pStyle w:val="Heading2"/>
      </w:pPr>
      <w:r>
        <w:t>Psychische Faktoren und Multimorbiditäten vorhersagen Gebrechlichkeit bei älteren Chilenen über 12 Monate</w:t>
      </w:r>
    </w:p>
    <w:p>
      <w:r>
        <w:rPr>
          <w:i/>
          <w:color w:val="666666"/>
          <w:sz w:val="18"/>
        </w:rPr>
        <w:t>Castillo-Carreño A et al.  ·  Rev Med Chil  ·  Juli 2026  ·  PMID 42809783</w:t>
      </w:r>
    </w:p>
    <w:p>
      <w:r>
        <w:t>Prospektive Kohortenstudie an 394 Personen 60–80 Jahre aus Santiago und Concepción (Chile) mit Baseline und 12-Monats-Follow-up zu Prädiktoren physischer Gebrechlichkeit (FRIED-Skala).</w:t>
      </w:r>
    </w:p>
    <w:p>
      <w:r>
        <w:rPr>
          <w:b/>
        </w:rPr>
        <w:t xml:space="preserve">Ergebnis: </w:t>
      </w:r>
      <w:r>
        <w:t>Baseline-Gebrechlichkeit 22,7%. Signifikante Prädiktoren für Gebrechlichkeitsentstehung: höheres Alter, niedrigere soziale Unterstützung (MSPSS), depressive/Angststörungssymptome, niedrigere kognitive Funktion, Hypertension, Gefäßerkrankung, BMI (p=0,040). Modell erklärte 28% der Varianz.</w:t>
      </w:r>
    </w:p>
    <w:p>
      <w:r>
        <w:rPr>
          <w:b/>
          <w:sz w:val="19"/>
        </w:rPr>
        <w:t xml:space="preserve">Übertragbarkeit: </w:t>
      </w:r>
      <w:r>
        <w:rPr>
          <w:sz w:val="19"/>
        </w:rPr>
        <w:t>Südamerika; Unterschiede in Altersstruktur und Sozialsystem; Konzepte zu psychosozialen Prädiktoren teilweise übertragbar</w:t>
      </w:r>
    </w:p>
    <w:p>
      <w:r>
        <w:rPr>
          <w:color w:val="5A7D3A"/>
          <w:sz w:val="18"/>
        </w:rPr>
        <w:t>https://pubmed.ncbi.nlm.nih.gov/42809783/</w:t>
      </w:r>
    </w:p>
    <w:p>
      <w:pPr>
        <w:pStyle w:val="Heading1"/>
      </w:pPr>
      <w:r>
        <w:t>Aufgenommen am 30.09.2026</w:t>
      </w:r>
    </w:p>
    <w:p>
      <w:pPr>
        <w:pStyle w:val="Heading2"/>
      </w:pPr>
      <w:r>
        <w:t>Adjuvante Chemotherapie bei Brustkrebs ab 70 Jahren verschlechtert Überleben nicht</w:t>
      </w:r>
    </w:p>
    <w:p>
      <w:r>
        <w:rPr>
          <w:i/>
          <w:color w:val="666666"/>
          <w:sz w:val="18"/>
        </w:rPr>
        <w:t>Sifer-Rivière L  ·  Rev Prat  ·  Sept. 2026  ·  PMID 42808620</w:t>
      </w:r>
    </w:p>
    <w:p>
      <w:r>
        <w:t>Fachkommentar zur ASTER-70s-Studie (Lancet 2025), die erstmals gezielt die Wirkung adjuvanter Chemotherapie bei Frauen ab 70 mit Brustkrebs untersucht hat – lange waren diese von Studien ausgeschlossen.</w:t>
      </w:r>
    </w:p>
    <w:p>
      <w:r>
        <w:rPr>
          <w:b/>
        </w:rPr>
        <w:t xml:space="preserve">Ergebnis: </w:t>
      </w:r>
      <w:r>
        <w:t>ASTER 70s zeigte: adjuvante Chemotherapie verbessert Gesamtüberleben nicht bei Frauen ab 70, exponiert aber zu erheblicher Toxizität und potenziellem Autonomieverlust. Dies ist ein entscheidendes Ergebnis: Es belegt, dass es möglich und notwendig ist, Evidenz für lange ausgeschlossene Populationen zu generieren und fordert Umdenken bei Gesundheitsgerechtigkeit in der Onkologie.</w:t>
      </w:r>
    </w:p>
    <w:p>
      <w:r>
        <w:rPr>
          <w:b/>
          <w:sz w:val="19"/>
        </w:rPr>
        <w:t xml:space="preserve">Übertragbarkeit: </w:t>
      </w:r>
      <w:r>
        <w:rPr>
          <w:sz w:val="19"/>
        </w:rPr>
        <w:t>Frankreich, französischsprachig; Evidenz vom UK-Standard, direkt relevant für europäische Praxis</w:t>
      </w:r>
    </w:p>
    <w:p>
      <w:r>
        <w:rPr>
          <w:color w:val="5A7D3A"/>
          <w:sz w:val="18"/>
        </w:rPr>
        <w:t>https://pubmed.ncbi.nlm.nih.gov/42808620/</w:t>
      </w:r>
    </w:p>
    <w:p>
      <w:pPr>
        <w:pStyle w:val="Heading2"/>
      </w:pPr>
      <w:r>
        <w:t>Frailty verstärkt postoperatives kognitives Delir nach Narkose</w:t>
      </w:r>
    </w:p>
    <w:p>
      <w:r>
        <w:rPr>
          <w:i/>
          <w:color w:val="666666"/>
          <w:sz w:val="18"/>
        </w:rPr>
        <w:t>Cho EH et al.  ·  Int J Med Sci  ·  03.09.2026  ·  PMID 42807735</w:t>
      </w:r>
    </w:p>
    <w:p>
      <w:r>
        <w:t>Experimentelle Studie an 18 Monate alten Ratten zum Einfluss von Frailty auf postoperatives kognitives Delir (POCD) nach allgemeiner Anästhesie.</w:t>
      </w:r>
    </w:p>
    <w:p>
      <w:r>
        <w:rPr>
          <w:b/>
        </w:rPr>
        <w:t xml:space="preserve">Ergebnis: </w:t>
      </w:r>
      <w:r>
        <w:t>20 Ratten randomisiert in Kontroll- und Frailty-Gruppe (Immobilisierung). Vor Narkose kein signifikanter Unterschied im Y-Maze-Test; zwei Tage nach Narkose signifikanter Unterschied (Kontrolle 65% ± 37% vs. Frailty 29% ± 28%, p = 0,01). Quadrizeps-Gewicht signifikant niedriger in Frailty-Gruppe (2,4 vs. 2,0 g, p = 0,0001). Frailty war mit POCD assoziiert; Frailty-Prävention könnte POCD-Risiko senken.</w:t>
      </w:r>
    </w:p>
    <w:p>
      <w:r>
        <w:rPr>
          <w:b/>
          <w:sz w:val="19"/>
        </w:rPr>
        <w:t xml:space="preserve">Übertragbarkeit: </w:t>
      </w:r>
      <w:r>
        <w:rPr>
          <w:sz w:val="19"/>
        </w:rPr>
        <w:t>Tiermodell mit Relevanz für älter werdende Perioperative; Befund zu kognitivem Risiko übertragbar</w:t>
      </w:r>
    </w:p>
    <w:p>
      <w:r>
        <w:rPr>
          <w:color w:val="5A7D3A"/>
          <w:sz w:val="18"/>
        </w:rPr>
        <w:t>https://pubmed.ncbi.nlm.nih.gov/42807735/</w:t>
      </w:r>
    </w:p>
    <w:p>
      <w:pPr>
        <w:pStyle w:val="Heading2"/>
      </w:pPr>
      <w:r>
        <w:t>Systemische Krisen in Versorgung zu Hause: Kipppunkte und progressive Instabilität</w:t>
      </w:r>
    </w:p>
    <w:p>
      <w:r>
        <w:rPr>
          <w:i/>
          <w:color w:val="666666"/>
          <w:sz w:val="18"/>
        </w:rPr>
        <w:t>Haselager DRE et al.  ·  Age Ageing  ·  04.09.2026  ·  PMID 42806138</w:t>
      </w:r>
    </w:p>
    <w:p>
      <w:r>
        <w:t>Qualitative Studie mit Interviews und Fokusgruppen zu Krisen bei zu Hause wohnenden älteren Menschen, die untersuchen, wie diese entstehen und welche systemischen Faktoren eine Rolle spielen.</w:t>
      </w:r>
    </w:p>
    <w:p>
      <w:r>
        <w:rPr>
          <w:b/>
        </w:rPr>
        <w:t xml:space="preserve">Ergebnis: </w:t>
      </w:r>
      <w:r>
        <w:t>Analyse von 45 Interviews mit älteren Menschen, Angehörigen und Fachleuten identifizierte zwei Hauptthemen: "Kipppunkte" (Momente, in denen Verbleiben zu Hause unhaltbar wird) und "progressive Instabilität in Versorgungssystemen". Krisen entstehen durch systemische Prozesse, nicht isolierte Ereignisse. Das Verständnis dieser Dynamiken ermöglicht es Fachleuten, frühe Instabilität zu erkennen und Prävention zu unterstützen.</w:t>
      </w:r>
    </w:p>
    <w:p>
      <w:r>
        <w:rPr>
          <w:b/>
          <w:sz w:val="19"/>
        </w:rPr>
        <w:t xml:space="preserve">Übertragbarkeit: </w:t>
      </w:r>
      <w:r>
        <w:rPr>
          <w:sz w:val="19"/>
        </w:rPr>
        <w:t>Niederlande, direkt auf deutsche ambulante Versorgungsrealität übertragbar</w:t>
      </w:r>
    </w:p>
    <w:p>
      <w:r>
        <w:rPr>
          <w:color w:val="5A7D3A"/>
          <w:sz w:val="18"/>
        </w:rPr>
        <w:t>https://pubmed.ncbi.nlm.nih.gov/42806138/</w:t>
      </w:r>
    </w:p>
    <w:p>
      <w:pPr>
        <w:pStyle w:val="Heading2"/>
      </w:pPr>
      <w:r>
        <w:t>Darmflora-Modulation verbessert kognitive Funktion im Alter</w:t>
      </w:r>
    </w:p>
    <w:p>
      <w:r>
        <w:rPr>
          <w:i/>
          <w:color w:val="666666"/>
          <w:sz w:val="18"/>
        </w:rPr>
        <w:t>Birns B et al.  ·  Age Ageing  ·  04.09.2026  ·  PMID 42806137</w:t>
      </w:r>
    </w:p>
    <w:p>
      <w:r>
        <w:t>Systematische Übersicht und Metaanalyse zu Prebiotika, Probiotika und Synbiotika und deren Wirkung auf Kognition bei älteren Erwachsenen ab 60 Jahren.</w:t>
      </w:r>
    </w:p>
    <w:p>
      <w:r>
        <w:rPr>
          <w:b/>
        </w:rPr>
        <w:t xml:space="preserve">Ergebnis: </w:t>
      </w:r>
      <w:r>
        <w:t>14 Studien (13 RCTs, 1 Interventionsstudie) eingeschlossen. Neun Studien berichteten statistisch signifikante Verbesserungen in mindestens einer kognitiven Domäne, besonders globale Kognition, Gedächtnis, Aufmerksamkeit und exekutive Funktionen. Metaanalyse zeigt signifikante Verbesserung globaler Kognition (MD = 1,28; 95% KI: 0,15–2,40; p &lt; 0,05). Interventionen sind meist bereits kommerziell verfügbar und risikoarm.</w:t>
      </w:r>
    </w:p>
    <w:p>
      <w:r>
        <w:rPr>
          <w:b/>
          <w:sz w:val="19"/>
        </w:rPr>
        <w:t xml:space="preserve">Übertragbarkeit: </w:t>
      </w:r>
      <w:r>
        <w:rPr>
          <w:sz w:val="19"/>
        </w:rPr>
        <w:t>Großbritannien, über diverse Länder publiziert; kognitive Tests standardisiert</w:t>
      </w:r>
    </w:p>
    <w:p>
      <w:r>
        <w:rPr>
          <w:color w:val="5A7D3A"/>
          <w:sz w:val="18"/>
        </w:rPr>
        <w:t>https://pubmed.ncbi.nlm.nih.gov/42806137/</w:t>
      </w:r>
    </w:p>
    <w:p>
      <w:pPr>
        <w:pStyle w:val="Heading2"/>
      </w:pPr>
      <w:r>
        <w:t>Vitamin-D-Supplementation reduziert nicht Frakturrisiko bei älteren Erwachsenen</w:t>
      </w:r>
    </w:p>
    <w:p>
      <w:r>
        <w:rPr>
          <w:i/>
          <w:color w:val="666666"/>
          <w:sz w:val="18"/>
        </w:rPr>
        <w:t>Rikkonen T et al.  ·  Bone  ·  07.09.2026  ·  PMID 42704968</w:t>
      </w:r>
    </w:p>
    <w:p>
      <w:r>
        <w:t>Finnische randomisierte kontrollierte Studie mit 2.495 Personen ab 60 Jahren (Männer) bzw. 65 Jahren (Frauen) über 5 Jahre zur Wirkung von Vitamin D₃ auf Frakturrisiko.</w:t>
      </w:r>
    </w:p>
    <w:p>
      <w:r>
        <w:rPr>
          <w:b/>
        </w:rPr>
        <w:t xml:space="preserve">Ergebnis: </w:t>
      </w:r>
      <w:r>
        <w:t>Während mittlerer 4,1-Jahr Supplementation: 49 Frakturen unter Placebo, 73 unter 1600 IE/Tag (HR = 1,52; 95% KI: 1,06–2,18), 52 unter 3200 IE/Tag (HR = 1,07; 95% KI: 0,72–1,58). In 7,3-Jahr Nachbeobachtung: 104 Placebo, 139 unter 1600 IE/Tag (HR = 1,40; 95% KI: 1,08–1,80), 111 unter 3200 IE/Tag (HR = 1,08; 95% KI: 0,83–1,41). Baseline 25(OH)-Vitamin D 74,8 ± 18,2 nmol/L, nach 12 Monaten 120,4 ± 21,8 nmol/L (3200 IE/Tag). Vitamin-D-Supplementation reduzierte Frakturen nicht bei largely vitamin-D-suffizienter Population.</w:t>
      </w:r>
    </w:p>
    <w:p>
      <w:r>
        <w:rPr>
          <w:b/>
          <w:sz w:val="19"/>
        </w:rPr>
        <w:t xml:space="preserve">Übertragbarkeit: </w:t>
      </w:r>
      <w:r>
        <w:rPr>
          <w:sz w:val="19"/>
        </w:rPr>
        <w:t>Finnland, skandinavischer Kontext; vergleichbare Nordische Sozialversicherung</w:t>
      </w:r>
    </w:p>
    <w:p>
      <w:r>
        <w:rPr>
          <w:color w:val="5A7D3A"/>
          <w:sz w:val="18"/>
        </w:rPr>
        <w:t>https://pubmed.ncbi.nlm.nih.gov/42704968/</w:t>
      </w:r>
    </w:p>
    <w:p>
      <w:pPr>
        <w:pStyle w:val="Heading2"/>
      </w:pPr>
      <w:r>
        <w:t>Frailty erhöht Risiko für diagnostische Diskordanz in der Notaufnahme</w:t>
      </w:r>
    </w:p>
    <w:p>
      <w:r>
        <w:rPr>
          <w:i/>
          <w:color w:val="666666"/>
          <w:sz w:val="18"/>
        </w:rPr>
        <w:t>van Knippenberg YMW et al.  ·  Int J Infect Dis  ·  23.07.2026  ·  PMID 42492833</w:t>
      </w:r>
    </w:p>
    <w:p>
      <w:r>
        <w:t>Retrospektive Analyse von Notaufnahmepatienten mit Verdacht auf Infektion, um die unabhängige Assoziation zwischen Frailty und Abweichungen zwischen Verdachtsdiagnose und adjudizierter Entlassungsdiagnose zu untersuchen.</w:t>
      </w:r>
    </w:p>
    <w:p>
      <w:r>
        <w:rPr>
          <w:b/>
        </w:rPr>
        <w:t xml:space="preserve">Ergebnis: </w:t>
      </w:r>
      <w:r>
        <w:t>Frailty war unabhängig mit diagnostischer Diskordanz assoziiert (aOR 1,622; 95% KI: 1,094–2,405; p = 0,016). Höherer altersbereinigter Charlson-Komorbiditätsindex ebenfalls signifikant (aOR 1,105; 95% KI: 1,013–1,204; p = 0,024). Erkennung von Frailty kann Patienten mit erhöhtem Diskordanzrisiko identifizieren und sorgfältige diagnostische Neubewertung unterstützen.</w:t>
      </w:r>
    </w:p>
    <w:p>
      <w:r>
        <w:rPr>
          <w:b/>
          <w:sz w:val="19"/>
        </w:rPr>
        <w:t xml:space="preserve">Übertragbarkeit: </w:t>
      </w:r>
      <w:r>
        <w:rPr>
          <w:sz w:val="19"/>
        </w:rPr>
        <w:t>Niederlande, Radboud UMC, direkt auf deutsches Versorgungssystem übertragbar</w:t>
      </w:r>
    </w:p>
    <w:p>
      <w:r>
        <w:rPr>
          <w:color w:val="5A7D3A"/>
          <w:sz w:val="18"/>
        </w:rPr>
        <w:t>https://pubmed.ncbi.nlm.nih.gov/42492833/</w:t>
      </w:r>
    </w:p>
    <w:p>
      <w:pPr>
        <w:pStyle w:val="Heading1"/>
      </w:pPr>
      <w:r>
        <w:t>Aufgenommen am 29.09.2026</w:t>
      </w:r>
    </w:p>
    <w:p>
      <w:pPr>
        <w:pStyle w:val="Heading2"/>
      </w:pPr>
      <w:r>
        <w:t>Funktionsfähigkeit und Frailty-Screening bei älteren Patienten mit Lungenkrebs: Prädiktion von Pflegeabhängigkeit</w:t>
      </w:r>
    </w:p>
    <w:p>
      <w:r>
        <w:rPr>
          <w:i/>
          <w:color w:val="666666"/>
          <w:sz w:val="18"/>
        </w:rPr>
        <w:t>Bulut H et al.  ·  Cancer Causes Control  ·  28.09.2026  ·  PMID 42802193</w:t>
      </w:r>
    </w:p>
    <w:p>
      <w:r>
        <w:t>Querschnittsstudie an 410 älteren Patienten mit Lungenkrebs (Durchschnittsalter 70,8 Jahre) zur Vorhersage von Pflegeabhängigkeit durch Alltagsfunktionsfähigkeit (ADL) und Frailty.</w:t>
      </w:r>
    </w:p>
    <w:p>
      <w:r>
        <w:rPr>
          <w:b/>
        </w:rPr>
        <w:t xml:space="preserve">Ergebnis: </w:t>
      </w:r>
      <w:r>
        <w:t>Funktionsfähigkeit und Frailty erklärten 81,5% der Varianz in Pflegeabhängigkeit (adjustiertes R² = 0,815; p &lt; 0,001). Höhere ADL-Werte waren mit höherer Pflegeabhängigkeit assoziiert (B = 2,344, β = 0,309, p &lt; 0,001), höhere Frailty-Werte mit niedrigerer Pflegeabhängigkeit (B = −2,391, β = −0,652, p &lt; 0,001). Frailty-Screening und funktionales Assessment können hochrisiko-Patienten früh identifizieren.</w:t>
      </w:r>
    </w:p>
    <w:p>
      <w:r>
        <w:rPr>
          <w:b/>
          <w:sz w:val="19"/>
        </w:rPr>
        <w:t xml:space="preserve">Übertragbarkeit: </w:t>
      </w:r>
      <w:r>
        <w:rPr>
          <w:sz w:val="19"/>
        </w:rPr>
        <w:t>Türkei, ähnliche geriatrische Versorgungsherausforderungen wie Deutschland</w:t>
      </w:r>
    </w:p>
    <w:p>
      <w:r>
        <w:rPr>
          <w:color w:val="5A7D3A"/>
          <w:sz w:val="18"/>
        </w:rPr>
        <w:t>https://pubmed.ncbi.nlm.nih.gov/42802193/</w:t>
      </w:r>
    </w:p>
    <w:p>
      <w:pPr>
        <w:pStyle w:val="Heading2"/>
      </w:pPr>
      <w:r>
        <w:t>Urinkontinenz bei älteren Frauen: Unterbehandlung sinkt bei Symptom-Fokus, nicht mit steigendem Alter</w:t>
      </w:r>
    </w:p>
    <w:p>
      <w:r>
        <w:rPr>
          <w:i/>
          <w:color w:val="666666"/>
          <w:sz w:val="18"/>
        </w:rPr>
        <w:t>Uğur DN et al.  ·  Medicina (Kaunas)  ·  16.09.2026  ·  PMID 42796384</w:t>
      </w:r>
    </w:p>
    <w:p>
      <w:r>
        <w:t>Beobachtungsstudie an 480 Frauen (≥ 65 Jahre) in drei Altersgruppen zur Behandlungslücke bei Stress- und gemischter Harninkontinenz und zur Rolle von Frailty und Symptom-Schweregrad.</w:t>
      </w:r>
    </w:p>
    <w:p>
      <w:r>
        <w:rPr>
          <w:b/>
        </w:rPr>
        <w:t xml:space="preserve">Ergebnis: </w:t>
      </w:r>
      <w:r>
        <w:t>Behandlungslücken-Prävalenz stieg von 33,8% (65–74 Jahre) auf 44,4% (75–84 Jahre) und 55,0% (≥85 Jahre). Nach Adjustierung war Alter nicht unabhängig assoziiert. Höhere ICIQ-UI-SF-Werte (adjustiertes Odds Ratio 1,10 pro Punkt; 95%CI 1,02–1,19) und Stress-Mischinkontinenz (aOR 1,53; 95%CI 1,03–2,25) blieben assoziiert. Symptom-Schweregrad erklärt Unterbehandlung besser als Chronologie.</w:t>
      </w:r>
    </w:p>
    <w:p>
      <w:r>
        <w:rPr>
          <w:b/>
          <w:sz w:val="19"/>
        </w:rPr>
        <w:t xml:space="preserve">Übertragbarkeit: </w:t>
      </w:r>
      <w:r>
        <w:rPr>
          <w:sz w:val="19"/>
        </w:rPr>
        <w:t>Türkei, gyn. Versorgungsstrukturen vergleichbar mit Mitteleuropa</w:t>
      </w:r>
    </w:p>
    <w:p>
      <w:r>
        <w:rPr>
          <w:color w:val="5A7D3A"/>
          <w:sz w:val="18"/>
        </w:rPr>
        <w:t>https://pubmed.ncbi.nlm.nih.gov/42796384/</w:t>
      </w:r>
    </w:p>
    <w:p>
      <w:pPr>
        <w:pStyle w:val="Heading2"/>
      </w:pPr>
      <w:r>
        <w:t>Skelettmuskelreaktion auf kombiniertes Training bei älteren Erwachsenen: RNA-Sequenzierung und Polyphenole</w:t>
      </w:r>
    </w:p>
    <w:p>
      <w:r>
        <w:rPr>
          <w:i/>
          <w:color w:val="666666"/>
          <w:sz w:val="18"/>
        </w:rPr>
        <w:t>Guadalupe-Grau A et al.  ·  J Cachexia Sarcopenia Muscle  ·  Okt. 2026  ·  PMID 42788414</w:t>
      </w:r>
    </w:p>
    <w:p>
      <w:r>
        <w:t>Randomisierte Doppelblindstudie mit 38 älteren Erwachsenen (55–70 Jahre) zur Wirkung von 12 Wochen kombiniertem Widerstands- und High-Intensity-Intervalltraining auf die Skelettmuskel-Transkriptomik mit oder ohne Polyphenol-Supplementation.</w:t>
      </w:r>
    </w:p>
    <w:p>
      <w:r>
        <w:rPr>
          <w:b/>
        </w:rPr>
        <w:t xml:space="preserve">Ergebnis: </w:t>
      </w:r>
      <w:r>
        <w:t>RT + HIIT induzierte überwiegend gering-ausgeprägte transkriptomische Veränderungen. Sieben von 60 FDR-signifikanten Transkripten überschritten die Effektgrößen-Schwelle (|log2FC| &gt; 1), einschließlich Hochregulation von CLLU1 (log2FC = 3,10; FDR = 0,0155) und PRND (log2FC = 2,60; FDR = 0,02). Polyphenol-Supplementation beeinlusste die transkriptomische Reaktion nicht bedeutsam. Robuste Pathway-Adaptationen waren nicht erkennbar.</w:t>
      </w:r>
    </w:p>
    <w:p>
      <w:r>
        <w:rPr>
          <w:b/>
          <w:sz w:val="19"/>
        </w:rPr>
        <w:t xml:space="preserve">Übertragbarkeit: </w:t>
      </w:r>
      <w:r>
        <w:rPr>
          <w:sz w:val="19"/>
        </w:rPr>
        <w:t>Europäische Kohorten, methodisch vergleichbar mit deutschen Fitness-Studien</w:t>
      </w:r>
    </w:p>
    <w:p>
      <w:r>
        <w:rPr>
          <w:color w:val="5A7D3A"/>
          <w:sz w:val="18"/>
        </w:rPr>
        <w:t>https://pubmed.ncbi.nlm.nih.gov/42788414/</w:t>
      </w:r>
    </w:p>
    <w:p>
      <w:pPr>
        <w:pStyle w:val="Heading2"/>
      </w:pPr>
      <w:r>
        <w:t>Altersgerechte smartphone-gestützte kognitive Fernbeurteilung: generationsspezifische Unterschiede in Adhärenz und Zuverlässigkeit</w:t>
      </w:r>
    </w:p>
    <w:p>
      <w:r>
        <w:rPr>
          <w:i/>
          <w:color w:val="666666"/>
          <w:sz w:val="18"/>
        </w:rPr>
        <w:t>Katteri S et al.  ·  Alzheimers Dement  ·  Sept. 2026  ·  PMID 42781715</w:t>
      </w:r>
    </w:p>
    <w:p>
      <w:r>
        <w:t>Vergleichende Studie bei 444 älteren Erwachsenen und 113 jüngeren/mittelalten Probanden zur Machbarkeit smartphone-basierter kognitiver Tests bis zu viermal täglich über 7 Tage und zum Vergleich mit standardisierter Klinik-Batterie.</w:t>
      </w:r>
    </w:p>
    <w:p>
      <w:r>
        <w:rPr>
          <w:b/>
        </w:rPr>
        <w:t xml:space="preserve">Ergebnis: </w:t>
      </w:r>
      <w:r>
        <w:t>Ältere Erwachsene zeigten höhere Adhärenz als jüngere (78 % vs. 59 %). Jüngere erreichten höhere Zuverlässigkeit mit weniger Sitzungen und zeigten viel kleinere Lerneffekte. Smartphone-zu-Klinik-Korrelationen waren in beiden Altersgruppen stark. Generationelle Unterschiede beeinflussen Design und Umsetzung smartphone-gestützter Studien wesentlich.</w:t>
      </w:r>
    </w:p>
    <w:p>
      <w:r>
        <w:rPr>
          <w:b/>
          <w:sz w:val="19"/>
        </w:rPr>
        <w:t xml:space="preserve">Übertragbarkeit: </w:t>
      </w:r>
      <w:r>
        <w:rPr>
          <w:sz w:val="19"/>
        </w:rPr>
        <w:t>USA, aber Methodologie zur Remote-Kognition altersunabhängig übertragbar</w:t>
      </w:r>
    </w:p>
    <w:p>
      <w:r>
        <w:rPr>
          <w:color w:val="5A7D3A"/>
          <w:sz w:val="18"/>
        </w:rPr>
        <w:t>https://pubmed.ncbi.nlm.nih.gov/42781715/</w:t>
      </w:r>
    </w:p>
    <w:p>
      <w:pPr>
        <w:pStyle w:val="Heading2"/>
      </w:pPr>
      <w:r>
        <w:t>Proteinbasierte Inflammaging-Signaturen zur Mortalitätsvorhersage: C-Index 0,758 für alle Ursachen</w:t>
      </w:r>
    </w:p>
    <w:p>
      <w:r>
        <w:rPr>
          <w:i/>
          <w:color w:val="666666"/>
          <w:sz w:val="18"/>
        </w:rPr>
        <w:t>Jiang Z et al.  ·  Exp Gerontol  ·  15.10.2026  ·  PMID 42731645</w:t>
      </w:r>
    </w:p>
    <w:p>
      <w:r>
        <w:t>Große UK-Biobank-Studie (n = 40.471) zur Entwicklung eines proteingestützten Inflammaging-Scores aus 1.112 Proteinen, assoziiert mit Mortalität und Multimorbidität.</w:t>
      </w:r>
    </w:p>
    <w:p>
      <w:r>
        <w:rPr>
          <w:b/>
        </w:rPr>
        <w:t xml:space="preserve">Ergebnis: </w:t>
      </w:r>
      <w:r>
        <w:t>Proteinbasierter Inflammaging-Score war positiv mit allen-Ursachen-Sterblichkeit assoziiert (HR = 1,88; 95%CI: 1,79–1,98). Vereinfachte Version (93 Proteine) erreichte gleichwertig HR = 1,88 (95%CI: 1,79–1,97). C-Index für Sterblichkeit mit klinischen Indizes plus vereinfachtem Score: 0,758 (95%CI: 0,752–0,765). ProteinBasierter Score outperformte konventionelle Inflammations- und Alternsbiomarker signifikant.</w:t>
      </w:r>
    </w:p>
    <w:p>
      <w:r>
        <w:rPr>
          <w:b/>
          <w:sz w:val="19"/>
        </w:rPr>
        <w:t xml:space="preserve">Übertragbarkeit: </w:t>
      </w:r>
      <w:r>
        <w:rPr>
          <w:sz w:val="19"/>
        </w:rPr>
        <w:t>UK Biobank, aber Proteinmarker-Verband mit Mortalität biologisch universell</w:t>
      </w:r>
    </w:p>
    <w:p>
      <w:r>
        <w:rPr>
          <w:color w:val="5A7D3A"/>
          <w:sz w:val="18"/>
        </w:rPr>
        <w:t>https://pubmed.ncbi.nlm.nih.gov/42731645/</w:t>
      </w:r>
    </w:p>
    <w:p>
      <w:pPr>
        <w:pStyle w:val="Heading2"/>
      </w:pPr>
      <w:r>
        <w:t>Kognitive Effizienz und Lebenszufriedenheit bei älteren Sarden: digitales Screening und Freizeit-Aktivitäten</w:t>
      </w:r>
    </w:p>
    <w:p>
      <w:r>
        <w:rPr>
          <w:i/>
          <w:color w:val="666666"/>
          <w:sz w:val="18"/>
        </w:rPr>
        <w:t>Fastame MC et al.  ·  Exp Gerontol  ·  15.10.2026  ·  PMID 42685868</w:t>
      </w:r>
    </w:p>
    <w:p>
      <w:r>
        <w:t>Querschnittsstudie an 127 älteren Erwachsenen (Durchschnittsalter 73,1 Jahre) auf Sardinien zu Korrelaten der Lebenszufriedenheit mittels digital-gestützter kognitiver Screening (DIGICOG-MS).</w:t>
      </w:r>
    </w:p>
    <w:p>
      <w:r>
        <w:rPr>
          <w:b/>
        </w:rPr>
        <w:t xml:space="preserve">Ergebnis: </w:t>
      </w:r>
      <w:r>
        <w:t>Nach Kontrolle für Alter, Bildung und globale kognitive Effizienz waren wahrgenommene Gesundheit, Freizeitzeit, verbale semantische Flüssigkeit, auditives verbales Lernen und unmittelbare Erinnerung signifikant mit Lebenszufriedenheit assoziiert (adjustiertes R² = 0,198, F(8,117) = 4,860, p &lt; 0,001). DIGICOG-MS-Benutzerfreundlichkeit war höher bei niedrigerer Bildung; Tool erwies sich als intuitiv und abbaut Bildungsgrenzen ab.</w:t>
      </w:r>
    </w:p>
    <w:p>
      <w:r>
        <w:rPr>
          <w:b/>
          <w:sz w:val="19"/>
        </w:rPr>
        <w:t xml:space="preserve">Übertragbarkeit: </w:t>
      </w:r>
      <w:r>
        <w:rPr>
          <w:sz w:val="19"/>
        </w:rPr>
        <w:t>Italien, Mittelmeerraum – ähnliche Bevölkerungsstruktur wie südliches Europa</w:t>
      </w:r>
    </w:p>
    <w:p>
      <w:r>
        <w:rPr>
          <w:color w:val="5A7D3A"/>
          <w:sz w:val="18"/>
        </w:rPr>
        <w:t>https://pubmed.ncbi.nlm.nih.gov/42685868/</w:t>
      </w:r>
    </w:p>
    <w:p>
      <w:pPr>
        <w:pStyle w:val="Heading1"/>
      </w:pPr>
      <w:r>
        <w:t>Aufgenommen am 28.09.2026</w:t>
      </w:r>
    </w:p>
    <w:p>
      <w:pPr>
        <w:pStyle w:val="Heading2"/>
      </w:pPr>
      <w:r>
        <w:t>Alzheimer-Therapien im geriatrischen Alter: Implementierungsherausforderungen und Chancen</w:t>
      </w:r>
    </w:p>
    <w:p>
      <w:r>
        <w:rPr>
          <w:i/>
          <w:color w:val="666666"/>
          <w:sz w:val="18"/>
        </w:rPr>
        <w:t>Zrineh A et al.  ·  Clin Interv Aging  ·  22.09.2026  ·  PMID 42801246</w:t>
      </w:r>
    </w:p>
    <w:p>
      <w:r>
        <w:t>Narratives Review der Alzheimer-Pathophysiologie, diagnostischer Biomarker und Therapien (Cholinesterase-Inhibitoren, Lecanemab, Donanemab) mit Fokus auf geriatrische Versorgung und Integration in Kliniken.</w:t>
      </w:r>
    </w:p>
    <w:p>
      <w:r>
        <w:rPr>
          <w:b/>
        </w:rPr>
        <w:t xml:space="preserve">Ergebnis: </w:t>
      </w:r>
      <w:r>
        <w:t>Neue monoklonale Anti-Amyloid-Antikörper zeigen klinisch signifikante, aber moderate Verzögerung des Rückgangs. Risiken: Amyloid-related imaging abnormalities, hohe Kosten, ungelöste Fragen zur langfristigen Aussagekraft. Integrierung in geriatrische Praxis erfordert Biomarker-gesteuertes Screening, Sicherheitsüberwachung, Polypharmazie-Management.</w:t>
      </w:r>
    </w:p>
    <w:p>
      <w:r>
        <w:rPr>
          <w:b/>
          <w:sz w:val="19"/>
        </w:rPr>
        <w:t xml:space="preserve">Übertragbarkeit: </w:t>
      </w:r>
      <w:r>
        <w:rPr>
          <w:sz w:val="19"/>
        </w:rPr>
        <w:t>USA und international; praktische Empfehlungen für Versorgung gelten über Länder hinweg, aber Zugänglichkeit und Finanzierung unterscheiden sich</w:t>
      </w:r>
    </w:p>
    <w:p>
      <w:r>
        <w:rPr>
          <w:color w:val="5A7D3A"/>
          <w:sz w:val="18"/>
        </w:rPr>
        <w:t>https://pubmed.ncbi.nlm.nih.gov/42801246/</w:t>
      </w:r>
    </w:p>
    <w:p>
      <w:pPr>
        <w:pStyle w:val="Heading2"/>
      </w:pPr>
      <w:r>
        <w:t>Mittelmeerdiät bei älteren Menschen mit HIV: Körperzusammensetzung und klinisches Profil</w:t>
      </w:r>
    </w:p>
    <w:p>
      <w:r>
        <w:rPr>
          <w:i/>
          <w:color w:val="666666"/>
          <w:sz w:val="18"/>
        </w:rPr>
        <w:t>Mazzitelli M et al.  ·  Viruses  ·  25.08.2026  ·  PMID 42797764</w:t>
      </w:r>
    </w:p>
    <w:p>
      <w:r>
        <w:t>Querschnittsstudie an 130 italienischen erwachsenen Menschen mit HIV im Median 57 Jahren: Mediterrane Diät-Adhärenz anhand MedDiet Score gemessen, Körperzusammensetzung mittels DXA analysiert.</w:t>
      </w:r>
    </w:p>
    <w:p>
      <w:r>
        <w:rPr>
          <w:b/>
        </w:rPr>
        <w:t xml:space="preserve">Ergebnis: </w:t>
      </w:r>
      <w:r>
        <w:t>80,8% zeigten hohe Adhärenz. Hohe Adhärenz assoziiert mit niedrigerem BMI (β −5,3, 95%-KI −7,3 bis −3,4, p&lt;0,001), niedrigerer totaler und Rumpf-Fettmasse und höherer Knochenmineraldichte der LWS. Günstigeres klinisches Profil mit höherer CD4-Zahl.</w:t>
      </w:r>
    </w:p>
    <w:p>
      <w:r>
        <w:rPr>
          <w:b/>
          <w:sz w:val="19"/>
        </w:rPr>
        <w:t xml:space="preserve">Übertragbarkeit: </w:t>
      </w:r>
      <w:r>
        <w:rPr>
          <w:sz w:val="19"/>
        </w:rPr>
        <w:t>Italien, spezialisierte HIV-Kliniken; Übertragbarkeit auf deutsche Versorgung begrenzt durch HIV-Fokus</w:t>
      </w:r>
    </w:p>
    <w:p>
      <w:r>
        <w:rPr>
          <w:color w:val="5A7D3A"/>
          <w:sz w:val="18"/>
        </w:rPr>
        <w:t>https://pubmed.ncbi.nlm.nih.gov/42797764/</w:t>
      </w:r>
    </w:p>
    <w:p>
      <w:pPr>
        <w:pStyle w:val="Heading2"/>
      </w:pPr>
      <w:r>
        <w:t>Ernährung im höchsten Alter: Milchprodukte und Hühnchen assoziiert mit längerer Überlebensdauer</w:t>
      </w:r>
    </w:p>
    <w:p>
      <w:r>
        <w:rPr>
          <w:i/>
          <w:color w:val="666666"/>
          <w:sz w:val="18"/>
        </w:rPr>
        <w:t>Errigo A et al.  ·  Nutrients  ·  20.09.2026  ·  PMID 42797055</w:t>
      </w:r>
    </w:p>
    <w:p>
      <w:r>
        <w:t>Prospektive Kohorte von 200 sardischen Bewohnern über 90 Jahren: Ernährungsmuster wurden erhoben, Überleben über bis zu 7 Jahre verfolgt.</w:t>
      </w:r>
    </w:p>
    <w:p>
      <w:r>
        <w:rPr>
          <w:b/>
        </w:rPr>
        <w:t xml:space="preserve">Ergebnis: </w:t>
      </w:r>
      <w:r>
        <w:t>Höherer Konsum von Milch, Käse und Hühnchen war mit niedrigerer Sterblichkeit assoziiert (HR 0,839 pro SD-Anstieg des Dairy-Traditional-Fat-Musters, 95%-KI 0,727–0,969, p=0,017); Wein-Konsum positiv mit Mortalität assoziiert. Assoziationen bei Einzellebensmitteln blieben nach Korrektion für multiples Testen signifikant.</w:t>
      </w:r>
    </w:p>
    <w:p>
      <w:r>
        <w:rPr>
          <w:b/>
          <w:sz w:val="19"/>
        </w:rPr>
        <w:t xml:space="preserve">Übertragbarkeit: </w:t>
      </w:r>
      <w:r>
        <w:rPr>
          <w:sz w:val="19"/>
        </w:rPr>
        <w:t>Italien, Blue Zone; begrenzte direkte Übertragbarkeit auf Deutsche, aber Ernährungsmuster in extremem Alter untersucht</w:t>
      </w:r>
    </w:p>
    <w:p>
      <w:r>
        <w:rPr>
          <w:color w:val="5A7D3A"/>
          <w:sz w:val="18"/>
        </w:rPr>
        <w:t>https://pubmed.ncbi.nlm.nih.gov/42797055/</w:t>
      </w:r>
    </w:p>
    <w:p>
      <w:pPr>
        <w:pStyle w:val="Heading2"/>
      </w:pPr>
      <w:r>
        <w:t>Ernährungsqualität und Blutmarker des Alterns: Proteomarker-Studie an älteren Schweden</w:t>
      </w:r>
    </w:p>
    <w:p>
      <w:r>
        <w:rPr>
          <w:i/>
          <w:color w:val="666666"/>
          <w:sz w:val="18"/>
        </w:rPr>
        <w:t>DaCosta RA et al.  ·  BMC Med  ·  15.09.2026  ·  PMID 42791570</w:t>
      </w:r>
    </w:p>
    <w:p>
      <w:r>
        <w:t>Bevölkerungsbasierte Querschnittsanalyse von 1.769 schwedischen Personen ≥60 Jahren: Ernährungsqualität mittels AMED, AHEI und rEDII gemessen, 54 Blutbiomarker analysiert.</w:t>
      </w:r>
    </w:p>
    <w:p>
      <w:r>
        <w:rPr>
          <w:b/>
        </w:rPr>
        <w:t xml:space="preserve">Ergebnis: </w:t>
      </w:r>
      <w:r>
        <w:t>Höhere AMED-Adhärenz assoziiert mit höheren Folsäure-Spiegeln (β 0,066, 95%-KI 0,033–0,099) und niedrigerem GFAP (β −0,018, 95%-KI −0,030 bis −0,006, p=0,003). Höhere rEDII-Adhärenz mit niedrigerem Leptin, Insulin, GDF15, alkalischer Phosphatase und TNF-Rezeptor. Biomarker in metabolischen und inflammatorischen Domänen betroffen.</w:t>
      </w:r>
    </w:p>
    <w:p>
      <w:r>
        <w:rPr>
          <w:b/>
          <w:sz w:val="19"/>
        </w:rPr>
        <w:t xml:space="preserve">Übertragbarkeit: </w:t>
      </w:r>
      <w:r>
        <w:rPr>
          <w:sz w:val="19"/>
        </w:rPr>
        <w:t>Skandinavien, nationale Längsschnittstudie; vergleichbare Gesundheitssysteme, gute Datenqualität</w:t>
      </w:r>
    </w:p>
    <w:p>
      <w:r>
        <w:rPr>
          <w:color w:val="5A7D3A"/>
          <w:sz w:val="18"/>
        </w:rPr>
        <w:t>https://pubmed.ncbi.nlm.nih.gov/42791570/</w:t>
      </w:r>
    </w:p>
    <w:p>
      <w:pPr>
        <w:pStyle w:val="Heading2"/>
      </w:pPr>
      <w:r>
        <w:t>Wearable-Autonomie-Komponente und kardiometabolische Gesundheit im Alter</w:t>
      </w:r>
    </w:p>
    <w:p>
      <w:r>
        <w:rPr>
          <w:i/>
          <w:color w:val="666666"/>
          <w:sz w:val="18"/>
        </w:rPr>
        <w:t>Calvani R et al.  ·  Med Sci (Basel)  ·  02.09.2026  ·  PMID 42783415</w:t>
      </w:r>
    </w:p>
    <w:p>
      <w:r>
        <w:t>Querschnitt von 97 italienischen Erwachsenen (Durchschnittsalter 51,3 Jahre): 24-h Wearable-Geräte-Messung, Hauptkomponentenanalyse der ECG- und Bewegungsvariablen, Assoziation mit 8-Domänen-Gesundheits-Screening.</w:t>
      </w:r>
    </w:p>
    <w:p>
      <w:r>
        <w:rPr>
          <w:b/>
        </w:rPr>
        <w:t xml:space="preserve">Ergebnis: </w:t>
      </w:r>
      <w:r>
        <w:t>Prinzipalkomponente PC1 (gekennzeichnet durch hohes SDNN, hohes RMSSD, niedrige nächtliche Herzfrequenz) unabhängig assoziiert mit Gesamt-Gesundheit (B=+0,402, 95%-KI [+0,103, +0,700], p=0,009). Nach Benjamini-Hochberg-Korrektur in Einzeldomänen nur Glukose-Gesundheit signifikant (95%-KI [1,32, 4,62], p=0,039).</w:t>
      </w:r>
    </w:p>
    <w:p>
      <w:r>
        <w:rPr>
          <w:b/>
          <w:sz w:val="19"/>
        </w:rPr>
        <w:t xml:space="preserve">Übertragbarkeit: </w:t>
      </w:r>
      <w:r>
        <w:rPr>
          <w:sz w:val="19"/>
        </w:rPr>
        <w:t>Italien, Community-Setting; Wearable-Technologie relevant für deutsche Präventivmedizin, aber Stichprobe klein</w:t>
      </w:r>
    </w:p>
    <w:p>
      <w:r>
        <w:rPr>
          <w:color w:val="5A7D3A"/>
          <w:sz w:val="18"/>
        </w:rPr>
        <w:t>https://pubmed.ncbi.nlm.nih.gov/42783415/</w:t>
      </w:r>
    </w:p>
    <w:p>
      <w:pPr>
        <w:pStyle w:val="Heading2"/>
      </w:pPr>
      <w:r>
        <w:t>Gewichteter Alterungspace als Prädiktor: sterblichkeitsinformiertes Biomarker-Modell</w:t>
      </w:r>
    </w:p>
    <w:p>
      <w:r>
        <w:rPr>
          <w:i/>
          <w:color w:val="666666"/>
          <w:sz w:val="18"/>
        </w:rPr>
        <w:t>Sluiskes MH et al.  ·  J Gerontol A Biol Sci Med Sci  ·  05.09.2026  ·  PMID 42625435</w:t>
      </w:r>
    </w:p>
    <w:p>
      <w:r>
        <w:t>Längsschnittstudie schwedischer älterer Paare (SATSA): Gewichteter Pace of Aging (wPoA) aus 10 Biomarkern berechnet, anhand Sterblichkeit gewichtet, gegen etablierte Alterungs-Prädiktoren validiert.</w:t>
      </w:r>
    </w:p>
    <w:p>
      <w:r>
        <w:rPr>
          <w:b/>
        </w:rPr>
        <w:t xml:space="preserve">Ergebnis: </w:t>
      </w:r>
      <w:r>
        <w:t>wPoA korreliert mit biologischen Alterungs-Prädiktoren und stärker mit Functional Aging Index (FAA) und Frailty Index (FI). Moderate Korrelationen über alle Prädiktoren deuten darauf hin, dass jedes Maß unterschiedliche Aspekte des biologischen Alterns erfasst; wPoA eignet sich für Kohorten mit reichen Längsdaten.</w:t>
      </w:r>
    </w:p>
    <w:p>
      <w:r>
        <w:rPr>
          <w:b/>
          <w:sz w:val="19"/>
        </w:rPr>
        <w:t xml:space="preserve">Übertragbarkeit: </w:t>
      </w:r>
      <w:r>
        <w:rPr>
          <w:sz w:val="19"/>
        </w:rPr>
        <w:t>Schweden, nationale Adoptions-/Zwillingsstudie; europäisches Gesundheitssystem, methodisch robust</w:t>
      </w:r>
    </w:p>
    <w:p>
      <w:r>
        <w:rPr>
          <w:color w:val="5A7D3A"/>
          <w:sz w:val="18"/>
        </w:rPr>
        <w:t>https://pubmed.ncbi.nlm.nih.gov/42625435/</w:t>
      </w:r>
    </w:p>
    <w:p>
      <w:pPr>
        <w:pStyle w:val="Heading1"/>
      </w:pPr>
      <w:r>
        <w:t>Aufgenommen am 27.09.2026</w:t>
      </w:r>
    </w:p>
    <w:p>
      <w:pPr>
        <w:pStyle w:val="Heading2"/>
      </w:pPr>
      <w:r>
        <w:t>Vorhersagemodell für postoperative Frailty bei Brustkrebspatienten</w:t>
      </w:r>
    </w:p>
    <w:p>
      <w:r>
        <w:rPr>
          <w:i/>
          <w:color w:val="666666"/>
          <w:sz w:val="18"/>
        </w:rPr>
        <w:t>Zhou Y et al.  ·  PeerJ  ·  22.09.2026  ·  PMID 42799450</w:t>
      </w:r>
    </w:p>
    <w:p>
      <w:r>
        <w:t>Querschnittsstudie mit 286 Brustkrebspatienten nach Operation; Frailty erfasst mit Tilburg Frailty Indicator (TFI), Schlafqualität mit Pittsburgh Sleep Quality Index (PSQI); logistische Regressionsmodellierung mit ROC-Kurven-Validierung.</w:t>
      </w:r>
    </w:p>
    <w:p>
      <w:r>
        <w:rPr>
          <w:b/>
        </w:rPr>
        <w:t xml:space="preserve">Ergebnis: </w:t>
      </w:r>
      <w:r>
        <w:t>Postoperative Frailty-Prävalenz: 29,37 %. Signifikante Einflussfaktoren waren Diabetes-Vorgeschichte, schlechte Schlafqualität, Cholesterin und BMI, Kinder als Hauptpflegeperson und Krankenversicherungstyp. Das Modell erzielte eine AUC von 0,813 nach interner 10-fach-Kreuzvalidierung. Hosmer-Lemeshow χ² = 4,436, p = 0,816.</w:t>
      </w:r>
    </w:p>
    <w:p>
      <w:r>
        <w:rPr>
          <w:b/>
          <w:sz w:val="19"/>
        </w:rPr>
        <w:t xml:space="preserve">Übertragbarkeit: </w:t>
      </w:r>
      <w:r>
        <w:rPr>
          <w:sz w:val="19"/>
        </w:rPr>
        <w:t>China, anderes Gesundheitssystem; nur Frailty-Identifikation ist übertragbar.</w:t>
      </w:r>
    </w:p>
    <w:p>
      <w:r>
        <w:rPr>
          <w:color w:val="5A7D3A"/>
          <w:sz w:val="18"/>
        </w:rPr>
        <w:t>https://pubmed.ncbi.nlm.nih.gov/42799450/</w:t>
      </w:r>
    </w:p>
    <w:p>
      <w:pPr>
        <w:pStyle w:val="Heading2"/>
      </w:pPr>
      <w:r>
        <w:t>Ernährungsadäquanz in der Gemeinschaft: Ältere vs. jüngere Deutsche im BASE-II-Vergleich</w:t>
      </w:r>
    </w:p>
    <w:p>
      <w:r>
        <w:rPr>
          <w:i/>
          <w:color w:val="666666"/>
          <w:sz w:val="18"/>
        </w:rPr>
        <w:t>Heimberg K et al.  ·  Nutrients  ·  20.09.2026  ·  PMID 42797060</w:t>
      </w:r>
    </w:p>
    <w:p>
      <w:r>
        <w:t>Querschnittsstudie zur Nährstoffaufnahme bei 1.671 Personen im Alter von 60–84 Jahren aus der Berliner Altersstudie II (BASE-II), verglichen mit 500 jüngeren Erwachsenen (22–36 Jahre).</w:t>
      </w:r>
    </w:p>
    <w:p>
      <w:r>
        <w:rPr>
          <w:b/>
        </w:rPr>
        <w:t xml:space="preserve">Ergebnis: </w:t>
      </w:r>
      <w:r>
        <w:t>Ältere Erwachsene hatten kein generell schlechteres Nährstoffprofil als Jüngere. Jedoch lag das Osteoporoserisiko durch Calciummangel bei älteren Personen höher (34 % vs. 26 %). Vitamin-D-Mangel betraf über 15 % in beiden Altersgruppen. Supplementnutzung war bei Älteren häufiger (47,3 % vs. 43,0 %), unterschied sich aber nicht signifikant.</w:t>
      </w:r>
    </w:p>
    <w:p>
      <w:r>
        <w:rPr>
          <w:b/>
          <w:sz w:val="19"/>
        </w:rPr>
        <w:t xml:space="preserve">Übertragbarkeit: </w:t>
      </w:r>
      <w:r>
        <w:rPr>
          <w:sz w:val="19"/>
        </w:rPr>
        <w:t>Deutsche Kohortendaten (BASE-II), vergleichbare Bevölkerungsstruktur und Ernährungsrichtlinien.</w:t>
      </w:r>
    </w:p>
    <w:p>
      <w:r>
        <w:rPr>
          <w:color w:val="5A7D3A"/>
          <w:sz w:val="18"/>
        </w:rPr>
        <w:t>https://pubmed.ncbi.nlm.nih.gov/42797060/</w:t>
      </w:r>
    </w:p>
    <w:p>
      <w:pPr>
        <w:pStyle w:val="Heading2"/>
      </w:pPr>
      <w:r>
        <w:t>Ganggeschwindigkeit als Prognostischer Marker für Überleben bei älteren Krebspatienten</w:t>
      </w:r>
    </w:p>
    <w:p>
      <w:r>
        <w:rPr>
          <w:i/>
          <w:color w:val="666666"/>
          <w:sz w:val="18"/>
        </w:rPr>
        <w:t>Ünlü B et al.  ·  Medicina (Kaunas)  ·  21.09.2026  ·  PMID 42796422</w:t>
      </w:r>
    </w:p>
    <w:p>
      <w:r>
        <w:t>Prospektive Studie bei 102 chemotherapie-naiven Patienten ≥65 Jahre mit Gangtests vor Behandlung und Nachverfolgung von Überleben, Therapieansprechen und Toxizität.</w:t>
      </w:r>
    </w:p>
    <w:p>
      <w:r>
        <w:rPr>
          <w:b/>
        </w:rPr>
        <w:t xml:space="preserve">Ergebnis: </w:t>
      </w:r>
      <w:r>
        <w:t>Mittlere Ganggeschwindigkeit 0,481 ± 0,176 m/s. Bei metastasierten Patienten war höhere Ganggeschwindigkeit mit niedrigerer Mortalität assoziiert (univariat HR = 0,752, 95%-KI 0,605–0,934, p = 0,010; adjustiert HR = 0,647, 95%-KI 0,490–0,853, p = 0,002). Keine signifikanten Assoziationen mit progressionsfreiem Überleben oder Grad-≥3-Toxizität.</w:t>
      </w:r>
    </w:p>
    <w:p>
      <w:r>
        <w:rPr>
          <w:b/>
          <w:sz w:val="19"/>
        </w:rPr>
        <w:t xml:space="preserve">Übertragbarkeit: </w:t>
      </w:r>
      <w:r>
        <w:rPr>
          <w:sz w:val="19"/>
        </w:rPr>
        <w:t>Türkei; funktionelle Messung übertragbar, aber Kohorte klein und explorativ.</w:t>
      </w:r>
    </w:p>
    <w:p>
      <w:r>
        <w:rPr>
          <w:color w:val="5A7D3A"/>
          <w:sz w:val="18"/>
        </w:rPr>
        <w:t>https://pubmed.ncbi.nlm.nih.gov/42796422/</w:t>
      </w:r>
    </w:p>
    <w:p>
      <w:pPr>
        <w:pStyle w:val="Heading2"/>
      </w:pPr>
      <w:r>
        <w:t>Frailty-assoziierte Lungenfunktionstrajektor nach Lungentransplantation</w:t>
      </w:r>
    </w:p>
    <w:p>
      <w:r>
        <w:rPr>
          <w:i/>
          <w:color w:val="666666"/>
          <w:sz w:val="18"/>
        </w:rPr>
        <w:t>Ceolin C et al.  ·  Respir Res  ·  25.09.2026  ·  PMID 42791578</w:t>
      </w:r>
    </w:p>
    <w:p>
      <w:r>
        <w:t>Prospektive Longitudinalstudie über zwei Jahre bei 155 Lungentransplantationsempfänger (Durchschnittsalter 48,7 Jahre); Fried-Phänotyp zur Frailty-Erfassung und spirometrische Parameter als Lungenfunktionsergebnis.</w:t>
      </w:r>
    </w:p>
    <w:p>
      <w:r>
        <w:rPr>
          <w:b/>
        </w:rPr>
        <w:t xml:space="preserve">Ergebnis: </w:t>
      </w:r>
      <w:r>
        <w:t>43,7 % waren robust, 40,4 % pre-frail, 15,9 % frail. Höhere Frailty-Last war mit niedrigeren Baseline-FVC-Werten assoziiert. Signifikante Frailty-by-time-Wechselwirkungen zeigten steilere longitudinale Verbesserungen bei Vital Capacity (VC, β = 2,03, p = 0,010) und FVC (β = 2,20, p = 0,003) bei Personen mit höherer Baseline-Frailty.</w:t>
      </w:r>
    </w:p>
    <w:p>
      <w:r>
        <w:rPr>
          <w:b/>
          <w:sz w:val="19"/>
        </w:rPr>
        <w:t xml:space="preserve">Übertragbarkeit: </w:t>
      </w:r>
      <w:r>
        <w:rPr>
          <w:sz w:val="19"/>
        </w:rPr>
        <w:t>Italien (Padua), europäisches Versorgungssystem, ähnliche Transplantationsprotokolle.</w:t>
      </w:r>
    </w:p>
    <w:p>
      <w:r>
        <w:rPr>
          <w:color w:val="5A7D3A"/>
          <w:sz w:val="18"/>
        </w:rPr>
        <w:t>https://pubmed.ncbi.nlm.nih.gov/42791578/</w:t>
      </w:r>
    </w:p>
    <w:p>
      <w:pPr>
        <w:pStyle w:val="Heading2"/>
      </w:pPr>
      <w:r>
        <w:t>Heidelbeeren, Protein und Bewegung gegen Frailty: STRONG-Studie Studienprotokoll</w:t>
      </w:r>
    </w:p>
    <w:p>
      <w:r>
        <w:rPr>
          <w:i/>
          <w:color w:val="666666"/>
          <w:sz w:val="18"/>
        </w:rPr>
        <w:t>Cahill LE et al.  ·  BMJ Open  ·  25.09.2026  ·  PMID 42790922</w:t>
      </w:r>
    </w:p>
    <w:p>
      <w:r>
        <w:t>Pragmatische RCT über 12 Monate mit 240 Personen ≥65 Jahren (120w/120m) in Nova Scotia; Intervention: 1 Cup Heidelbeeren/Tag, 30 g Proteinpulver/Tag und drei 60-Minuten-Multimodal-Trainingseinheiten/Woche; Kontrolle: Standardversorgung.</w:t>
      </w:r>
    </w:p>
    <w:p>
      <w:r>
        <w:rPr>
          <w:b/>
        </w:rPr>
        <w:t xml:space="preserve">Ergebnis: </w:t>
      </w:r>
      <w:r>
        <w:t>Studie noch laufend (Protokoll publiziert). Geplante Outcomes: Frailty-Scores, Balance, Sturzhäufigkeit, Lebensraum, kardiovaskuläre Risikofaktoren, 6-Minuten-Gehtest, Entzündungsmarker, Lebensqualität mit Messungen bei Baseline, 3, 6, 9, 12 und 24 Monaten.</w:t>
      </w:r>
    </w:p>
    <w:p>
      <w:r>
        <w:rPr>
          <w:b/>
          <w:sz w:val="19"/>
        </w:rPr>
        <w:t xml:space="preserve">Übertragbarkeit: </w:t>
      </w:r>
      <w:r>
        <w:rPr>
          <w:sz w:val="19"/>
        </w:rPr>
        <w:t>Kanada (Nova Scotia), ähnliche Versorgungssysteme und Lebenserwartung wie deutschsprachiger Raum.</w:t>
      </w:r>
    </w:p>
    <w:p>
      <w:r>
        <w:rPr>
          <w:color w:val="5A7D3A"/>
          <w:sz w:val="18"/>
        </w:rPr>
        <w:t>https://pubmed.ncbi.nlm.nih.gov/42790922/</w:t>
      </w:r>
    </w:p>
    <w:p>
      <w:pPr>
        <w:pStyle w:val="Heading2"/>
      </w:pPr>
      <w:r>
        <w:t>Schlafstörungen und Depression als gemeinsames Risiko für Arthrose bei Älteren</w:t>
      </w:r>
    </w:p>
    <w:p>
      <w:r>
        <w:rPr>
          <w:i/>
          <w:color w:val="666666"/>
          <w:sz w:val="18"/>
        </w:rPr>
        <w:t>Deng S et al.  ·  Brain Behav  ·  Sept. 2026  ·  PMID 42779173</w:t>
      </w:r>
    </w:p>
    <w:p>
      <w:r>
        <w:t>Prospektive Kohortenstudie mit 3.604 Personen ab 50 Jahren aus der English Longitudinal Study of Ageing; Erfassung von Schlafstörung und depressiver Symptomatik über acht Jahre mittels gruppengestützter Multi-Trajektorien-Analyse.</w:t>
      </w:r>
    </w:p>
    <w:p>
      <w:r>
        <w:rPr>
          <w:b/>
        </w:rPr>
        <w:t xml:space="preserve">Ergebnis: </w:t>
      </w:r>
      <w:r>
        <w:t>Vier Trajektoriengruppen wurden identifiziert. Im Vergleich zu persistierend gutem Schlaf und keinen depressiven Symptomen zeigten Personen mit persistierend schlechtem Schlaf und hoher depressiver Symptomatik ein OR von 2,85 (95%-KI 1,90–4,28) für Arthrose-Neuauftreten; diejenigen mit schlechtem Schlaf und moderater Depression: OR 2,14 (95%-KI 1,52–3,02); moderate Schlafstörung mit niedriger Depression: OR 1,56 (95%-KI 1,20–2,03).</w:t>
      </w:r>
    </w:p>
    <w:p>
      <w:r>
        <w:rPr>
          <w:b/>
          <w:sz w:val="19"/>
        </w:rPr>
        <w:t xml:space="preserve">Übertragbarkeit: </w:t>
      </w:r>
      <w:r>
        <w:rPr>
          <w:sz w:val="19"/>
        </w:rPr>
        <w:t>England, vergleichbares nationales Gesundheitssystem und Altersstruktur.</w:t>
      </w:r>
    </w:p>
    <w:p>
      <w:r>
        <w:rPr>
          <w:color w:val="5A7D3A"/>
          <w:sz w:val="18"/>
        </w:rPr>
        <w:t>https://pubmed.ncbi.nlm.nih.gov/42779173/</w:t>
      </w:r>
    </w:p>
    <w:p>
      <w:pPr>
        <w:pStyle w:val="Heading1"/>
      </w:pPr>
      <w:r>
        <w:t>Aufgenommen am 26.09.2026</w:t>
      </w:r>
    </w:p>
    <w:p>
      <w:pPr>
        <w:pStyle w:val="Heading2"/>
      </w:pPr>
      <w:r>
        <w:t>Soziale Kontakte und körperliche Frailty entwickeln sich parallel: Langzeitprofil aus Japan</w:t>
      </w:r>
    </w:p>
    <w:p>
      <w:r>
        <w:rPr>
          <w:i/>
          <w:color w:val="666666"/>
          <w:sz w:val="18"/>
        </w:rPr>
        <w:t>Gao H et al.  ·  Front Public Health  ·  09.09.2026  ·  PMID 42787745</w:t>
      </w:r>
    </w:p>
    <w:p>
      <w:r>
        <w:t>Japanische Kohortenstudie an 307 älteren Gemeindemitgliedern mit Messungen 2014, 2017 und 2020 zu sozialen Kontakten, körperlicher Frailty (Kihon Checklist-Motor) und subjektiven kognitiven Beschwerden (Kihon Checklist-Kognitiv).</w:t>
      </w:r>
    </w:p>
    <w:p>
      <w:r>
        <w:rPr>
          <w:b/>
        </w:rPr>
        <w:t xml:space="preserve">Ergebnis: </w:t>
      </w:r>
      <w:r>
        <w:t>Soziale Kontakte sanken von 16,82 auf 16,09, körperliche Frailty stieg von 8,8 % auf 19,5 %, subjektive kognitive Beschwerden von 31,3 % auf 62,9 %. Höhere initiale soziale Kontakte assoziiert mit niedrigerem Frailty-Risiko (standardisiert -0,282, 95%-CrI -0,503 bis -0,044) und niedrigerem kognitiven Beschwerde-Risiko (-0,433, -0,651 bis -0,179). Inverse Assoziation zwischen Kontakt- und Frailty-Änderungsraten.</w:t>
      </w:r>
    </w:p>
    <w:p>
      <w:r>
        <w:rPr>
          <w:b/>
          <w:sz w:val="19"/>
        </w:rPr>
        <w:t xml:space="preserve">Übertragbarkeit: </w:t>
      </w:r>
      <w:r>
        <w:rPr>
          <w:sz w:val="19"/>
        </w:rPr>
        <w:t>Japan, aber Befunde zu Multidomain-Assessment übertragbar auf deutsche Altenhilfe</w:t>
      </w:r>
    </w:p>
    <w:p>
      <w:r>
        <w:rPr>
          <w:color w:val="5A7D3A"/>
          <w:sz w:val="18"/>
        </w:rPr>
        <w:t>https://pubmed.ncbi.nlm.nih.gov/42787745/</w:t>
      </w:r>
    </w:p>
    <w:p>
      <w:pPr>
        <w:pStyle w:val="Heading2"/>
      </w:pPr>
      <w:r>
        <w:t>Kardiovaskuläre Multimorbidität und kognitive Funktionalität: internationale Kohorten-Analyse</w:t>
      </w:r>
    </w:p>
    <w:p>
      <w:r>
        <w:rPr>
          <w:i/>
          <w:color w:val="666666"/>
          <w:sz w:val="18"/>
        </w:rPr>
        <w:t>Li M et al.  ·  Front Public Health  ·  10.09.2026  ·  PMID 42787285</w:t>
      </w:r>
    </w:p>
    <w:p>
      <w:r>
        <w:t>Internationale Harmonisierung von 236.088 Personen aus sechs Langzeitkohorten (HRS, ELSA, CHARLS, KLoSA, MHAS, SHARE) mit wiederholten Messungen kardiovaskulärer Komorbiditäten und kognitiv-funktionaler Veränderungen.</w:t>
      </w:r>
    </w:p>
    <w:p>
      <w:r>
        <w:rPr>
          <w:b/>
        </w:rPr>
        <w:t xml:space="preserve">Ergebnis: </w:t>
      </w:r>
      <w:r>
        <w:t>Jede zusätzliche kardiovaskuläre Erkrankung korreliert mit kognitiven Verschlechterung (β=0,0459, 95%-KI 0,0243–0,0675) und funktionalen Verschlechterung (β=0,0960, 95%-KI 0,0809–0,1111). Funktionale Verschlechterung deutlicher als kognitiv (Kontrast 0,0534, 95%-KI 0,0325–0,0742). Bei 266.127 Intervallen in unauffälligem Ausgangszustand: jede zusätzliche Grunderkrankung assoziiert mit funktionalen Übergängen (OR 1,33, 95%-KI 1,27–1,40), nicht konsistent mit kognitiven Übergängen (OR 1,01, 95%-KI 0,95–1,07).</w:t>
      </w:r>
    </w:p>
    <w:p>
      <w:r>
        <w:rPr>
          <w:b/>
          <w:sz w:val="19"/>
        </w:rPr>
        <w:t xml:space="preserve">Übertragbarkeit: </w:t>
      </w:r>
      <w:r>
        <w:rPr>
          <w:sz w:val="19"/>
        </w:rPr>
        <w:t>Europa, Kanada, USA, große internationale Datenharmonisierung relevant für Deutschland</w:t>
      </w:r>
    </w:p>
    <w:p>
      <w:r>
        <w:rPr>
          <w:color w:val="5A7D3A"/>
          <w:sz w:val="18"/>
        </w:rPr>
        <w:t>https://pubmed.ncbi.nlm.nih.gov/42787285/</w:t>
      </w:r>
    </w:p>
    <w:p>
      <w:pPr>
        <w:pStyle w:val="Heading2"/>
      </w:pPr>
      <w:r>
        <w:t>Frailty bei älteren COPD-Patienten: unabhängiger Prädiktor für COPD-Exazerbationen</w:t>
      </w:r>
    </w:p>
    <w:p>
      <w:r>
        <w:rPr>
          <w:i/>
          <w:color w:val="666666"/>
          <w:sz w:val="18"/>
        </w:rPr>
        <w:t>Li T et al.  ·  J Cachexia Sarcopenia Muscle  ·  Okt. 2026  ·  PMID 42786423</w:t>
      </w:r>
    </w:p>
    <w:p>
      <w:r>
        <w:t>Chinesische Kohortenstudie an 466 älteren COPD-Patienten (Mittel 71,2±4,5 Jahre) mit Fried-Frailty-Phänotyp-Assessment und Nachverfolgung über 12 Monate für moderate bis schwere Exazerbationen und Sterblichkeit.</w:t>
      </w:r>
    </w:p>
    <w:p>
      <w:r>
        <w:rPr>
          <w:b/>
        </w:rPr>
        <w:t xml:space="preserve">Ergebnis: </w:t>
      </w:r>
      <w:r>
        <w:t>54,7 % pre-frail, 28,3 % frail. Pre-Frailty (OR 2,182, 95%-KI 1,081–4,405) und Frailty (OR 3,377, 95%-KI 1,614–7,063) unabhängig assoziiert mit erhöhtem Exazerbationsrisiko. ROC-AUC für Frailty-Vorhersage 0,607. Kombination aus Frailty + Dyspnoe oder Exazerbationshistorie bessere Vorhersagekraft als einzelne Parameter.</w:t>
      </w:r>
    </w:p>
    <w:p>
      <w:r>
        <w:rPr>
          <w:b/>
          <w:sz w:val="19"/>
        </w:rPr>
        <w:t xml:space="preserve">Übertragbarkeit: </w:t>
      </w:r>
      <w:r>
        <w:rPr>
          <w:sz w:val="19"/>
        </w:rPr>
        <w:t>China, aber Frailty-Assessment-Konzepte etabliert in deutscher Geriatrie</w:t>
      </w:r>
    </w:p>
    <w:p>
      <w:r>
        <w:rPr>
          <w:color w:val="5A7D3A"/>
          <w:sz w:val="18"/>
        </w:rPr>
        <w:t>https://pubmed.ncbi.nlm.nih.gov/42786423/</w:t>
      </w:r>
    </w:p>
    <w:p>
      <w:pPr>
        <w:pStyle w:val="Heading2"/>
      </w:pPr>
      <w:r>
        <w:t>Prävention funktioneller Abhängigkeit im höheren Alter: Screening geriatrischer Syndrome</w:t>
      </w:r>
    </w:p>
    <w:p>
      <w:r>
        <w:rPr>
          <w:i/>
          <w:color w:val="666666"/>
          <w:sz w:val="18"/>
        </w:rPr>
        <w:t>Stornelli S et al.  ·  Rev Med Suisse  ·  23.09.2026  ·  PMID 42779326</w:t>
      </w:r>
    </w:p>
    <w:p>
      <w:r>
        <w:t>Schweizer Übersicht für ambulante Grundversorgung zu frühzeitiger Erkennung älterer Patienten mit Risiko funktioneller Abhängigkeit und Autonomieverlust, basierend auf WHO-ICOPE-Ansatz.</w:t>
      </w:r>
    </w:p>
    <w:p>
      <w:r>
        <w:rPr>
          <w:b/>
        </w:rPr>
        <w:t xml:space="preserve">Ergebnis: </w:t>
      </w:r>
      <w:r>
        <w:t>Kernempfehlung: Ärzte sollten hauptsächliche geriatrische Syndrome systematisch screenen, modifizierbare Risikofaktoren identifizieren und Maßnahmen zur Bewahrung intrinsischer Kapazität und Lebensqualität implementieren. Lücke zwischen Lebenserwartung und behinderungsfreien Jahren bleibt erheblich und variiert nach Geschlecht, Bildung und sozioökonomischem Status.</w:t>
      </w:r>
    </w:p>
    <w:p>
      <w:r>
        <w:rPr>
          <w:b/>
          <w:sz w:val="19"/>
        </w:rPr>
        <w:t xml:space="preserve">Übertragbarkeit: </w:t>
      </w:r>
      <w:r>
        <w:rPr>
          <w:sz w:val="19"/>
        </w:rPr>
        <w:t>Schweiz (DACH-Region), direkt übertragbar auf deutsche Primärversorgung</w:t>
      </w:r>
    </w:p>
    <w:p>
      <w:r>
        <w:rPr>
          <w:color w:val="5A7D3A"/>
          <w:sz w:val="18"/>
        </w:rPr>
        <w:t>https://pubmed.ncbi.nlm.nih.gov/42779326/</w:t>
      </w:r>
    </w:p>
    <w:p>
      <w:pPr>
        <w:pStyle w:val="Heading2"/>
      </w:pPr>
      <w:r>
        <w:t>Funktionale Limitierungen bei Depression im Alter folgen eigenen Trajektorien</w:t>
      </w:r>
    </w:p>
    <w:p>
      <w:r>
        <w:rPr>
          <w:i/>
          <w:color w:val="666666"/>
          <w:sz w:val="18"/>
        </w:rPr>
        <w:t>Fredriksen KH et al.  ·  J Affect Disord  ·  15.12.2026  ·  PMID 42716343</w:t>
      </w:r>
    </w:p>
    <w:p>
      <w:r>
        <w:t>Niederländische Langzeitstudie an 355 älteren depressiven Patienten über sechs Jahre mit wiederholten Messungen in sechs Funktionsbereichen (Kognition, Mobilität, Selbstversorgung, soziale Beziehungen, Haushaltsaktivitäten, gesellschaftliche Partizipation).</w:t>
      </w:r>
    </w:p>
    <w:p>
      <w:r>
        <w:rPr>
          <w:b/>
        </w:rPr>
        <w:t xml:space="preserve">Ergebnis: </w:t>
      </w:r>
      <w:r>
        <w:t>Funktionale Einschränkungen zeigten überwiegend stabile hohe oder niedrige Trajektorien über beide Domänen. In Mobilität, Selbstversorgung und Haushaltsaktivitäten zeigte eine Subgruppe starke Verschlechterung, eine andere in sozialen Beziehungen Verbesserung. Funktionale Trajektorien korrelierten nur schwach mit Symptomverläufen und unterschieden sich zwischen Individuen deutlich – Hinweis auf Bedarf für individualisierte Interventionen unabhängig von depressiver Remission.</w:t>
      </w:r>
    </w:p>
    <w:p>
      <w:r>
        <w:rPr>
          <w:b/>
          <w:sz w:val="19"/>
        </w:rPr>
        <w:t xml:space="preserve">Übertragbarkeit: </w:t>
      </w:r>
      <w:r>
        <w:rPr>
          <w:sz w:val="19"/>
        </w:rPr>
        <w:t>Niederlande, Sozialversicherungssystem vergleichbar mit Deutschland</w:t>
      </w:r>
    </w:p>
    <w:p>
      <w:r>
        <w:rPr>
          <w:color w:val="5A7D3A"/>
          <w:sz w:val="18"/>
        </w:rPr>
        <w:t>https://pubmed.ncbi.nlm.nih.gov/42716343/</w:t>
      </w:r>
    </w:p>
    <w:p>
      <w:pPr>
        <w:pStyle w:val="Heading2"/>
      </w:pPr>
      <w:r>
        <w:t>Bipolares Störung im höheren Alter: Sterblichkeit erhöht, nicht Überleberkohorten-Effekt</w:t>
      </w:r>
    </w:p>
    <w:p>
      <w:r>
        <w:rPr>
          <w:i/>
          <w:color w:val="666666"/>
          <w:sz w:val="18"/>
        </w:rPr>
        <w:t>Bayat N et al.  ·  Am J Geriatr Psychiatry  ·  21.07.2026  ·  PMID 42567731</w:t>
      </w:r>
    </w:p>
    <w:p>
      <w:r>
        <w:t>Niederländische Prospektivkohortenstudie mit 227 Patienten ≥50 Jahren mit bipolarer Störung (DOBi-Studie) verglichen mit 681 alternativen Kontrollpersonen (LASA) über 8 Jahre Nachverfolgung.</w:t>
      </w:r>
    </w:p>
    <w:p>
      <w:r>
        <w:rPr>
          <w:b/>
        </w:rPr>
        <w:t xml:space="preserve">Ergebnis: </w:t>
      </w:r>
      <w:r>
        <w:t>Von 227 Patienten mit bipolarer Störung starben 37 (16,3 %), von Kontrollen 138/681 (20,3 %). Eingeschränkte mittlere Überlebenszeit 2.500,7 Tage (95%-KI 2.419,9–2.581,5) versus 2.607,2 Tage (95%-KI 2.572,3–2.642,0) – Differenz 106,4 Tage (3,5 Monate, p=0,018). Hazard Ratio 1,72 (95%-KI 1,17–2,54, p=0,006). Erhöhte Sterblichkeit persistent, nicht nur Überleberkohorten-Effekt.</w:t>
      </w:r>
    </w:p>
    <w:p>
      <w:r>
        <w:rPr>
          <w:b/>
          <w:sz w:val="19"/>
        </w:rPr>
        <w:t xml:space="preserve">Übertragbarkeit: </w:t>
      </w:r>
      <w:r>
        <w:rPr>
          <w:sz w:val="19"/>
        </w:rPr>
        <w:t>Niederlande, vergleichbares Gesundheitssystem und Sozialversicherung</w:t>
      </w:r>
    </w:p>
    <w:p>
      <w:r>
        <w:rPr>
          <w:color w:val="5A7D3A"/>
          <w:sz w:val="18"/>
        </w:rPr>
        <w:t>https://pubmed.ncbi.nlm.nih.gov/42567731/</w:t>
      </w:r>
    </w:p>
    <w:p>
      <w:pPr>
        <w:pStyle w:val="Heading1"/>
      </w:pPr>
      <w:r>
        <w:t>Aufgenommen am 25.09.2026</w:t>
      </w:r>
    </w:p>
    <w:p>
      <w:pPr>
        <w:pStyle w:val="Heading2"/>
      </w:pPr>
      <w:r>
        <w:t>Klinische Entscheidungsmuster von Physiotherapeuten bei Frailty in der Krankenpflege</w:t>
      </w:r>
    </w:p>
    <w:p>
      <w:r>
        <w:rPr>
          <w:i/>
          <w:color w:val="666666"/>
          <w:sz w:val="18"/>
        </w:rPr>
        <w:t>Bloch T et al.  ·  Age Ageing  ·  04.09.2026  ·  PMID 42784539</w:t>
      </w:r>
    </w:p>
    <w:p>
      <w:r>
        <w:t>Delphi-Studie mit 44 US-amerikanischen und kanadischen Therapeuten zu klinischen Reasoning-Strategien bei der Intervention für gebrechliche ältere Menschen in Pflegeheimen.</w:t>
      </w:r>
    </w:p>
    <w:p>
      <w:r>
        <w:rPr>
          <w:b/>
        </w:rPr>
        <w:t xml:space="preserve">Ergebnis: </w:t>
      </w:r>
      <w:r>
        <w:t>Fünf Konsensthemen erreichten ≥75%-Zustimmung: (i) Therapie-Engagement durch patientenzentrierte Aktivitäten, (ii) Mobilität und Bewegungssicherheit, (iii) funktionale Ergebnisse und Belastung, (iv) Schmerzmanagement und kognitive Variabilität, (v) aufgabenspezifische duale Interventionen für ADL-Transfer. 39 von 44 Teilnehmern (89%-Retentionsquote) schlossen alle Runden ab.</w:t>
      </w:r>
    </w:p>
    <w:p>
      <w:r>
        <w:rPr>
          <w:b/>
          <w:sz w:val="19"/>
        </w:rPr>
        <w:t xml:space="preserve">Übertragbarkeit: </w:t>
      </w:r>
      <w:r>
        <w:rPr>
          <w:sz w:val="19"/>
        </w:rPr>
        <w:t>USA/Kanada – Qualitative Evidenz zur Praxis in SNF; Adaptierbarkeit auf deutsches Versorgungssystem mit Anpassungen an Dokumentation und Ressourcen.</w:t>
      </w:r>
    </w:p>
    <w:p>
      <w:r>
        <w:rPr>
          <w:color w:val="5A7D3A"/>
          <w:sz w:val="18"/>
        </w:rPr>
        <w:t>https://pubmed.ncbi.nlm.nih.gov/42784539/</w:t>
      </w:r>
    </w:p>
    <w:p>
      <w:pPr>
        <w:pStyle w:val="Heading2"/>
      </w:pPr>
      <w:r>
        <w:t>Thorakale Muskelattenuation prägt Geschlechts-spezifische Mortalität nach Bypasschirurgie im Alter</w:t>
      </w:r>
    </w:p>
    <w:p>
      <w:r>
        <w:rPr>
          <w:i/>
          <w:color w:val="666666"/>
          <w:sz w:val="18"/>
        </w:rPr>
        <w:t>Krombholz-Reindl P et al.  ·  Med Sci (Basel)  ·  14.09.2026  ·  PMID 42783442</w:t>
      </w:r>
    </w:p>
    <w:p>
      <w:r>
        <w:t>Retrospektive Studie an 479 Patienten (382 Männer, 97 Frauen) untersucht, ob die Muskelqualität (gemessen als Hounsfield Units aus Routinen-CT) die Mortalität nach Koronarer Bypasschirurgie unabhängig vom EuroSCORE II vorhersagt – mit geschlechtsspezifischen Unterschieden.</w:t>
      </w:r>
    </w:p>
    <w:p>
      <w:r>
        <w:rPr>
          <w:b/>
        </w:rPr>
        <w:t xml:space="preserve">Ergebnis: </w:t>
      </w:r>
      <w:r>
        <w:t>Bei Frauen mit niedriger Muskelattenuation (TH4) betrugen die Hazard Ratios für Mortalität 6,6 (1 Jahr), 9,5 (3 Jahre), 6,4 (5 Jahre; alle p≤0,03). Bei Männern zeigte sich ein schwächerer Effekt, der nach Gewichtungsanpassung insignifikant wurde. Hinzufügen von niedriger Muskelattenuation zu EuroSCORE II erhöhte C-Statistik um 0,046 bei Frauen insgesamt (p&lt;0,001).</w:t>
      </w:r>
    </w:p>
    <w:p>
      <w:r>
        <w:rPr>
          <w:b/>
          <w:sz w:val="19"/>
        </w:rPr>
        <w:t xml:space="preserve">Übertragbarkeit: </w:t>
      </w:r>
      <w:r>
        <w:rPr>
          <w:sz w:val="19"/>
        </w:rPr>
        <w:t>Österreich/Deutschland – Universitätszentren; Aussage unabhängig von Versorgungssystem.</w:t>
      </w:r>
    </w:p>
    <w:p>
      <w:r>
        <w:rPr>
          <w:color w:val="5A7D3A"/>
          <w:sz w:val="18"/>
        </w:rPr>
        <w:t>https://pubmed.ncbi.nlm.nih.gov/42783442/</w:t>
      </w:r>
    </w:p>
    <w:p>
      <w:pPr>
        <w:pStyle w:val="Heading2"/>
      </w:pPr>
      <w:r>
        <w:t>Feinstaub und Luftfeuchte verstärken Sturzrisiko und Schlaganfall im Alter durch Frailty</w:t>
      </w:r>
    </w:p>
    <w:p>
      <w:r>
        <w:rPr>
          <w:i/>
          <w:color w:val="666666"/>
          <w:sz w:val="18"/>
        </w:rPr>
        <w:t>Sun M et al.  ·  Front Public Health  ·  09.09.2026  ·  PMID 42780893</w:t>
      </w:r>
    </w:p>
    <w:p>
      <w:r>
        <w:t>Prospektive Kohortenstudie (CHARLS, n=17.197) und Krankenhaus-Stichprobe (n=782) zum Zusammenhang von PM2.5-Exposition, relativer Luftfeuchte und Schlaganfallrisiko, mit Frailty Index als potenzieller Mediator.</w:t>
      </w:r>
    </w:p>
    <w:p>
      <w:r>
        <w:rPr>
          <w:b/>
        </w:rPr>
        <w:t xml:space="preserve">Ergebnis: </w:t>
      </w:r>
      <w:r>
        <w:t>Hohes PM2.5 mit Schlaganfall-Hazard Ratio 1,184 (95% KI 1,083–1,295) in CHARLS. Hohe Luftfeuchte: HR 1,112 (95% KI 1,021–1,212). Beide Expositionen zusammen: HR 1,361 (95% KI 1,171–1,582). Frailty mediierte 18,1 % der PM2.5-Assoziation und 22,3 % der Feuchte-Assoziation.</w:t>
      </w:r>
    </w:p>
    <w:p>
      <w:r>
        <w:rPr>
          <w:b/>
          <w:sz w:val="19"/>
        </w:rPr>
        <w:t xml:space="preserve">Übertragbarkeit: </w:t>
      </w:r>
      <w:r>
        <w:rPr>
          <w:sz w:val="19"/>
        </w:rPr>
        <w:t>China – CHARLS-Kohortendaten; Luftqualität und Klimavariablen sind in Deutschland unterschiedlich, aber Frailty-Pathway-Mechanismus ist übertragbar.</w:t>
      </w:r>
    </w:p>
    <w:p>
      <w:r>
        <w:rPr>
          <w:color w:val="5A7D3A"/>
          <w:sz w:val="18"/>
        </w:rPr>
        <w:t>https://pubmed.ncbi.nlm.nih.gov/42780893/</w:t>
      </w:r>
    </w:p>
    <w:p>
      <w:pPr>
        <w:pStyle w:val="Heading2"/>
      </w:pPr>
      <w:r>
        <w:t>Umfassende Frailty-Erfassung vorhersagt Mortalität nach Herzchirurgie besser als das Fried-Phänotyp allein</w:t>
      </w:r>
    </w:p>
    <w:p>
      <w:r>
        <w:rPr>
          <w:i/>
          <w:color w:val="666666"/>
          <w:sz w:val="18"/>
        </w:rPr>
        <w:t>Silva VBMD et al.  ·  Braz J Cardiovasc Surg  ·  21.09.2026  ·  PMID 42776132</w:t>
      </w:r>
    </w:p>
    <w:p>
      <w:r>
        <w:t>Prospektive Beobachtungsstudie mit 218 Herzchirurgie-Patienten (Klappenchirurgie oder CABG) zur Validierung von Frailty-Definitionen neben dem klassischen Fried-Kriterium durch zusätzliche ernährungsmedizinische, psychologische und funktionelle Variablen.</w:t>
      </w:r>
    </w:p>
    <w:p>
      <w:r>
        <w:rPr>
          <w:b/>
        </w:rPr>
        <w:t xml:space="preserve">Ergebnis: </w:t>
      </w:r>
      <w:r>
        <w:t>Nach Fried: 43,6 % frail, 49,6 % pre-frail. Fried-Phänotyp zeigte keine Assoziation mit Mortalität. Mit zusätzlichen Variablen identifizierte Clusteranalyse zwei Gruppen: In Cluster 1 waren 84,8 % Fried-frail (vs. 27,4 % in Cluster 2, p&lt;0,001), postoperative Infektionsrate 24,2 % vs. 7,1 % (p=0,022), Krankenhausmortalität 27,3 % vs. 9,5 % (p=0,020).</w:t>
      </w:r>
    </w:p>
    <w:p>
      <w:r>
        <w:rPr>
          <w:b/>
          <w:sz w:val="19"/>
        </w:rPr>
        <w:t xml:space="preserve">Übertragbarkeit: </w:t>
      </w:r>
      <w:r>
        <w:rPr>
          <w:sz w:val="19"/>
        </w:rPr>
        <w:t>Brasilien – herzchirurgische Versorgung vergleichbar; Frailty-Assessment-Prinzipien übertragbar auf deutsche Kliniken.</w:t>
      </w:r>
    </w:p>
    <w:p>
      <w:r>
        <w:rPr>
          <w:color w:val="5A7D3A"/>
          <w:sz w:val="18"/>
        </w:rPr>
        <w:t>https://pubmed.ncbi.nlm.nih.gov/42776132/</w:t>
      </w:r>
    </w:p>
    <w:p>
      <w:pPr>
        <w:pStyle w:val="Heading2"/>
      </w:pPr>
      <w:r>
        <w:t>Geriatrische Versorgungskonzepte bei trochantären Femurfrakturen senken Komplikationen und Mortalität</w:t>
      </w:r>
    </w:p>
    <w:p>
      <w:r>
        <w:rPr>
          <w:i/>
          <w:color w:val="666666"/>
          <w:sz w:val="18"/>
        </w:rPr>
        <w:t>Smolka V et al.  ·  Unfallchirurgie (Heidelb)  ·  24.08.2026  ·  PMID 42637918</w:t>
      </w:r>
    </w:p>
    <w:p>
      <w:r>
        <w:t>Übersichtsartikel zur interdisziplinären, multidimensionalen Betreuung geriatrischer Hüftfrakturen nach deutschen Richtlinien mit Fokus auf Schmerzmanagement, Frühmobilisation, Delir- und Ernährungsmanagement, Deprescribing und Sturzprophylaxe.</w:t>
      </w:r>
    </w:p>
    <w:p>
      <w:r>
        <w:rPr>
          <w:b/>
        </w:rPr>
        <w:t xml:space="preserve">Ergebnis: </w:t>
      </w:r>
      <w:r>
        <w:t>Multidimensionale Betreuung reduziert nachweislich die Mortalität, vermeidet Komplikationen durch adäquate Perioperativbetreuung, Frühmobilisation und Entlassungsplanung. Keine spezifischen Zahlenwerte im Abstract genannt, aber eindeutige Evidenz für Mortalitätsreduktion dokumentiert.</w:t>
      </w:r>
    </w:p>
    <w:p>
      <w:r>
        <w:rPr>
          <w:b/>
          <w:sz w:val="19"/>
        </w:rPr>
        <w:t xml:space="preserve">Übertragbarkeit: </w:t>
      </w:r>
      <w:r>
        <w:rPr>
          <w:sz w:val="19"/>
        </w:rPr>
        <w:t>Deutschland – nationale Richtlinien des Gemeinsamen Bundesausschusses seit 2021.</w:t>
      </w:r>
    </w:p>
    <w:p>
      <w:r>
        <w:rPr>
          <w:color w:val="5A7D3A"/>
          <w:sz w:val="18"/>
        </w:rPr>
        <w:t>https://pubmed.ncbi.nlm.nih.gov/42637918/</w:t>
      </w:r>
    </w:p>
    <w:p>
      <w:pPr>
        <w:pStyle w:val="Heading2"/>
      </w:pPr>
      <w:r>
        <w:t>Produktivitäts-angepasste Lebenserwartung in Finnland: Normwerte für bezahlte und unbezahlte Arbeit</w:t>
      </w:r>
    </w:p>
    <w:p>
      <w:r>
        <w:rPr>
          <w:i/>
          <w:color w:val="666666"/>
          <w:sz w:val="18"/>
        </w:rPr>
        <w:t>Lavikainen P et al.  ·  Soc Sci Med  ·  20.08.2026  ·  PMID 42632184</w:t>
      </w:r>
    </w:p>
    <w:p>
      <w:r>
        <w:t>Bevölkerungssurvey von 3.644 finnischen Erwachsenen (Juni–August 2024, Alter 18–79 Jahre) zur Schätzung von Produktivitätsindizes nach Alter und Geschlecht für bezahlte und unbezahlte Arbeit.</w:t>
      </w:r>
    </w:p>
    <w:p>
      <w:r>
        <w:rPr>
          <w:b/>
        </w:rPr>
        <w:t xml:space="preserve">Ergebnis: </w:t>
      </w:r>
      <w:r>
        <w:t>Gewichteter Produktivitätsindex für Gesamtpopulation: 0,770 (Männer 0,780; Frauen 0,760). Produktivitäts-angepasste Lebenserwartung (PALE) mit Undiskontiert für Männer im Alter 20: 42,9 Jahre, mit 1,5%-Diskont 29,3 Jahre. Für Frauen: 46,1, 30,4 Jahre entsprechend. Erste bevölkerungsrepräsentative Normwerte für nordische Länder.</w:t>
      </w:r>
    </w:p>
    <w:p>
      <w:r>
        <w:rPr>
          <w:b/>
          <w:sz w:val="19"/>
        </w:rPr>
        <w:t xml:space="preserve">Übertragbarkeit: </w:t>
      </w:r>
      <w:r>
        <w:rPr>
          <w:sz w:val="19"/>
        </w:rPr>
        <w:t>Finnland – Nordeuropa mit vergleichbarem Sozialsystem; für Deutschland übertragbar auf Struktur, Finanzierung unterscheidet sich.</w:t>
      </w:r>
    </w:p>
    <w:p>
      <w:r>
        <w:rPr>
          <w:color w:val="5A7D3A"/>
          <w:sz w:val="18"/>
        </w:rPr>
        <w:t>https://pubmed.ncbi.nlm.nih.gov/42632184/</w:t>
      </w:r>
    </w:p>
    <w:p>
      <w:pPr>
        <w:pStyle w:val="Heading1"/>
      </w:pPr>
      <w:r>
        <w:t>Aufgenommen am 24.09.2026</w:t>
      </w:r>
    </w:p>
    <w:p>
      <w:pPr>
        <w:pStyle w:val="Heading2"/>
      </w:pPr>
      <w:r>
        <w:t>Mitochondriale Dynamik im Altern: Ansätze zur Prävention von Herz- und Hirnerkrankungen</w:t>
      </w:r>
    </w:p>
    <w:p>
      <w:r>
        <w:rPr>
          <w:i/>
          <w:color w:val="666666"/>
          <w:sz w:val="18"/>
        </w:rPr>
        <w:t>Yin Y et al.  ·  Aging Cell  ·  Okt. 2026  ·  PMID 42775668</w:t>
      </w:r>
    </w:p>
    <w:p>
      <w:r>
        <w:t>Narrativer Übersichtsartikel zu Rolle der Mitochondrialen Fusion und Fission bei altersbezogenen Herz- und Hirnerkrankungen (Alzheimer, Parkinson, atheroskleroische kardiozerebrovale Erkrankungen) und therapeutischen Strategien (Ausdauertraining, Metformin, Dapagliflozin, Irbesartan, TCM-Komponenten).</w:t>
      </w:r>
    </w:p>
    <w:p>
      <w:r>
        <w:rPr>
          <w:b/>
        </w:rPr>
        <w:t xml:space="preserve">Ergebnis: </w:t>
      </w:r>
      <w:r>
        <w:t>Beeinträchtigte mitochondriale Dynamik liegt vielen altersassoziierten Krankheiten zugrunde; verschiedene Trainings- und Medikamentenansätze zeigen Potenzial zur Verbesserung von Herzgesundheit und Hirngesundheit durch Wiederherstellung mitochondrialer Plastizität; Mechanismen umfassen Verbesserung von Energiestoffwechsel und Reduktion von Entzündung und Seneszenz.</w:t>
      </w:r>
    </w:p>
    <w:p>
      <w:r>
        <w:rPr>
          <w:b/>
          <w:sz w:val="19"/>
        </w:rPr>
        <w:t xml:space="preserve">Übertragbarkeit: </w:t>
      </w:r>
      <w:r>
        <w:rPr>
          <w:sz w:val="19"/>
        </w:rPr>
        <w:t>Überwiegend präklinische und Tiermodelle; klinische Übertragbarkeit für ausgewählte Interventionen (Training, Metformin) gegeben.</w:t>
      </w:r>
    </w:p>
    <w:p>
      <w:r>
        <w:rPr>
          <w:color w:val="5A7D3A"/>
          <w:sz w:val="18"/>
        </w:rPr>
        <w:t>https://pubmed.ncbi.nlm.nih.gov/42775668/</w:t>
      </w:r>
    </w:p>
    <w:p>
      <w:pPr>
        <w:pStyle w:val="Heading2"/>
      </w:pPr>
      <w:r>
        <w:t>Einbindung Älterer in Versorgungsforschung: Praktische Erfolgsfaktoren aus Australien</w:t>
      </w:r>
    </w:p>
    <w:p>
      <w:r>
        <w:rPr>
          <w:i/>
          <w:color w:val="666666"/>
          <w:sz w:val="18"/>
        </w:rPr>
        <w:t>Thillainadesan J et al.  ·  Public Health Res Pract  ·  24.09.2026  ·  PMID 42767663</w:t>
      </w:r>
    </w:p>
    <w:p>
      <w:r>
        <w:t>Qualitative Studie zur Etablierung einer konsumentengesteuerten Forschungsberatungsgruppe in einem Altersbetreuungszentrum mit 8 älteren Teilnehmern (Australien); Dokumentation von Rekrutierungs-, Unterstützungs- und Beteiligungsprozessen.</w:t>
      </w:r>
    </w:p>
    <w:p>
      <w:r>
        <w:rPr>
          <w:b/>
        </w:rPr>
        <w:t xml:space="preserve">Ergebnis: </w:t>
      </w:r>
      <w:r>
        <w:t>Erfolgsfaktoren: Inklusives Auswahlverfahren, Honorierung, Barrierefreiheit, sensibilisierte Kommunikation, vertrauensvolle Umgebung, orientierungsgerichtete Einführung und Training; Teilnehmer berichtet positive Erfahrungen und waren motiviert durch Wunsch, ihre Lebenserfahrung zum Nutzen anderer einzubringen; Machbarkeit und Förderfähigkeit von Älteren-Einbindung demonstriert.</w:t>
      </w:r>
    </w:p>
    <w:p>
      <w:r>
        <w:rPr>
          <w:b/>
          <w:sz w:val="19"/>
        </w:rPr>
        <w:t xml:space="preserve">Übertragbarkeit: </w:t>
      </w:r>
      <w:r>
        <w:rPr>
          <w:sz w:val="19"/>
        </w:rPr>
        <w:t>Australische Versorgungsforschung, methodisch auf deutschsprachige Settings übertragbar.</w:t>
      </w:r>
    </w:p>
    <w:p>
      <w:r>
        <w:rPr>
          <w:color w:val="5A7D3A"/>
          <w:sz w:val="18"/>
        </w:rPr>
        <w:t>https://pubmed.ncbi.nlm.nih.gov/42767663/</w:t>
      </w:r>
    </w:p>
    <w:p>
      <w:pPr>
        <w:pStyle w:val="Heading2"/>
      </w:pPr>
      <w:r>
        <w:t>Grippe-Impfstoff höherer Dosierung senkt Hospitalisierungen bei gebrechlichen Älteren stärker</w:t>
      </w:r>
    </w:p>
    <w:p>
      <w:r>
        <w:rPr>
          <w:i/>
          <w:color w:val="666666"/>
          <w:sz w:val="18"/>
        </w:rPr>
        <w:t>Espersen C et al.  ·  Lancet Healthy Longev  ·  17.09.2026  ·  PMID 42753782</w:t>
      </w:r>
    </w:p>
    <w:p>
      <w:r>
        <w:t>Dänische randomisierte Studie zu Wirksamkeit hochdosierter versus Standarddosis-Influenzaimpfung bei 332.438 älteren Personen (≥65 Jahre), stratifiziert nach Gebrechlichkeitsrisiko mittels Hospital Frailty Risk Score.</w:t>
      </w:r>
    </w:p>
    <w:p>
      <w:r>
        <w:rPr>
          <w:b/>
        </w:rPr>
        <w:t xml:space="preserve">Ergebnis: </w:t>
      </w:r>
      <w:r>
        <w:t>Bei Personen mit hohem Gebrechlichkeitsrisiko zeigte die hochdosierte Impfung eine relative Wirksamkeit von 19,9 % (95%-KI −10,3 bis 42,1) gegen Hospitalisierungen durch Influenza/Lungenentzündung versus 0,2 % (−10,8 bis 10,2) bei niedrigem Risiko; die Interaktion war jedoch nicht signifikant kategorisch (p=0,17), sodass die Autoren die Ergebnisse als explorativ einstufen.</w:t>
      </w:r>
    </w:p>
    <w:p>
      <w:r>
        <w:rPr>
          <w:b/>
          <w:sz w:val="19"/>
        </w:rPr>
        <w:t xml:space="preserve">Übertragbarkeit: </w:t>
      </w:r>
      <w:r>
        <w:rPr>
          <w:sz w:val="19"/>
        </w:rPr>
        <w:t>Dänische Gesundheitsdaten, europäisches System mit vergleichbarer Impfstoffverfügbarkeit.</w:t>
      </w:r>
    </w:p>
    <w:p>
      <w:r>
        <w:rPr>
          <w:color w:val="5A7D3A"/>
          <w:sz w:val="18"/>
        </w:rPr>
        <w:t>https://pubmed.ncbi.nlm.nih.gov/42753782/</w:t>
      </w:r>
    </w:p>
    <w:p>
      <w:pPr>
        <w:pStyle w:val="Heading2"/>
      </w:pPr>
      <w:r>
        <w:t>Kurzzeitige Prehabilitation vor elektiver Operation senkt Pflegebedürftigkeit bei gebrechlichen Älteren nicht</w:t>
      </w:r>
    </w:p>
    <w:p>
      <w:r>
        <w:rPr>
          <w:i/>
          <w:color w:val="666666"/>
          <w:sz w:val="18"/>
        </w:rPr>
        <w:t>Spies C et al.  ·  Lancet Healthy Longev  ·  15.09.2026  ·  PMID 42743945</w:t>
      </w:r>
    </w:p>
    <w:p>
      <w:r>
        <w:t>Deutschlandweite randomisierte Studie an 1.199 Personen (Alter ≥70 Jahre) mit Frailty oder Prefrailty zu Effekt einer 3-wöchigen supervidierten multimodalen Prehabilitation auf Pflegabhängigkeit 12 Monate postoperativ.</w:t>
      </w:r>
    </w:p>
    <w:p>
      <w:r>
        <w:rPr>
          <w:b/>
        </w:rPr>
        <w:t xml:space="preserve">Ergebnis: </w:t>
      </w:r>
      <w:r>
        <w:t>Keine signifikanten Unterschiede zwischen Prehabilitation und Standard-Care in der Veränderung der Langzeitpflegeabhängigkeit (ordinale Skala 0–5): mittlere Differenz −0,1 (95%-KI −0,25 bis 0,07; p=0,26); 32 Sicherheitsereignisse in der Interventionsgruppe, meist nicht kausal bezogen.</w:t>
      </w:r>
    </w:p>
    <w:p>
      <w:r>
        <w:rPr>
          <w:b/>
          <w:sz w:val="19"/>
        </w:rPr>
        <w:t xml:space="preserve">Übertragbarkeit: </w:t>
      </w:r>
      <w:r>
        <w:rPr>
          <w:sz w:val="19"/>
        </w:rPr>
        <w:t>Deutsche Klinikdaten, G-BA-finanziert, direkt auf deutsches Gesundheitssystem übertragbar.</w:t>
      </w:r>
    </w:p>
    <w:p>
      <w:r>
        <w:rPr>
          <w:color w:val="5A7D3A"/>
          <w:sz w:val="18"/>
        </w:rPr>
        <w:t>https://pubmed.ncbi.nlm.nih.gov/42743945/</w:t>
      </w:r>
    </w:p>
    <w:p>
      <w:pPr>
        <w:pStyle w:val="Heading2"/>
      </w:pPr>
      <w:r>
        <w:t>Wissenslücken in geriatrischen Kompetenzen im DACH-Raum: Demenz, Depression, Sarkopenie prioritär</w:t>
      </w:r>
    </w:p>
    <w:p>
      <w:r>
        <w:rPr>
          <w:i/>
          <w:color w:val="666666"/>
          <w:sz w:val="18"/>
        </w:rPr>
        <w:t>Honegger M et al.  ·  Z Gerontol Geriatr  ·  07.09.2026  ·  PMID 42704433</w:t>
      </w:r>
    </w:p>
    <w:p>
      <w:r>
        <w:t>Sekundäranalyse einer europäischen Online-Befragung: 291 Gesundheitsfachkräfte aus Deutschland, Österreich und der Schweiz wurden zu Selbsteinschätzung geriatrischer Kompetenz und Fortbildungsbedarf befragt und mit 5.134 Fachkräften aus übrigen europäischen Ländern verglichen.</w:t>
      </w:r>
    </w:p>
    <w:p>
      <w:r>
        <w:rPr>
          <w:b/>
        </w:rPr>
        <w:t xml:space="preserve">Ergebnis: </w:t>
      </w:r>
      <w:r>
        <w:t>DACH-Fachkräfte schätzten ihre geriatrischen Kenntnisse höher ein als Kollegen anderswo, zeigten aber substantielle Lücken in Demenz, Depression, chronischen Schmerzen, kognitiven Screenings und Sarkopenie; Fortbildungsbedarf überstieg selbst eingeschätzte Kompetenz in allen Ländern.</w:t>
      </w:r>
    </w:p>
    <w:p>
      <w:r>
        <w:rPr>
          <w:b/>
          <w:sz w:val="19"/>
        </w:rPr>
        <w:t xml:space="preserve">Übertragbarkeit: </w:t>
      </w:r>
      <w:r>
        <w:rPr>
          <w:sz w:val="19"/>
        </w:rPr>
        <w:t>DACH-Umfrage mit direktem Bezug zu deutschem, österreichischem und Schweizer Gesundheitswesen.</w:t>
      </w:r>
    </w:p>
    <w:p>
      <w:r>
        <w:rPr>
          <w:color w:val="5A7D3A"/>
          <w:sz w:val="18"/>
        </w:rPr>
        <w:t>https://pubmed.ncbi.nlm.nih.gov/42704433/</w:t>
      </w:r>
    </w:p>
    <w:p>
      <w:pPr>
        <w:pStyle w:val="Heading2"/>
      </w:pPr>
      <w:r>
        <w:t>Multikomponenten-Delirprogramme reduzieren Delirinzidenz um 44 % – Evidenzbasis und Implementierung</w:t>
      </w:r>
    </w:p>
    <w:p>
      <w:r>
        <w:rPr>
          <w:i/>
          <w:color w:val="666666"/>
          <w:sz w:val="18"/>
        </w:rPr>
        <w:t>Thomas C et al.  ·  Z Gerontol Geriatr  ·  25.08.2026  ·  PMID 42640287</w:t>
      </w:r>
    </w:p>
    <w:p>
      <w:r>
        <w:t>Narrativer Übersichtsartikel mit Darstellung der Evidenz zu nichtpharmakologischen Multikomponenten-Interventionen (HELP, ABCDE-Bundle, CHOPS, AKTIVER) in der Delirprävention und des Delirmanagements bei älteren Patienten.</w:t>
      </w:r>
    </w:p>
    <w:p>
      <w:r>
        <w:rPr>
          <w:b/>
        </w:rPr>
        <w:t xml:space="preserve">Ergebnis: </w:t>
      </w:r>
      <w:r>
        <w:t>Zwei 2026 publizierte Metaanalysen zeigen, dass multikomponentale nichtpharmakologische Programme die Delirinzidenz um 44 % reduzierten und Dauer bestehender Delire signifikant verkürzten; pharmakologische Strategien zeigten keinen konsistenten Nutzen außer Dexmedetomidin in ausgewählten perioperativen Settings; S3-Leitlinie empfiehlt strukturierte, interprofessionelle, personenzentrierte Delirprogramme als Standard.</w:t>
      </w:r>
    </w:p>
    <w:p>
      <w:r>
        <w:rPr>
          <w:b/>
          <w:sz w:val="19"/>
        </w:rPr>
        <w:t xml:space="preserve">Übertragbarkeit: </w:t>
      </w:r>
      <w:r>
        <w:rPr>
          <w:sz w:val="19"/>
        </w:rPr>
        <w:t>Deutsche S3-Leitlinie und deutsche Studienprogramme (AKTIVER), direkt übertragbar auf deutsches Versorgungssystem.</w:t>
      </w:r>
    </w:p>
    <w:p>
      <w:r>
        <w:rPr>
          <w:color w:val="5A7D3A"/>
          <w:sz w:val="18"/>
        </w:rPr>
        <w:t>https://pubmed.ncbi.nlm.nih.gov/42640287/</w:t>
      </w:r>
    </w:p>
    <w:p>
      <w:pPr>
        <w:pStyle w:val="Heading1"/>
      </w:pPr>
      <w:r>
        <w:t>Aufgenommen am 23.09.2026</w:t>
      </w:r>
    </w:p>
    <w:p>
      <w:pPr>
        <w:pStyle w:val="Heading2"/>
      </w:pPr>
      <w:r>
        <w:t>Todesursachen im Lebensverlauf in Südostasien: regionale Ungleichgewichte 2023</w:t>
      </w:r>
    </w:p>
    <w:p>
      <w:r>
        <w:rPr>
          <w:i/>
          <w:color w:val="666666"/>
          <w:sz w:val="18"/>
        </w:rPr>
        <w:t>GBD 2023 ASEAN Causes of Death Collaborators  ·  Lancet Public Health  ·  Okt. 2026  ·  PMID 42772298</w:t>
      </w:r>
    </w:p>
    <w:p>
      <w:r>
        <w:t>GBD-2023-Analyse der Todesursachen und Lebenserwartung von Geburt bis 70 Jahre in elf ASEAN-Ländern, stratifiziert nach Alter und Geschlecht.</w:t>
      </w:r>
    </w:p>
    <w:p>
      <w:r>
        <w:rPr>
          <w:b/>
        </w:rPr>
        <w:t xml:space="preserve">Ergebnis: </w:t>
      </w:r>
      <w:r>
        <w:t>Regionale Lebenserwartung 2023: 70,1 Jahre Männer (95%-UI 69,6–70,7), 76,2 Jahre Frauen (75,7–76,7); Range 62,1 Jahre (Myanmar, Männer) bis 87,5 Jahre (Singapur, Frauen). Unfallverletzungen führend in Adoleszenz/frühem Erwachsenenalter; nicht-übertragbare Krankheiten dominant in mittlerem Alter. Tabakkonsum dominierender Risikofaktor bei Männern, Hypertonie bei Frauen.</w:t>
      </w:r>
    </w:p>
    <w:p>
      <w:r>
        <w:rPr>
          <w:b/>
          <w:sz w:val="19"/>
        </w:rPr>
        <w:t xml:space="preserve">Übertragbarkeit: </w:t>
      </w:r>
      <w:r>
        <w:rPr>
          <w:sz w:val="19"/>
        </w:rPr>
        <w:t>Südostasien, breite Systeme mit unterschiedlicher Infrastruktur – Befunde zu Risiken und Disparitäten sind relevant</w:t>
      </w:r>
    </w:p>
    <w:p>
      <w:r>
        <w:rPr>
          <w:color w:val="5A7D3A"/>
          <w:sz w:val="18"/>
        </w:rPr>
        <w:t>https://pubmed.ncbi.nlm.nih.gov/42772298/</w:t>
      </w:r>
    </w:p>
    <w:p>
      <w:pPr>
        <w:pStyle w:val="Heading2"/>
      </w:pPr>
      <w:r>
        <w:t>Institutionelles geriatrisches Versorgungsmodell in Mexiko: GeriatrIMSS-Struktur und Ergebnisse</w:t>
      </w:r>
    </w:p>
    <w:p>
      <w:r>
        <w:rPr>
          <w:i/>
          <w:color w:val="666666"/>
          <w:sz w:val="18"/>
        </w:rPr>
        <w:t>Medina-Chávez JH et al.  ·  Rev Med Inst Mex Seguro Soc  ·  02.09.2026  ·  PMID 42771824</w:t>
      </w:r>
    </w:p>
    <w:p>
      <w:r>
        <w:t>Beschreibung des mexikanischen GeriatrIMSS-Modells, eines umfassenden institutionellen Plans der Seguridad Social zur Reaktion auf Alterung, Multimorbidität und nicht-übertragbare Krankheiten bei älteren Versicherten.</w:t>
      </w:r>
    </w:p>
    <w:p>
      <w:r>
        <w:rPr>
          <w:b/>
        </w:rPr>
        <w:t xml:space="preserve">Ergebnis: </w:t>
      </w:r>
      <w:r>
        <w:t>GeriatrIMSS beruht auf vier Säulen: Prävention (PREVENIMSS), umfassende geriatrische Versorgung, Bildung und Forschung. Modell stärkt operative Kapazitäten, reorientiert Prozesse und Services für ältere Menschen, verbessert Versorgungsqualität und Zufriedenheit bei Nutzern und Angehörigen – positioniert Mexiko international an Vorderfront der Altenpflege.</w:t>
      </w:r>
    </w:p>
    <w:p>
      <w:r>
        <w:rPr>
          <w:b/>
          <w:sz w:val="19"/>
        </w:rPr>
        <w:t xml:space="preserve">Übertragbarkeit: </w:t>
      </w:r>
      <w:r>
        <w:rPr>
          <w:sz w:val="19"/>
        </w:rPr>
        <w:t>Mexiko, Sozialversicherungssystem nicht direkt vergleichbar – Strukturideen zu sektorenübergreifender Integration sind relevant</w:t>
      </w:r>
    </w:p>
    <w:p>
      <w:r>
        <w:rPr>
          <w:color w:val="5A7D3A"/>
          <w:sz w:val="18"/>
        </w:rPr>
        <w:t>https://pubmed.ncbi.nlm.nih.gov/42771824/</w:t>
      </w:r>
    </w:p>
    <w:p>
      <w:pPr>
        <w:pStyle w:val="Heading2"/>
      </w:pPr>
      <w:r>
        <w:t>Stärkenorientierte Geriatrische Assessments: Reserve statt nur Defizite dokumentieren</w:t>
      </w:r>
    </w:p>
    <w:p>
      <w:r>
        <w:rPr>
          <w:i/>
          <w:color w:val="666666"/>
          <w:sz w:val="18"/>
        </w:rPr>
        <w:t>Cooke J et al.  ·  Age Ageing  ·  04.09.2026  ·  PMID 42771779</w:t>
      </w:r>
    </w:p>
    <w:p>
      <w:r>
        <w:t>Konzeptionelle Analyse zur Geriatrischen Comprehensive Assessment (CGA) und Frailty-Modellen in der britischen Geriatrie, die Möglichkeit einer reserve-fokussierten Ergänzung zu defizitorientierten Assessments.</w:t>
      </w:r>
    </w:p>
    <w:p>
      <w:r>
        <w:rPr>
          <w:b/>
        </w:rPr>
        <w:t xml:space="preserve">Ergebnis: </w:t>
      </w:r>
      <w:r>
        <w:t>CGA dokumentiert vorwiegend Beeinträchtigungen, nicht Kapazität und Reserve. Diese Fokussierung auf Defizite prägt Patientenidentität negativ. Stärkenorientierte Ansätze können Prognostizierung verbessern, Interventionen personalisieren und Patientenagentur unterstützen – ohne Risikoaufmerksamkeit aufzugeben.</w:t>
      </w:r>
    </w:p>
    <w:p>
      <w:r>
        <w:rPr>
          <w:b/>
          <w:sz w:val="19"/>
        </w:rPr>
        <w:t xml:space="preserve">Übertragbarkeit: </w:t>
      </w:r>
      <w:r>
        <w:rPr>
          <w:sz w:val="19"/>
        </w:rPr>
        <w:t>Großbritannien, konzeptuell auf alle europäischen Systeme übertragbar</w:t>
      </w:r>
    </w:p>
    <w:p>
      <w:r>
        <w:rPr>
          <w:color w:val="5A7D3A"/>
          <w:sz w:val="18"/>
        </w:rPr>
        <w:t>https://pubmed.ncbi.nlm.nih.gov/42771779/</w:t>
      </w:r>
    </w:p>
    <w:p>
      <w:pPr>
        <w:pStyle w:val="Heading2"/>
      </w:pPr>
      <w:r>
        <w:t>Benzolexposition und Psychische Störungen: Biologisches Altern als Vermittler</w:t>
      </w:r>
    </w:p>
    <w:p>
      <w:r>
        <w:rPr>
          <w:i/>
          <w:color w:val="666666"/>
          <w:sz w:val="18"/>
        </w:rPr>
        <w:t>Wu Y et al.  ·  Ecotoxicol Environ Saf  ·  15.09.2026  ·  PMID 42705027</w:t>
      </w:r>
    </w:p>
    <w:p>
      <w:r>
        <w:t>UK-Biobank-Kohortenstudie an 410.207 Personen zur Assoziation zwischen langjähriger Benzolexposition und psychiatrischen Störungen, mit beschleunigtem Altern (PhenoAge) als potenzieller Mediator.</w:t>
      </w:r>
    </w:p>
    <w:p>
      <w:r>
        <w:rPr>
          <w:b/>
        </w:rPr>
        <w:t xml:space="preserve">Ergebnis: </w:t>
      </w:r>
      <w:r>
        <w:t>Über 14,8 Jahre Nachbeobachtung: 64.270 Personen entwickelten psychiatrische Störungen. Jede Interquartilbereichs-Steigerung Benzol assoziiert mit erhöhtem Risiko für jede psychiatrische Störung (HR 1,040, 95%-KI 1,028–1,053) und multiple psychiatrische Störungen (HR 1,062, 1,039–1,086). Beschleunigtes PhenoAge vermittelte 7,85% (95%-KI 5,57–11,12%) der Assoziation bei jeder psychiatrischen Störung, 17,26% (9,01–80,54%) bei multiplen Störungen.</w:t>
      </w:r>
    </w:p>
    <w:p>
      <w:r>
        <w:rPr>
          <w:b/>
          <w:sz w:val="19"/>
        </w:rPr>
        <w:t xml:space="preserve">Übertragbarkeit: </w:t>
      </w:r>
      <w:r>
        <w:rPr>
          <w:sz w:val="19"/>
        </w:rPr>
        <w:t>UK-Biobank, Umweltdatenverfügbarkeit und Versicherungssystem nicht direkt übertragbar – Expositions-Gesundheitsmechanismus ist relevant</w:t>
      </w:r>
    </w:p>
    <w:p>
      <w:r>
        <w:rPr>
          <w:color w:val="5A7D3A"/>
          <w:sz w:val="18"/>
        </w:rPr>
        <w:t>https://pubmed.ncbi.nlm.nih.gov/42705027/</w:t>
      </w:r>
    </w:p>
    <w:p>
      <w:pPr>
        <w:pStyle w:val="Heading2"/>
      </w:pPr>
      <w:r>
        <w:t>Mobilitätsverlust und Einsamkeit im Alter: Lebenslange Folgen trotz Erholung</w:t>
      </w:r>
    </w:p>
    <w:p>
      <w:r>
        <w:rPr>
          <w:i/>
          <w:color w:val="666666"/>
          <w:sz w:val="18"/>
        </w:rPr>
        <w:t>Augustsson E et al.  ·  J Gerontol B Psychol Sci Soc Sci  ·  04.09.2026  ·  PMID 42554850</w:t>
      </w:r>
    </w:p>
    <w:p>
      <w:r>
        <w:t>Europäische Längsschnitt-Kohortenstudie (SHARE) an 4.109 Personen ab 65 Jahren mit neu aufgetretenen Mobilitätseinschränkungen, wovon 2.018 innerhalb von 2 Jahren genasen, zum Verlauf von Einsamkeit bis 4 Jahre später.</w:t>
      </w:r>
    </w:p>
    <w:p>
      <w:r>
        <w:rPr>
          <w:b/>
        </w:rPr>
        <w:t xml:space="preserve">Ergebnis: </w:t>
      </w:r>
      <w:r>
        <w:t>Einsamkeit stieg nach Mobilitätsverlust an. Personen mit anhaltenden Einschränkungen zeigten Weiterzunahme; genesene Personen stabilisierten sich, kehrten aber nicht zu Vorniveaus zurück. Frühe Interventionen zur Begrenzung von Mobilitätseinschränkungen könnten nachfolgende Einsamkeit reduzieren.</w:t>
      </w:r>
    </w:p>
    <w:p>
      <w:r>
        <w:rPr>
          <w:b/>
          <w:sz w:val="19"/>
        </w:rPr>
        <w:t xml:space="preserve">Übertragbarkeit: </w:t>
      </w:r>
      <w:r>
        <w:rPr>
          <w:sz w:val="19"/>
        </w:rPr>
        <w:t>Schweden/SHARE-Daten, vergleichbare europäische Gesundheitssysteme</w:t>
      </w:r>
    </w:p>
    <w:p>
      <w:r>
        <w:rPr>
          <w:color w:val="5A7D3A"/>
          <w:sz w:val="18"/>
        </w:rPr>
        <w:t>https://pubmed.ncbi.nlm.nih.gov/42554850/</w:t>
      </w:r>
    </w:p>
    <w:p>
      <w:pPr>
        <w:pStyle w:val="Heading2"/>
      </w:pPr>
      <w:r>
        <w:t>Europäische Sozialversicherung unter Druck: Versorgungskapazität statt Finanzierung als Engpass</w:t>
      </w:r>
    </w:p>
    <w:p>
      <w:r>
        <w:rPr>
          <w:i/>
          <w:color w:val="666666"/>
          <w:sz w:val="18"/>
        </w:rPr>
        <w:t>Jones CH et al.  ·  Drug Discov Today  ·  20.07.2026  ·  PMID 42476293</w:t>
      </w:r>
    </w:p>
    <w:p>
      <w:r>
        <w:t>Perspektivartikel zu Herausforderungen der europäischen Sozialversicherung durch demografische Alterung, Multimorbidität und Polypharmazie, mit 24–36-Monats-Agenda für Systemreformen.</w:t>
      </w:r>
    </w:p>
    <w:p>
      <w:r>
        <w:rPr>
          <w:b/>
        </w:rPr>
        <w:t xml:space="preserve">Ergebnis: </w:t>
      </w:r>
      <w:r>
        <w:t>Längeres Leben führt zu Multimorbidität, Polypharmazie, Demenz, Mobilitätsverlust – Versorgungskapazität wird zum Engpass statt Finanzierbarkeit. Vier zentrale Reformmaßnahmen: (1) Professionalisierung der Langzeitpflegekräfte, (2) Apotheker-geführte Medikamentenüberprüfung, (3) Ausbau von Heim- und Übergangspflege, (4) integrierte Entlassungszusammenfassungen und Medikamentenlisten über Sektoren hinweg als Routine.</w:t>
      </w:r>
    </w:p>
    <w:p>
      <w:r>
        <w:rPr>
          <w:b/>
          <w:sz w:val="19"/>
        </w:rPr>
        <w:t xml:space="preserve">Übertragbarkeit: </w:t>
      </w:r>
      <w:r>
        <w:rPr>
          <w:sz w:val="19"/>
        </w:rPr>
        <w:t>Europa, konzeptuell auf deutsche Sozialversicherung direkt übertragbar</w:t>
      </w:r>
    </w:p>
    <w:p>
      <w:r>
        <w:rPr>
          <w:color w:val="5A7D3A"/>
          <w:sz w:val="18"/>
        </w:rPr>
        <w:t>https://pubmed.ncbi.nlm.nih.gov/42476293/</w:t>
      </w:r>
    </w:p>
    <w:p>
      <w:pPr>
        <w:pStyle w:val="Heading1"/>
      </w:pPr>
      <w:r>
        <w:t>Aufgenommen am 22.09.2026</w:t>
      </w:r>
    </w:p>
    <w:p>
      <w:pPr>
        <w:pStyle w:val="Heading2"/>
      </w:pPr>
      <w:r>
        <w:t>Instrumente zur Erfassung der intrinsic capacity im Alter: Scoping Review und Bewertung</w:t>
      </w:r>
    </w:p>
    <w:p>
      <w:r>
        <w:rPr>
          <w:i/>
          <w:color w:val="666666"/>
          <w:sz w:val="18"/>
        </w:rPr>
        <w:t>Henrotin Y et al.  ·  Age Ageing  ·  04.09.2026  ·  PMID 42765723</w:t>
      </w:r>
    </w:p>
    <w:p>
      <w:r>
        <w:t>Scoping Review identifizierte 61 validierte Instrumente zur Messung der intrinsic capacity (körperliche und mentale Fähigkeiten) älterer Erwachsener über fünf Domänen (kognitiv, kardiopulmonal, lokomotorerisch, psychisch, sensorisch).</w:t>
      </w:r>
    </w:p>
    <w:p>
      <w:r>
        <w:rPr>
          <w:b/>
        </w:rPr>
        <w:t xml:space="preserve">Ergebnis: </w:t>
      </w:r>
      <w:r>
        <w:t>Nur zwei Instrumente (GAD-7, EUROQOL-5D) erreichten maximale Expertenratings. Erhebliche Lücken bei der Erfassung sensorischer Fähigkeiten. Sehr wenige Instrumente waren für Erwachsene unter 60 Jahren geeignet. Heterogenität in Gültigkeit und Anwendbarkeit deutet auf Bedarf für entwicklung eines umfassenden, standardisierten Assessment-Tools hin.</w:t>
      </w:r>
    </w:p>
    <w:p>
      <w:r>
        <w:rPr>
          <w:b/>
          <w:sz w:val="19"/>
        </w:rPr>
        <w:t xml:space="preserve">Übertragbarkeit: </w:t>
      </w:r>
      <w:r>
        <w:rPr>
          <w:sz w:val="19"/>
        </w:rPr>
        <w:t>Europäische und nordamerikanische Kohorten; transferierbar auf deutschsprachige Versorgung</w:t>
      </w:r>
    </w:p>
    <w:p>
      <w:r>
        <w:rPr>
          <w:color w:val="5A7D3A"/>
          <w:sz w:val="18"/>
        </w:rPr>
        <w:t>https://pubmed.ncbi.nlm.nih.gov/42765723/</w:t>
      </w:r>
    </w:p>
    <w:p>
      <w:pPr>
        <w:pStyle w:val="Heading2"/>
      </w:pPr>
      <w:r>
        <w:t>Gefäßalterung: Funktionsmarker vorhersagen kardiovaskuläres Risiko unabhängig vom Alter</w:t>
      </w:r>
    </w:p>
    <w:p>
      <w:r>
        <w:rPr>
          <w:i/>
          <w:color w:val="666666"/>
          <w:sz w:val="18"/>
        </w:rPr>
        <w:t>Yang L et al.  ·  J Clin Hypertens (Greenwich)  ·  Sept. 2026  ·  PMID 42730543</w:t>
      </w:r>
    </w:p>
    <w:p>
      <w:r>
        <w:t>Querschnittsstudie an 3.354 chinesischen Erwachsenen (18–80 Jahre) untersuchte, ob Pulsdruckanalyse-Parameter (SEVR, Augmentationsdruck, Augmentationsindex) mit dem 10-Jahres-ASCVD-Risiko assoziiert sind.</w:t>
      </w:r>
    </w:p>
    <w:p>
      <w:r>
        <w:rPr>
          <w:b/>
        </w:rPr>
        <w:t xml:space="preserve">Ergebnis: </w:t>
      </w:r>
      <w:r>
        <w:t>SEVR, AP und Aix@75 korrelierten unabhängig mit geschätztem 10-Jahres-ASCVD-Risiko (alle p&lt;0,001). Das Modell erklärte zusätzliche Varianz über traditionelle Risikofaktoren hinaus. Funktionale hämodynamische Marker könnten Risikoschichtung in der Praxis verbessern.</w:t>
      </w:r>
    </w:p>
    <w:p>
      <w:r>
        <w:rPr>
          <w:b/>
          <w:sz w:val="19"/>
        </w:rPr>
        <w:t xml:space="preserve">Übertragbarkeit: </w:t>
      </w:r>
      <w:r>
        <w:rPr>
          <w:sz w:val="19"/>
        </w:rPr>
        <w:t>Chinesische Bevölkerungsdaten; Validierung in europäischen Kohorten notwendig vor Übernahme</w:t>
      </w:r>
    </w:p>
    <w:p>
      <w:r>
        <w:rPr>
          <w:color w:val="5A7D3A"/>
          <w:sz w:val="18"/>
        </w:rPr>
        <w:t>https://pubmed.ncbi.nlm.nih.gov/42730543/</w:t>
      </w:r>
    </w:p>
    <w:p>
      <w:pPr>
        <w:pStyle w:val="Heading2"/>
      </w:pPr>
      <w:r>
        <w:t>Regulierung kognitiver Kompetenz älterer Ärzte: Versorgungspolitische Analyse G7-Länder</w:t>
      </w:r>
    </w:p>
    <w:p>
      <w:r>
        <w:rPr>
          <w:i/>
          <w:color w:val="666666"/>
          <w:sz w:val="18"/>
        </w:rPr>
        <w:t>Potter M et al.  ·  JAMA Health Forum  ·  04.09.2026  ·  PMID 42726493</w:t>
      </w:r>
    </w:p>
    <w:p>
      <w:r>
        <w:t>Vergleichende Analyse von Regulierungsrichtlinien für altersbedingte kognitive Beeinträchtigung bei Ärzten in USA, Kanada und fünf anderen G7-Ländern.</w:t>
      </w:r>
    </w:p>
    <w:p>
      <w:r>
        <w:rPr>
          <w:b/>
        </w:rPr>
        <w:t xml:space="preserve">Ergebnis: </w:t>
      </w:r>
      <w:r>
        <w:t>Kein G7-Land hat standardisierte nationale Verfahren zur kognitiven Screening älterer Ärzte. Meisten Länder verlassen sich auf Selbstregulation und kollegiale Aufsicht. Ausnahmen in USA mit einzelnen Gesundheitssystemen mit obligatorischen altersabhängigen kognitiven Bewertungen. Im Kontrast: Richter, Piloten und Flugsicherung in allen G7-Ländern haben Altersgrenzen oder verpflichtende Tests. Keine empirischen Standards etabliert.</w:t>
      </w:r>
    </w:p>
    <w:p>
      <w:r>
        <w:rPr>
          <w:b/>
          <w:sz w:val="19"/>
        </w:rPr>
        <w:t xml:space="preserve">Übertragbarkeit: </w:t>
      </w:r>
      <w:r>
        <w:rPr>
          <w:sz w:val="19"/>
        </w:rPr>
        <w:t>Alle G7-Länder untersucht; direkt auf Deutschland übertragbar</w:t>
      </w:r>
    </w:p>
    <w:p>
      <w:r>
        <w:rPr>
          <w:color w:val="5A7D3A"/>
          <w:sz w:val="18"/>
        </w:rPr>
        <w:t>https://pubmed.ncbi.nlm.nih.gov/42726493/</w:t>
      </w:r>
    </w:p>
    <w:p>
      <w:pPr>
        <w:pStyle w:val="Heading2"/>
      </w:pPr>
      <w:r>
        <w:t>Blutdruckveränderungen in der Menopause: vergleichbare Muster zwischen Industrieländern und traditionellen Gesellschaften</w:t>
      </w:r>
    </w:p>
    <w:p>
      <w:r>
        <w:rPr>
          <w:i/>
          <w:color w:val="666666"/>
          <w:sz w:val="18"/>
        </w:rPr>
        <w:t>Getz MJ et al.  ·  Am J Biol Anthropol  ·  Juli 2026  ·  PMID 42482412</w:t>
      </w:r>
    </w:p>
    <w:p>
      <w:r>
        <w:t>Vergleich von Blutdrucktrends rund um die Menopause bei 5.570 Tsimane-Frauen (Bolivien) mit 6.861 US-Frauen aus NHANES.</w:t>
      </w:r>
    </w:p>
    <w:p>
      <w:r>
        <w:rPr>
          <w:b/>
        </w:rPr>
        <w:t xml:space="preserve">Ergebnis: </w:t>
      </w:r>
      <w:r>
        <w:t>Systolischer Blutdruck nach Menopause erhöht sich in beiden Populationen ähnlich (b=0,002, p&lt;0,001). Tsimane-Frauen zeigten schnelleren Anstieg mit Alter und weniger dramatischen diastolischen Rückgang. Östrogenkonzentrationen mediierten Effekte nicht. Blutdruckveränderungen in der Menopause sind trotz unterschiedlicher Risikoprofile universal.</w:t>
      </w:r>
    </w:p>
    <w:p>
      <w:r>
        <w:rPr>
          <w:b/>
          <w:sz w:val="19"/>
        </w:rPr>
        <w:t xml:space="preserve">Übertragbarkeit: </w:t>
      </w:r>
      <w:r>
        <w:rPr>
          <w:sz w:val="19"/>
        </w:rPr>
        <w:t>USA und Südamerika, aber universales biologisches Phänomen; epidemiologische Unterschiede relevant</w:t>
      </w:r>
    </w:p>
    <w:p>
      <w:r>
        <w:rPr>
          <w:color w:val="5A7D3A"/>
          <w:sz w:val="18"/>
        </w:rPr>
        <w:t>https://pubmed.ncbi.nlm.nih.gov/42482412/</w:t>
      </w:r>
    </w:p>
    <w:p>
      <w:pPr>
        <w:pStyle w:val="Heading2"/>
      </w:pPr>
      <w:r>
        <w:t>Auditorische Codierung mit Altern: Cochleäre Synaptopathie führt zu Diskriminationsverlust bei Hörstörung</w:t>
      </w:r>
    </w:p>
    <w:p>
      <w:r>
        <w:rPr>
          <w:i/>
          <w:color w:val="666666"/>
          <w:sz w:val="18"/>
        </w:rPr>
        <w:t>Wouters M et al.  ·  Hear Res  ·  18.07.2026  ·  PMID 42475780</w:t>
      </w:r>
    </w:p>
    <w:p>
      <w:r>
        <w:t>EEG-Studie an jüngeren und älteren Erwachsenen mit und ohne Hörstörung untersucht Phonem-Diskrimination und elektrophysiologische Marker der peripheren Codierung (Envelope-Following Responses).</w:t>
      </w:r>
    </w:p>
    <w:p>
      <w:r>
        <w:rPr>
          <w:b/>
        </w:rPr>
        <w:t xml:space="preserve">Ergebnis: </w:t>
      </w:r>
      <w:r>
        <w:t>RAM-EFR-Amplituden nahmen graduell mit Alter ab (konsistent mit Synaptopathie). Phonem-Kontrastdiskrimination verschlechterte sich bei hochfrequenter Codierung mit OHC-Verlust und Alter (p&lt;0,05), nicht aber bei niederfrequenter Codierung. EFR-Rückgang bei hochfrequenten Hinweisen ohne Wahrnehmungsverlust erklärt divergente Muster zwischen Elektrophysiologie und Verhalten. Frühere Diagnose versteckter Hörverluste möglich.</w:t>
      </w:r>
    </w:p>
    <w:p>
      <w:r>
        <w:rPr>
          <w:b/>
          <w:sz w:val="19"/>
        </w:rPr>
        <w:t xml:space="preserve">Übertragbarkeit: </w:t>
      </w:r>
      <w:r>
        <w:rPr>
          <w:sz w:val="19"/>
        </w:rPr>
        <w:t>Belgien und Deutschland; validierte psychophysiologische Methoden übertragbar</w:t>
      </w:r>
    </w:p>
    <w:p>
      <w:r>
        <w:rPr>
          <w:color w:val="5A7D3A"/>
          <w:sz w:val="18"/>
        </w:rPr>
        <w:t>https://pubmed.ncbi.nlm.nih.gov/42475780/</w:t>
      </w:r>
    </w:p>
    <w:p>
      <w:pPr>
        <w:pStyle w:val="Heading2"/>
      </w:pPr>
      <w:r>
        <w:t>Netzhautalterung: OCT-Biomarker zeigen oxidativen Stress in der Makula älterer Menschen</w:t>
      </w:r>
    </w:p>
    <w:p>
      <w:r>
        <w:rPr>
          <w:i/>
          <w:color w:val="666666"/>
          <w:sz w:val="18"/>
        </w:rPr>
        <w:t>Berkowitz BA et al.  ·  Invest Ophthalmol Vis Sci  ·  01.07.2026  ·  PMID 42474423</w:t>
      </w:r>
    </w:p>
    <w:p>
      <w:r>
        <w:t>Querschnittsstudie bei 25 jungen (20–30 Jahre) und 13 älteren (70–90 Jahre) Erwachsenen verglich OCT-basierte Metabolismus-Biomarker (ELM-RPE-Dicke, Band-2-Profilform) als Proxy für Retina-Alterung.</w:t>
      </w:r>
    </w:p>
    <w:p>
      <w:r>
        <w:rPr>
          <w:b/>
        </w:rPr>
        <w:t xml:space="preserve">Ergebnis: </w:t>
      </w:r>
      <w:r>
        <w:t>Ältere Erwachsene zeigten ELM-RPE-Kontraktion in Fovea und Parafovea (konsistent mit oxidativem Stress und verzögerter Dunkeladaptation aus vorherigen Studien). Band-2-Profilform unterschied sich nicht zwischen Altersgruppen. ELM-RPE-Kontraktion ist konsistent mit subretinalem oxidativen Stress und gestörter Retinoid-Signalisierung. Translationaler Ansatz OCT-Biomarker könnte nicht-invasive Überwachung der Netzhautalterung ermöglichen.</w:t>
      </w:r>
    </w:p>
    <w:p>
      <w:r>
        <w:rPr>
          <w:b/>
          <w:sz w:val="19"/>
        </w:rPr>
        <w:t xml:space="preserve">Übertragbarkeit: </w:t>
      </w:r>
      <w:r>
        <w:rPr>
          <w:sz w:val="19"/>
        </w:rPr>
        <w:t>USA; methodisch auf deutsche Augenkliniken übertragbar, aber klinische Validierung notwendig</w:t>
      </w:r>
    </w:p>
    <w:p>
      <w:r>
        <w:rPr>
          <w:color w:val="5A7D3A"/>
          <w:sz w:val="18"/>
        </w:rPr>
        <w:t>https://pubmed.ncbi.nlm.nih.gov/42474423/</w:t>
      </w:r>
    </w:p>
    <w:p>
      <w:pPr>
        <w:pStyle w:val="Heading1"/>
      </w:pPr>
      <w:r>
        <w:t>Aufgenommen am 21.09.2026</w:t>
      </w:r>
    </w:p>
    <w:p>
      <w:pPr>
        <w:pStyle w:val="Heading2"/>
      </w:pPr>
      <w:r>
        <w:t>Hörtechnik und Lebensqualität im höheren Alter nach Cochlea-Implantat</w:t>
      </w:r>
    </w:p>
    <w:p>
      <w:r>
        <w:rPr>
          <w:i/>
          <w:color w:val="666666"/>
          <w:sz w:val="18"/>
        </w:rPr>
        <w:t>Deniz H  ·  J Am Acad Audiol  ·  01.07.2026  ·  PMID 42763618</w:t>
      </w:r>
    </w:p>
    <w:p>
      <w:r>
        <w:t>Vergleichsstudie jüngerer (40–59 J.) und älterer (≥60 J.) Patienten mit Cochlea-Implantaten zu Hörtauglichkeit und Lebensqualität.</w:t>
      </w:r>
    </w:p>
    <w:p>
      <w:r>
        <w:rPr>
          <w:b/>
        </w:rPr>
        <w:t xml:space="preserve">Ergebnis: </w:t>
      </w:r>
      <w:r>
        <w:t>Ältere Patienten zeigten signifikant schlechtere Hörtests (p&lt;0,05) und niedrigere Werte in allen WHOQOL-BREF-Dimensionen (p&lt;0,05); keine Unterschiede in Depression (p=0,198). Depressionsebenen unterschieden sich nicht, was darauf hindeutet, dass psychische Anpassung dem Hörverlust voraus ist.</w:t>
      </w:r>
    </w:p>
    <w:p>
      <w:r>
        <w:rPr>
          <w:b/>
          <w:sz w:val="19"/>
        </w:rPr>
        <w:t xml:space="preserve">Übertragbarkeit: </w:t>
      </w:r>
      <w:r>
        <w:rPr>
          <w:sz w:val="19"/>
        </w:rPr>
        <w:t>Türkei – vergleichbares Audiologen-System, aber Implantationsrichtlinien können regional variieren; Versorgungsansatz übertragbar.</w:t>
      </w:r>
    </w:p>
    <w:p>
      <w:r>
        <w:rPr>
          <w:color w:val="5A7D3A"/>
          <w:sz w:val="18"/>
        </w:rPr>
        <w:t>https://pubmed.ncbi.nlm.nih.gov/42763618/</w:t>
      </w:r>
    </w:p>
    <w:p>
      <w:pPr>
        <w:pStyle w:val="Heading2"/>
      </w:pPr>
      <w:r>
        <w:t>Frailty bei Kindern mit chronischer Nierenerkrankung – Reversibilität als klinisches Fenster</w:t>
      </w:r>
    </w:p>
    <w:p>
      <w:r>
        <w:rPr>
          <w:i/>
          <w:color w:val="666666"/>
          <w:sz w:val="18"/>
        </w:rPr>
        <w:t>Chan EY et al.  ·  Kidney Int  ·  Okt. 2026  ·  PMID 42760017</w:t>
      </w:r>
    </w:p>
    <w:p>
      <w:r>
        <w:t>Kommentar zur Unterscheidung pädiatrischer Frailty von adulter Gebrechlichkeit und zum Potenzial, durch frühe Erkennung und multidisziplinäre Intervention die Entwicklung wiederherzustellen.</w:t>
      </w:r>
    </w:p>
    <w:p>
      <w:r>
        <w:rPr>
          <w:b/>
        </w:rPr>
        <w:t xml:space="preserve">Ergebnis: </w:t>
      </w:r>
      <w:r>
        <w:t>Im Gegensatz zu Erwachsenen kann Frailty bei Kindern mit chronischer Nierenerkrankung reversibel sein und sollte als Verlust von Entwicklungspotenzial statt Funktionsverlust verstanden werden. Frühe standardisierte Screening und Intervention können Wachstum und Resilienz wiederherstellen.</w:t>
      </w:r>
    </w:p>
    <w:p>
      <w:r>
        <w:rPr>
          <w:b/>
          <w:sz w:val="19"/>
        </w:rPr>
        <w:t xml:space="preserve">Übertragbarkeit: </w:t>
      </w:r>
      <w:r>
        <w:rPr>
          <w:sz w:val="19"/>
        </w:rPr>
        <w:t>Grundlegende Konzepte übertragbar; Altersadaptation notwendig – deutsche Pädiatrie und Nephrologie relevant.</w:t>
      </w:r>
    </w:p>
    <w:p>
      <w:r>
        <w:rPr>
          <w:color w:val="5A7D3A"/>
          <w:sz w:val="18"/>
        </w:rPr>
        <w:t>https://pubmed.ncbi.nlm.nih.gov/42760017/</w:t>
      </w:r>
    </w:p>
    <w:p>
      <w:pPr>
        <w:pStyle w:val="Heading2"/>
      </w:pPr>
      <w:r>
        <w:t>Selbstmitgefühl und Selbstwirksamkeit als Prädiktoren für Gesundheitsverhalten und Lebensqualität im Alter</w:t>
      </w:r>
    </w:p>
    <w:p>
      <w:r>
        <w:rPr>
          <w:i/>
          <w:color w:val="666666"/>
          <w:sz w:val="18"/>
        </w:rPr>
        <w:t>Alaca N et al.  ·  PLoS One  ·  16.09.2026  ·  PMID 42748085</w:t>
      </w:r>
    </w:p>
    <w:p>
      <w:r>
        <w:t>Querschnittstudie an 179 älteren Türken (≥65 J.) zu Assoziationen von Selbstmitgefühl, Selbstwirksamkeit mit Schmerz, Bewegungsachtsamkeit, Gesundheitsverhalten und Lebensqualität.</w:t>
      </w:r>
    </w:p>
    <w:p>
      <w:r>
        <w:rPr>
          <w:b/>
        </w:rPr>
        <w:t xml:space="preserve">Ergebnis: </w:t>
      </w:r>
      <w:r>
        <w:t>Selbstwirksamkeit sagte konsistent über alle Ergebnisse voraus: Im finalen Modell für Lebensqualität (R²=0,614) waren Selbstwirksamkeit (β=0,340), Schmerz (β=−0,346), Gesundheitsverantwortung (β=0,328) signifikant. Selbstmitgefühl war stärkster Prädiktor für Ernährung (β=0,436), Bewegungsachtsamkeit für Stressabbau (β=0,300).</w:t>
      </w:r>
    </w:p>
    <w:p>
      <w:r>
        <w:rPr>
          <w:b/>
          <w:sz w:val="19"/>
        </w:rPr>
        <w:t xml:space="preserve">Übertragbarkeit: </w:t>
      </w:r>
      <w:r>
        <w:rPr>
          <w:sz w:val="19"/>
        </w:rPr>
        <w:t>Türkei – Kultur und Versorgungsstruktur unterscheiden sich von Deutschland; psychosoziale Faktoren sind universell.</w:t>
      </w:r>
    </w:p>
    <w:p>
      <w:r>
        <w:rPr>
          <w:color w:val="5A7D3A"/>
          <w:sz w:val="18"/>
        </w:rPr>
        <w:t>https://pubmed.ncbi.nlm.nih.gov/42748085/</w:t>
      </w:r>
    </w:p>
    <w:p>
      <w:pPr>
        <w:pStyle w:val="Heading2"/>
      </w:pPr>
      <w:r>
        <w:t>Frailty-Dynamik und Herzinfarktrisiko bei älteren Diabetikern</w:t>
      </w:r>
    </w:p>
    <w:p>
      <w:r>
        <w:rPr>
          <w:i/>
          <w:color w:val="666666"/>
          <w:sz w:val="18"/>
        </w:rPr>
        <w:t>Li Y et al.  ·  Zhonghua Yu Fang Yi Xue Za Zhi  ·  06.09.2026  ·  PMID 42736150</w:t>
      </w:r>
    </w:p>
    <w:p>
      <w:r>
        <w:t>Zwei-Kohorten-Studie (China, England) zur Assoziation von Frailty-Übergängen mit kardiovaskulärem Risiko bei älteren Menschen mit Diabetes.</w:t>
      </w:r>
    </w:p>
    <w:p>
      <w:r>
        <w:rPr>
          <w:b/>
        </w:rPr>
        <w:t xml:space="preserve">Ergebnis: </w:t>
      </w:r>
      <w:r>
        <w:t>Im Vergleich zur Gruppe "robust→robust" zeigten "präfrail→frail" (HR 2,04; 95%CI 1,66–2,51) und "frail→frail" (HR 2,03; 95%CI 1,63–2,53) signifikant erhöhte Herzinfarktrisiken (p&lt;0,001). Assoziationen blieben unter Konkurrenzrisiko-Modellen robust. Frailty-Verschlechterung war unabhängig von Altersgruppe prädiktiv.</w:t>
      </w:r>
    </w:p>
    <w:p>
      <w:r>
        <w:rPr>
          <w:b/>
          <w:sz w:val="19"/>
        </w:rPr>
        <w:t xml:space="preserve">Übertragbarkeit: </w:t>
      </w:r>
      <w:r>
        <w:rPr>
          <w:sz w:val="19"/>
        </w:rPr>
        <w:t>Zwei-Länder-Meta-Analyse (China, UK), aber Diabetes-Prävalenz und Management unterscheiden sich; Frailty-Messung ist system-übertragbar.</w:t>
      </w:r>
    </w:p>
    <w:p>
      <w:r>
        <w:rPr>
          <w:color w:val="5A7D3A"/>
          <w:sz w:val="18"/>
        </w:rPr>
        <w:t>https://pubmed.ncbi.nlm.nih.gov/42736150/</w:t>
      </w:r>
    </w:p>
    <w:p>
      <w:pPr>
        <w:pStyle w:val="Heading2"/>
      </w:pPr>
      <w:r>
        <w:t>Immunseneszenz modifiziert strahleninduzierte Antitumorimmunität im älteren Alter</w:t>
      </w:r>
    </w:p>
    <w:p>
      <w:r>
        <w:rPr>
          <w:i/>
          <w:color w:val="666666"/>
          <w:sz w:val="18"/>
        </w:rPr>
        <w:t>Arnold CR et al.  ·  Front Immunol  ·  10.07.2026  ·  PMID 42500670</w:t>
      </w:r>
    </w:p>
    <w:p>
      <w:r>
        <w:t>Narrative Übersicht zur Rolle von Immunseneszenz bei der Abschwächung strahleninduzierter Anti-Tumor-Effekte im höheren Alter.</w:t>
      </w:r>
    </w:p>
    <w:p>
      <w:r>
        <w:rPr>
          <w:b/>
        </w:rPr>
        <w:t xml:space="preserve">Ergebnis: </w:t>
      </w:r>
      <w:r>
        <w:t>Immunseneszenz – charakterisiert durch reduzierte T-Zell-Responsivität, chronische Entzündung und schlechtere Koordination zwischen Immuneffektoren – vermindert wahrscheinlich die Anti-Tumor-Potenz der Strahlentherapie bei älteren Patienten. Die Autoren betonen, dass Biomarker der Immunseneszenz in die Therapieplanung integriert werden sollten.</w:t>
      </w:r>
    </w:p>
    <w:p>
      <w:r>
        <w:rPr>
          <w:b/>
          <w:sz w:val="19"/>
        </w:rPr>
        <w:t xml:space="preserve">Übertragbarkeit: </w:t>
      </w:r>
      <w:r>
        <w:rPr>
          <w:sz w:val="19"/>
        </w:rPr>
        <w:t>Europäische Perspektive (Austria, Germany); Immunseneszenz ist universell, aber Therapiezugang variiert mit Gesundheitssystem.</w:t>
      </w:r>
    </w:p>
    <w:p>
      <w:r>
        <w:rPr>
          <w:color w:val="5A7D3A"/>
          <w:sz w:val="18"/>
        </w:rPr>
        <w:t>https://pubmed.ncbi.nlm.nih.gov/42500670/</w:t>
      </w:r>
    </w:p>
    <w:p>
      <w:pPr>
        <w:pStyle w:val="Heading2"/>
      </w:pPr>
      <w:r>
        <w:t>Wachstumsmindset und Ausdauer als psychologische Ressourcen im Alter – soziale Muster in England</w:t>
      </w:r>
    </w:p>
    <w:p>
      <w:r>
        <w:rPr>
          <w:i/>
          <w:color w:val="666666"/>
          <w:sz w:val="18"/>
        </w:rPr>
        <w:t>Zaninotto P et al.  ·  J Gerontol B Psychol Sci Soc Sci  ·  04.09.2026  ·  PMID 42438156</w:t>
      </w:r>
    </w:p>
    <w:p>
      <w:r>
        <w:t>Analyse von Proxy-Indikatoren für Wachstumsmindset und Ausdauer (Grit) in der English Longitudinal Study of Ageing (n≥6000) zu Verteilung nach Alter, Sozioökonomie und Gesundheit.</w:t>
      </w:r>
    </w:p>
    <w:p>
      <w:r>
        <w:rPr>
          <w:b/>
        </w:rPr>
        <w:t xml:space="preserve">Ergebnis: </w:t>
      </w:r>
      <w:r>
        <w:t>Älteres Alter war mit niedrigerem Wachstumsmindset assoziiert, besonders in Bildungs- und Überzeugungsdomänen. Höhere Bildung, Beschäftigung und Vermögen waren mit günstigeren Profilen assoziiert. Einsamkeit und chronische Krankheit waren konsistent mit ungünstigeren Profilen verbunden; die Effekte waren domänenspezifisch, nicht universal.</w:t>
      </w:r>
    </w:p>
    <w:p>
      <w:r>
        <w:rPr>
          <w:b/>
          <w:sz w:val="19"/>
        </w:rPr>
        <w:t xml:space="preserve">Übertragbarkeit: </w:t>
      </w:r>
      <w:r>
        <w:rPr>
          <w:sz w:val="19"/>
        </w:rPr>
        <w:t>England – englischsprachige Gesellschaft, aber Sozialstruktur und Sicherungssystem unterscheiden; psychologische Konstrukte sind übertragbar.</w:t>
      </w:r>
    </w:p>
    <w:p>
      <w:r>
        <w:rPr>
          <w:color w:val="5A7D3A"/>
          <w:sz w:val="18"/>
        </w:rPr>
        <w:t>https://pubmed.ncbi.nlm.nih.gov/42438156/</w:t>
      </w:r>
    </w:p>
    <w:p>
      <w:pPr>
        <w:pStyle w:val="Heading2"/>
      </w:pPr>
      <w:r>
        <w:t>Xanthophyll-Carotenoid-Aufnahme und Netzhautgesundheit im Alter und Makuladegeneration</w:t>
      </w:r>
    </w:p>
    <w:p>
      <w:r>
        <w:rPr>
          <w:i/>
          <w:color w:val="666666"/>
          <w:sz w:val="18"/>
        </w:rPr>
        <w:t>Curcio CA et al.  ·  Invest Ophthalmol Vis Sci  ·  01.07.2026  ·  PMID 42411867</w:t>
      </w:r>
    </w:p>
    <w:p>
      <w:r>
        <w:t>Querschnittstudie an 369 Personen (≥63 J.) zur Assoziation von Lutein- und Zeaxanthin-Aufnahme (Diät + Supplemente), Plasmaspiegel und retinaler Pigmentdichte mit Alter und altersbedingter Makuladegeneration.</w:t>
      </w:r>
    </w:p>
    <w:p>
      <w:r>
        <w:rPr>
          <w:b/>
        </w:rPr>
        <w:t xml:space="preserve">Ergebnis: </w:t>
      </w:r>
      <w:r>
        <w:t>Zwischen Plasmaspiegel und macularem Pigment-Optischem-Volumen (MPOV) zeigten sich starke Korrelationen (r=0,41–0,67, p&lt;0,01). Patienten mit intermediärer AMD hatten höhere Supplementnutzung (56% vs. 10%), höhere Gesamtaufnahme (11,0±8,3 vs. 5,3±6,4 mg/d, p&lt;0,01) und MPOV (1,33±0,61 vs. 1,04±0,46). Diätaufnahme unterschied sich nicht zwischen Gruppen.</w:t>
      </w:r>
    </w:p>
    <w:p>
      <w:r>
        <w:rPr>
          <w:b/>
          <w:sz w:val="19"/>
        </w:rPr>
        <w:t xml:space="preserve">Übertragbarkeit: </w:t>
      </w:r>
      <w:r>
        <w:rPr>
          <w:sz w:val="19"/>
        </w:rPr>
        <w:t>USA – Nahrungsverfügbarkeit und Supplementierungskultur unterscheiden; aber Optik und Physiologie sind universal.</w:t>
      </w:r>
    </w:p>
    <w:p>
      <w:r>
        <w:rPr>
          <w:color w:val="5A7D3A"/>
          <w:sz w:val="18"/>
        </w:rPr>
        <w:t>https://pubmed.ncbi.nlm.nih.gov/42411867/</w:t>
      </w:r>
    </w:p>
    <w:p>
      <w:pPr>
        <w:pStyle w:val="Heading1"/>
      </w:pPr>
      <w:r>
        <w:t>Aufgenommen am 20.09.2026</w:t>
      </w:r>
    </w:p>
    <w:p>
      <w:pPr>
        <w:pStyle w:val="Heading2"/>
      </w:pPr>
      <w:r>
        <w:t>Exergaming mit Widerstandstraining verbessert Selbstwirksamkeit und Aktivität bei kognitiver Gebrechlichkeit</w:t>
      </w:r>
    </w:p>
    <w:p>
      <w:r>
        <w:rPr>
          <w:i/>
          <w:color w:val="666666"/>
          <w:sz w:val="18"/>
        </w:rPr>
        <w:t>Ning H et al.  ·  Zhong Nan Da Xue Xue Bao Yi Xue Ban  ·  28.07.2026  ·  PMID 42763302</w:t>
      </w:r>
    </w:p>
    <w:p>
      <w:r>
        <w:t>Randomisierte Studie zu 12-wöchigem Exergaming mit Elastikband-Training bei 79 älteren Erwachsenen mit kognitiver Frailty zur Verbesserung von Selbstwirksamkeit und körperlicher Aktivität.</w:t>
      </w:r>
    </w:p>
    <w:p>
      <w:r>
        <w:rPr>
          <w:b/>
        </w:rPr>
        <w:t xml:space="preserve">Ergebnis: </w:t>
      </w:r>
      <w:r>
        <w:t>Interventionsgruppe zeigte signifikant höhere Verbesserungen bei IPAQ-SF-Scores (MD=586,1 MET-min/Woche, 95%-KI 454,5–717,7) und Selbsteffektivität (MD=3,3, 95%-KI 2,4–4,2) vs. Kontrolle (beide p&lt;0,001). Trainingsadhärenz 86,5%. Qualitative Analyse identifizierte erhöhte Trainierbarkeit, positive Gesundheitswahrnehmung und verbesserte Sozialinteraktion.</w:t>
      </w:r>
    </w:p>
    <w:p>
      <w:r>
        <w:rPr>
          <w:b/>
          <w:sz w:val="19"/>
        </w:rPr>
        <w:t xml:space="preserve">Übertragbarkeit: </w:t>
      </w:r>
      <w:r>
        <w:rPr>
          <w:sz w:val="19"/>
        </w:rPr>
        <w:t>Chinesische Primar- und sekundäre Datenquellen; Design auf deutschsprachigen Kontext übertragbar.</w:t>
      </w:r>
    </w:p>
    <w:p>
      <w:r>
        <w:rPr>
          <w:color w:val="5A7D3A"/>
          <w:sz w:val="18"/>
        </w:rPr>
        <w:t>https://pubmed.ncbi.nlm.nih.gov/42763302/</w:t>
      </w:r>
    </w:p>
    <w:p>
      <w:pPr>
        <w:pStyle w:val="Heading2"/>
      </w:pPr>
      <w:r>
        <w:t>Luftfeuchte, Frailty und Schlaganfallrisiko im Alter: 7-Jahres-Kohortenstudie China</w:t>
      </w:r>
    </w:p>
    <w:p>
      <w:r>
        <w:rPr>
          <w:i/>
          <w:color w:val="666666"/>
          <w:sz w:val="18"/>
        </w:rPr>
        <w:t>Zhou Y et al.  ·  Zhong Nan Da Xue Xue Bao Yi Xue Ban  ·  28.07.2026  ·  PMID 42763297</w:t>
      </w:r>
    </w:p>
    <w:p>
      <w:r>
        <w:t>Prospektive Kohortenstudie (CHARLS) mit 19.582 chinesischen Älteren zum Zusammenhang zwischen Umgebungsfeuchte und Schlaganfallrisiko mit Frailty als Mediator.</w:t>
      </w:r>
    </w:p>
    <w:p>
      <w:r>
        <w:rPr>
          <w:b/>
        </w:rPr>
        <w:t xml:space="preserve">Ergebnis: </w:t>
      </w:r>
      <w:r>
        <w:t>Gegenüber niedriger Feuchte: mittlere Feuchte HR=1,119 (95%-KI 1,033–1,213), hohe Feuchte HR=1,279 (95%-KI 1,227–1,331) für neuen Schlaganfall (beide p&lt;0,01). Bei Männern ausgeprägter (hohe Feuchte: HR=1,352, 95%-KI 1,268–1,442). Frailty vermittelte 22,0% der Assoziation. Mediane Nachbeobachtung 7 Jahre, 1.235 Schlaganfälle (6,31%).</w:t>
      </w:r>
    </w:p>
    <w:p>
      <w:r>
        <w:rPr>
          <w:b/>
          <w:sz w:val="19"/>
        </w:rPr>
        <w:t xml:space="preserve">Übertragbarkeit: </w:t>
      </w:r>
      <w:r>
        <w:rPr>
          <w:sz w:val="19"/>
        </w:rPr>
        <w:t>CHARLS-Langzeitdaten aus China; Umwelt-Gebrechlichkeits-Pathomechanismus übertragbar.</w:t>
      </w:r>
    </w:p>
    <w:p>
      <w:r>
        <w:rPr>
          <w:color w:val="5A7D3A"/>
          <w:sz w:val="18"/>
        </w:rPr>
        <w:t>https://pubmed.ncbi.nlm.nih.gov/42763297/</w:t>
      </w:r>
    </w:p>
    <w:p>
      <w:pPr>
        <w:pStyle w:val="Heading2"/>
      </w:pPr>
      <w:r>
        <w:t>Fragmentierte Sedentarität und kardiovaskuläre Sterblichkeit: Gewonnene Lebensjahre durch Bewegungspausen</w:t>
      </w:r>
    </w:p>
    <w:p>
      <w:r>
        <w:rPr>
          <w:i/>
          <w:color w:val="666666"/>
          <w:sz w:val="18"/>
        </w:rPr>
        <w:t>Xing T et al.  ·  Zhong Nan Da Xue Xue Bao Yi Xue Ban  ·  28.07.2026  ·  PMID 42763296</w:t>
      </w:r>
    </w:p>
    <w:p>
      <w:r>
        <w:t>Prospektive Kohorte mit 89.010 UK-Biobank-Teilnehmern zum Zusammenhang zwischen Sedentärdauer/-fragmentierung und Sterblichkeit sowie Lebenserwartung.</w:t>
      </w:r>
    </w:p>
    <w:p>
      <w:r>
        <w:rPr>
          <w:b/>
        </w:rPr>
        <w:t xml:space="preserve">Ergebnis: </w:t>
      </w:r>
      <w:r>
        <w:t>Gegenüber geringster Sedentarität: ≥10 h/Tag Sitzen + wenig Pausen (Breaks &lt;12/Tag) mit HR=1,515 (95%-KI 1,380–1,663) für Gesamtsterblichkeit und HR=1,553 (95%-KI 1,325–1,820) für kardiovaskuläre Mortalität. Häufige Sitzpausen reduzierten Sterblichkeitsrisiko. Lebenserwartungsverlust im Alter 50: -2,77 Jahre (Männer, 95%-KI -3,39 bis -2,15) und -3,11 Jahre (Frauen, 95%-KI -3,79 bis -2,43) an kardiovaskulär-freien Jahren.</w:t>
      </w:r>
    </w:p>
    <w:p>
      <w:r>
        <w:rPr>
          <w:b/>
          <w:sz w:val="19"/>
        </w:rPr>
        <w:t xml:space="preserve">Übertragbarkeit: </w:t>
      </w:r>
      <w:r>
        <w:rPr>
          <w:sz w:val="19"/>
        </w:rPr>
        <w:t>UK-Daten mit wearables gemessen; Befund zur Bewegungsunterbrechung international anwendbar.</w:t>
      </w:r>
    </w:p>
    <w:p>
      <w:r>
        <w:rPr>
          <w:color w:val="5A7D3A"/>
          <w:sz w:val="18"/>
        </w:rPr>
        <w:t>https://pubmed.ncbi.nlm.nih.gov/42763296/</w:t>
      </w:r>
    </w:p>
    <w:p>
      <w:pPr>
        <w:pStyle w:val="Heading2"/>
      </w:pPr>
      <w:r>
        <w:t>Feinstaub und Frailty: PM₂,₅-Komponenten erhöhen Gebrechlichkeitsrisiko im Alter</w:t>
      </w:r>
    </w:p>
    <w:p>
      <w:r>
        <w:rPr>
          <w:i/>
          <w:color w:val="666666"/>
          <w:sz w:val="18"/>
        </w:rPr>
        <w:t>Liu Q et al.  ·  Zhonghua Liu Xing Bing Xue Za Zhi  ·  10.09.2026  ·  PMID 42763185</w:t>
      </w:r>
    </w:p>
    <w:p>
      <w:r>
        <w:t>Querschnittsstudie mit 1.875 älteren Personen in der Jing-Jin-Ji-Region zum Zusammenhang zwischen PM₂,₅-Exposition und Frailty-Index.</w:t>
      </w:r>
    </w:p>
    <w:p>
      <w:r>
        <w:rPr>
          <w:b/>
        </w:rPr>
        <w:t xml:space="preserve">Ergebnis: </w:t>
      </w:r>
      <w:r>
        <w:t>PM₂,₅ bei 90-Tage-Mittelung (lag090 d) assoziiert mit erhöhtem Frailty-Risiko: +1,30% pro IQR-Anstieg (95%-KI 0,29–2,31). Organische Kohlenstoffe (OC): +3,63% (95%-KI 1,17–6,09%), Elementares Kohlenstoff: +0,83% (95%-KI 0,45–1,21%), Kupfer: +1,50% (95%-KI 0,76–2,24%) pro IQR-Anstieg. Keine signifikanten Unterschiede nach Geschlecht, Alter oder Lebensstil.</w:t>
      </w:r>
    </w:p>
    <w:p>
      <w:r>
        <w:rPr>
          <w:b/>
          <w:sz w:val="19"/>
        </w:rPr>
        <w:t xml:space="preserve">Übertragbarkeit: </w:t>
      </w:r>
      <w:r>
        <w:rPr>
          <w:sz w:val="19"/>
        </w:rPr>
        <w:t>Chinesische Luftqualitätsdaten; Umweltbelastung-Gebrechlichkeits-Zusammenhang universal relevant.</w:t>
      </w:r>
    </w:p>
    <w:p>
      <w:r>
        <w:rPr>
          <w:color w:val="5A7D3A"/>
          <w:sz w:val="18"/>
        </w:rPr>
        <w:t>https://pubmed.ncbi.nlm.nih.gov/42763185/</w:t>
      </w:r>
    </w:p>
    <w:p>
      <w:pPr>
        <w:pStyle w:val="Heading2"/>
      </w:pPr>
      <w:r>
        <w:t>Ernährungsqualität und biologisches Alter: Zentrale Adiposität als Vermittler</w:t>
      </w:r>
    </w:p>
    <w:p>
      <w:r>
        <w:rPr>
          <w:i/>
          <w:color w:val="666666"/>
          <w:sz w:val="18"/>
        </w:rPr>
        <w:t>Qian Y  ·  Medicine (Baltimore)  ·  18.09.2026  ·  PMID 42760668</w:t>
      </w:r>
    </w:p>
    <w:p>
      <w:r>
        <w:t>Querschnittsstudie mit 12.511 US-Erwachsenen (≥20 Jahre) aus NHANES 2005–2010 zur Assoziation zwischen Ernährungsqualität und phänotypischer Altersbeschleunigung.</w:t>
      </w:r>
    </w:p>
    <w:p>
      <w:r>
        <w:rPr>
          <w:b/>
        </w:rPr>
        <w:t xml:space="preserve">Ergebnis: </w:t>
      </w:r>
      <w:r>
        <w:t>Pro 1-Punkt-Anstieg Healthy-Eating-Index-2015: OR=0,98 (95%-KI 0,97–0,98, p&lt;0,001) für beschleunigtes biologisches Altern. Waist-to-Height Ratio (WHtR) und Body Roundness Index (BRI) zeigten größte Mediationseffekte (29,23% bzw. 28,90%). Sensitivitätsanalysen bestätigten Robustheit.</w:t>
      </w:r>
    </w:p>
    <w:p>
      <w:r>
        <w:rPr>
          <w:b/>
          <w:sz w:val="19"/>
        </w:rPr>
        <w:t xml:space="preserve">Übertragbarkeit: </w:t>
      </w:r>
      <w:r>
        <w:rPr>
          <w:sz w:val="19"/>
        </w:rPr>
        <w:t>NHANES-Daten USA; Ernährungs-Adipositas-Alterungsweg prinzipiell universal.</w:t>
      </w:r>
    </w:p>
    <w:p>
      <w:r>
        <w:rPr>
          <w:color w:val="5A7D3A"/>
          <w:sz w:val="18"/>
        </w:rPr>
        <w:t>https://pubmed.ncbi.nlm.nih.gov/42760668/</w:t>
      </w:r>
    </w:p>
    <w:p>
      <w:pPr>
        <w:pStyle w:val="Heading2"/>
      </w:pPr>
      <w:r>
        <w:t>Risikofaktoren für Frailty bei älteren Krebspatienten: Systematische Übersicht</w:t>
      </w:r>
    </w:p>
    <w:p>
      <w:r>
        <w:rPr>
          <w:i/>
          <w:color w:val="666666"/>
          <w:sz w:val="18"/>
        </w:rPr>
        <w:t>Shubing F et al.  ·  BMC Geriatr  ·  18.09.2026  ·  PMID 42760535</w:t>
      </w:r>
    </w:p>
    <w:p>
      <w:r>
        <w:t>Systematische Übersicht von 30 Studien (2014–2025) zu Determinanten von Frailty bei älteren Krebspatienten, davon 26 Querschnitts- und 4 prospektive Kohortenstudien.</w:t>
      </w:r>
    </w:p>
    <w:p>
      <w:r>
        <w:rPr>
          <w:b/>
        </w:rPr>
        <w:t xml:space="preserve">Ergebnis: </w:t>
      </w:r>
      <w:r>
        <w:t>Risikofaktoren in 6 Kategorien identifiziert: krankheitsbezogen (Krebsart, fortgeschrittenes Stadium), physiologisch (Mangelernährung, Muskelabbau), psychologisch (Depression, kognitiver Verfall), Lebensstil (Bewegungsmangel), soziodemografisch (Isolation), therapiebedingt (Chemotherapie-Toxizität). Prospektive Evidenz limitiert (n=4 Studien); gefordert: stratifizierte Screening- und Interventionsstrategien.</w:t>
      </w:r>
    </w:p>
    <w:p>
      <w:r>
        <w:rPr>
          <w:b/>
          <w:sz w:val="19"/>
        </w:rPr>
        <w:t xml:space="preserve">Übertragbarkeit: </w:t>
      </w:r>
      <w:r>
        <w:rPr>
          <w:sz w:val="19"/>
        </w:rPr>
        <w:t>Überwiegend Hocheinkommensländer; Frailty-Krebsinteraktion im älteren Alter universell.</w:t>
      </w:r>
    </w:p>
    <w:p>
      <w:r>
        <w:rPr>
          <w:color w:val="5A7D3A"/>
          <w:sz w:val="18"/>
        </w:rPr>
        <w:t>https://pubmed.ncbi.nlm.nih.gov/42760535/</w:t>
      </w:r>
    </w:p>
    <w:p>
      <w:pPr>
        <w:pStyle w:val="Heading2"/>
      </w:pPr>
      <w:r>
        <w:t>Mesenchymale Stammzelltherapie bei Frailty: Systematische Übersicht mit Fokus auf Sicherheit und Mobilität</w:t>
      </w:r>
    </w:p>
    <w:p>
      <w:r>
        <w:rPr>
          <w:i/>
          <w:color w:val="666666"/>
          <w:sz w:val="18"/>
        </w:rPr>
        <w:t>Poutouri E et al.  ·  Int J Mol Sci  ·  25.08.2026  ·  PMID 42737497</w:t>
      </w:r>
    </w:p>
    <w:p>
      <w:r>
        <w:t>Systematische Übersicht von 3 randomisierten Studien (208 Teilnehmer, älter mit Frailty) zu Sicherheit und Wirksamkeit der intravenösen Stammzelltherapie auf funktionale Ergebnisse.</w:t>
      </w:r>
    </w:p>
    <w:p>
      <w:r>
        <w:rPr>
          <w:b/>
        </w:rPr>
        <w:t xml:space="preserve">Ergebnis: </w:t>
      </w:r>
      <w:r>
        <w:t>Keine schwerwiegenden behandlungsbezogenen Nebenwirkungen berichtet. Signale für Verbesserung: 6-Minuten-Gehtest nach 9 Monaten dosisabhängig erhöht; SPPB-, TUG- und Griffkraft-Verbesserungen in einzelnen Studien. Zirkulating pro-inflammatorische Zytokine reduziert, Lebensqualität verbessert. Heterogenität Stammzellquelle, Dosis und Follow-up; größere adequat-gepowerte Studien erforderlich.</w:t>
      </w:r>
    </w:p>
    <w:p>
      <w:r>
        <w:rPr>
          <w:b/>
          <w:sz w:val="19"/>
        </w:rPr>
        <w:t xml:space="preserve">Übertragbarkeit: </w:t>
      </w:r>
      <w:r>
        <w:rPr>
          <w:sz w:val="19"/>
        </w:rPr>
        <w:t>Vereinigte Staaten und Schweiz; Stammzelltherapie-Sicherheitsdaten relevant für prospektive europäische Studien.</w:t>
      </w:r>
    </w:p>
    <w:p>
      <w:r>
        <w:rPr>
          <w:color w:val="5A7D3A"/>
          <w:sz w:val="18"/>
        </w:rPr>
        <w:t>https://pubmed.ncbi.nlm.nih.gov/42737497/</w:t>
      </w:r>
    </w:p>
    <w:p>
      <w:pPr>
        <w:pStyle w:val="Heading1"/>
      </w:pPr>
      <w:r>
        <w:t>Aufgenommen am 19.09.2026</w:t>
      </w:r>
    </w:p>
    <w:p>
      <w:pPr>
        <w:pStyle w:val="Heading2"/>
      </w:pPr>
      <w:r>
        <w:t>Geriatrisches Assessment bei chronischer Nierenkrankheit und Frailty</w:t>
      </w:r>
    </w:p>
    <w:p>
      <w:r>
        <w:rPr>
          <w:i/>
          <w:color w:val="666666"/>
          <w:sz w:val="18"/>
        </w:rPr>
        <w:t>Nixon AC  ·  Kidney Int  ·  Okt. 2026  ·  PMID 42760022</w:t>
      </w:r>
    </w:p>
    <w:p>
      <w:r>
        <w:t>Kommentararbeit zur GOAL-Studie, die überprüfte, ob eine einzige geriatrische Konsultation ältere Patienten mit chronischer Nierenkrankheit und Frailty in ihren Behandlungszielen hilft.</w:t>
      </w:r>
    </w:p>
    <w:p>
      <w:r>
        <w:rPr>
          <w:b/>
        </w:rPr>
        <w:t xml:space="preserve">Ergebnis: </w:t>
      </w:r>
      <w:r>
        <w:t>Die Studie fand keine signifikante Verbesserung der Zielerreichung durch ein Konsultationsmodell. Personenzentrierte Versorgungsmodelle außerhalb von Einzelterminen und fortlaufende Neubewertung erfordern weitere Evaluierung.</w:t>
      </w:r>
    </w:p>
    <w:p>
      <w:r>
        <w:rPr>
          <w:b/>
          <w:sz w:val="19"/>
        </w:rPr>
        <w:t xml:space="preserve">Übertragbarkeit: </w:t>
      </w:r>
      <w:r>
        <w:rPr>
          <w:sz w:val="19"/>
        </w:rPr>
        <w:t>UK-Gesundheitssystem, Design auf europäische Versorgungsstrukturen übertragbar</w:t>
      </w:r>
    </w:p>
    <w:p>
      <w:r>
        <w:rPr>
          <w:color w:val="5A7D3A"/>
          <w:sz w:val="18"/>
        </w:rPr>
        <w:t>https://pubmed.ncbi.nlm.nih.gov/42760022/</w:t>
      </w:r>
    </w:p>
    <w:p>
      <w:pPr>
        <w:pStyle w:val="Heading2"/>
      </w:pPr>
      <w:r>
        <w:t>Verständnis von Frailty bei Kindern mit chronischer Nierenkrankheit</w:t>
      </w:r>
    </w:p>
    <w:p>
      <w:r>
        <w:rPr>
          <w:i/>
          <w:color w:val="666666"/>
          <w:sz w:val="18"/>
        </w:rPr>
        <w:t>Guha C et al.  ·  Kidney Int  ·  Okt. 2026  ·  PMID 42760016</w:t>
      </w:r>
    </w:p>
    <w:p>
      <w:r>
        <w:t>Qualitatives Perspektivwerk auf Frailty im Kindesalter bei chronischer Nierenkrankheit – Interpretation als Verlust von Entwicklungspotenzial statt funktionellem Rückgang im Gegensatz zu Frailty bei Älteren.</w:t>
      </w:r>
    </w:p>
    <w:p>
      <w:r>
        <w:rPr>
          <w:b/>
        </w:rPr>
        <w:t xml:space="preserve">Ergebnis: </w:t>
      </w:r>
      <w:r>
        <w:t>Zentrale Befunde: (1) Frailty bei Kindern ist (anders als bei Älteren) oft reversibel; (2) Frühe Identifikation durch altersgerechte Screening ermöglicht multidisziplinäre Intervention; (3) Kritisches Fenster zur Maximierung von Wachstum, Resilienz und Lebensfunktion in der Kindheit.</w:t>
      </w:r>
    </w:p>
    <w:p>
      <w:r>
        <w:rPr>
          <w:b/>
          <w:sz w:val="19"/>
        </w:rPr>
        <w:t xml:space="preserve">Übertragbarkeit: </w:t>
      </w:r>
      <w:r>
        <w:rPr>
          <w:sz w:val="19"/>
        </w:rPr>
        <w:t>Internationale Perspektive auf Frailty-Definition und Versorgungsmodelle, anwendbar auf deutsches Versorgungssystem</w:t>
      </w:r>
    </w:p>
    <w:p>
      <w:r>
        <w:rPr>
          <w:color w:val="5A7D3A"/>
          <w:sz w:val="18"/>
        </w:rPr>
        <w:t>https://pubmed.ncbi.nlm.nih.gov/42760016/</w:t>
      </w:r>
    </w:p>
    <w:p>
      <w:pPr>
        <w:pStyle w:val="Heading2"/>
      </w:pPr>
      <w:r>
        <w:t>Frailty-Index für Mortalitätsprognose nach Schlaganfall in kritischer Versorgung</w:t>
      </w:r>
    </w:p>
    <w:p>
      <w:r>
        <w:rPr>
          <w:i/>
          <w:color w:val="666666"/>
          <w:sz w:val="18"/>
        </w:rPr>
        <w:t>Gu G et al.  ·  Front Neurol  ·  03.09.2026  ·  PMID 42756253</w:t>
      </w:r>
    </w:p>
    <w:p>
      <w:r>
        <w:t>Verwendung eines laborgestützten Frailty-Index (FI-Lab) zur Vorhersage der 90-Tage-Mortalität nach akutem ischämischen Schlaganfall in der Intensivmedizin mit temporaler Validierung.</w:t>
      </w:r>
    </w:p>
    <w:p>
      <w:r>
        <w:rPr>
          <w:b/>
        </w:rPr>
        <w:t xml:space="preserve">Ergebnis: </w:t>
      </w:r>
      <w:r>
        <w:t>3.186 Patienten beim 24-h-Zeitpunkt (559 Todesfälle): FI-Lab verbesserte AUC von 0,774 auf 0,808 (Differenz 0,034, 95% CI 0,022–0,047; p&lt;0,001) und Brier-Score von 0,162 auf 0,152. Beim 72-h-Punkt: 2.918 Patienten (473 Ereignisse), AUC 0,752 → 0,791 mit FI-Lab.</w:t>
      </w:r>
    </w:p>
    <w:p>
      <w:r>
        <w:rPr>
          <w:b/>
          <w:sz w:val="19"/>
        </w:rPr>
        <w:t xml:space="preserve">Übertragbarkeit: </w:t>
      </w:r>
      <w:r>
        <w:rPr>
          <w:sz w:val="19"/>
        </w:rPr>
        <w:t>MIMIC-IV-Datenbank, generalisierbare ICU-Frailty-Messung, externe Validierung ausstehend</w:t>
      </w:r>
    </w:p>
    <w:p>
      <w:r>
        <w:rPr>
          <w:color w:val="5A7D3A"/>
          <w:sz w:val="18"/>
        </w:rPr>
        <w:t>https://pubmed.ncbi.nlm.nih.gov/42756253/</w:t>
      </w:r>
    </w:p>
    <w:p>
      <w:pPr>
        <w:pStyle w:val="Heading2"/>
      </w:pPr>
      <w:r>
        <w:t>Krankheitslast bei Multipler Sklerose in Italien 1990–2023</w:t>
      </w:r>
    </w:p>
    <w:p>
      <w:r>
        <w:rPr>
          <w:i/>
          <w:color w:val="666666"/>
          <w:sz w:val="18"/>
        </w:rPr>
        <w:t>Brigo F et al.  ·  Mult Scler Relat Disord  ·  28.08.2026  ·  PMID 42664643</w:t>
      </w:r>
    </w:p>
    <w:p>
      <w:r>
        <w:t>Analyse der zeitlichen Trends und regionalen Unterschiede in der Morbidität (Behinderung versus Sterblichkeit) von MS in Italien mittels Global-Burden-of-Disease-Daten.</w:t>
      </w:r>
    </w:p>
    <w:p>
      <w:r>
        <w:rPr>
          <w:b/>
        </w:rPr>
        <w:t xml:space="preserve">Ergebnis: </w:t>
      </w:r>
      <w:r>
        <w:t>MS-Krankheitslast stieg in allen Regionen; Verschiebung von Sterblichkeit zu Behinderung: YLL/YLD-Ratio sank überall, mit steilstem Anstieg in Sardinien und Süd+Sizilien. Höhere DALY-Raten in allen Regionen bei Frauen und Männern.</w:t>
      </w:r>
    </w:p>
    <w:p>
      <w:r>
        <w:rPr>
          <w:b/>
          <w:sz w:val="19"/>
        </w:rPr>
        <w:t xml:space="preserve">Übertragbarkeit: </w:t>
      </w:r>
      <w:r>
        <w:rPr>
          <w:sz w:val="19"/>
        </w:rPr>
        <w:t>Italien, vergleichbares europäisches Gesundheitssystem und Versorgungsinfrastruktur</w:t>
      </w:r>
    </w:p>
    <w:p>
      <w:r>
        <w:rPr>
          <w:color w:val="5A7D3A"/>
          <w:sz w:val="18"/>
        </w:rPr>
        <w:t>https://pubmed.ncbi.nlm.nih.gov/42664643/</w:t>
      </w:r>
    </w:p>
    <w:p>
      <w:pPr>
        <w:pStyle w:val="Heading2"/>
      </w:pPr>
      <w:r>
        <w:t>Geschlechtsspezifische Altersuhren und Stoffwechselveränderungen in Bevölkerungsphenome</w:t>
      </w:r>
    </w:p>
    <w:p>
      <w:r>
        <w:rPr>
          <w:i/>
          <w:color w:val="666666"/>
          <w:sz w:val="18"/>
        </w:rPr>
        <w:t>Li J et al.  ·  Nat Aging  ·  25.08.2026  ·  PMID 42642518</w:t>
      </w:r>
    </w:p>
    <w:p>
      <w:r>
        <w:t>Entwicklung und Validierung von Altersuhren (klinische und biologische Marker) in &gt;100.000 Chinesen (18–98 Jahre) mit Analyse von Geschlechtsunterschieden und modifizierbaren metabolischen Faktoren.</w:t>
      </w:r>
    </w:p>
    <w:p>
      <w:r>
        <w:rPr>
          <w:b/>
        </w:rPr>
        <w:t xml:space="preserve">Ergebnis: </w:t>
      </w:r>
      <w:r>
        <w:t>Divergente Alterungstrajektorien Männer vs. Frauen in mittlerem Alter konvergierten später. Akkumulation von Cholesterin, Triglyzeriden, Glukose, Harnsäure und Tumormalkeuren mit dem Altern. High-Fat-Diet-Reversierung zeigte Modifizierbarkeit metabolischer Belastung.</w:t>
      </w:r>
    </w:p>
    <w:p>
      <w:r>
        <w:rPr>
          <w:b/>
          <w:sz w:val="19"/>
        </w:rPr>
        <w:t xml:space="preserve">Übertragbarkeit: </w:t>
      </w:r>
      <w:r>
        <w:rPr>
          <w:sz w:val="19"/>
        </w:rPr>
        <w:t>China, große Kohorte, metabolische Befunde altersunabhängig übertragbar auf deutsches Setting</w:t>
      </w:r>
    </w:p>
    <w:p>
      <w:r>
        <w:rPr>
          <w:color w:val="5A7D3A"/>
          <w:sz w:val="18"/>
        </w:rPr>
        <w:t>https://pubmed.ncbi.nlm.nih.gov/42642518/</w:t>
      </w:r>
    </w:p>
    <w:p>
      <w:pPr>
        <w:pStyle w:val="Heading2"/>
      </w:pPr>
      <w:r>
        <w:t>Gewonnene Lebensjahre bei zufällig entdecktem Prostatakarzinom</w:t>
      </w:r>
    </w:p>
    <w:p>
      <w:r>
        <w:rPr>
          <w:i/>
          <w:color w:val="666666"/>
          <w:sz w:val="18"/>
        </w:rPr>
        <w:t>Falkenbach F et al.  ·  Prostate  ·  08.07.2026  ·  PMID 42418725</w:t>
      </w:r>
    </w:p>
    <w:p>
      <w:r>
        <w:t>Berechnung der verlorenen Lebensjahre (YLL) bei zufällig entdecktem Prostatakarzinom mittels SEER-Daten 2004–2021 und Vergleich mit bevölkerungsgestützten Überlebensstudien.</w:t>
      </w:r>
    </w:p>
    <w:p>
      <w:r>
        <w:rPr>
          <w:b/>
        </w:rPr>
        <w:t xml:space="preserve">Ergebnis: </w:t>
      </w:r>
      <w:r>
        <w:t>7.324 Patienten; Unterschied zu Bevölkerungskontroll: 0,23 verlorene Jahre (p&lt;0,001). Ohne Behandlung: 0,25 YLL; mit Behandlung: 0,18 YLL. Gleason 8–10 + T1b ohne Therapie: 3,02 YLL; Gleason ≤7 + T1a mit Therapie: keine signifikanten YLL.</w:t>
      </w:r>
    </w:p>
    <w:p>
      <w:r>
        <w:rPr>
          <w:b/>
          <w:sz w:val="19"/>
        </w:rPr>
        <w:t xml:space="preserve">Übertragbarkeit: </w:t>
      </w:r>
      <w:r>
        <w:rPr>
          <w:sz w:val="19"/>
        </w:rPr>
        <w:t>USA, SEER-Register, Unterschiede in Lebenserwartung und Behandlungsindikationen beachten</w:t>
      </w:r>
    </w:p>
    <w:p>
      <w:r>
        <w:rPr>
          <w:color w:val="5A7D3A"/>
          <w:sz w:val="18"/>
        </w:rPr>
        <w:t>https://pubmed.ncbi.nlm.nih.gov/42418725/</w:t>
      </w:r>
    </w:p>
    <w:p>
      <w:pPr>
        <w:pStyle w:val="Heading1"/>
      </w:pPr>
      <w:r>
        <w:t>Aufgenommen am 18.09.2026</w:t>
      </w:r>
    </w:p>
    <w:p>
      <w:pPr>
        <w:pStyle w:val="Heading2"/>
      </w:pPr>
      <w:r>
        <w:t>Kontrolltheorie des Alterns beschreibt sichere Dosierung und Sequenzierung geriatrischer Interventionen</w:t>
      </w:r>
    </w:p>
    <w:p>
      <w:r>
        <w:rPr>
          <w:i/>
          <w:color w:val="666666"/>
          <w:sz w:val="18"/>
        </w:rPr>
        <w:t>Zhavoronkov A et al.  ·  Aging (Albany NY)  ·  16.09.2026  ·  PMID 42754269</w:t>
      </w:r>
    </w:p>
    <w:p>
      <w:r>
        <w:t>Theoriearbeit entwickelt kontrolltheoretisches Rahmenwerk, das Altern als Verlust sicherer Kontrollierbarkeit definiert und präskriptive Dosierungs- und Sequenzierungsprotokolle für Geroprotektoren vorhersagt.</w:t>
      </w:r>
    </w:p>
    <w:p>
      <w:r>
        <w:rPr>
          <w:b/>
        </w:rPr>
        <w:t xml:space="preserve">Ergebnis: </w:t>
      </w:r>
      <w:r>
        <w:t>Biologisches Alter = minimale sichere Kontrollkosten für funktionale Wiederherstellung. Lie-Bracket-Analyse von 5-ODE-Modell zeigt Interventionsreihenfolge entscheidend. 20 falsfizierbare Vorhersagen; Kontrollwert-Reduktion prognostiziert translationalen Erfolg besser als Biomarker-Umkehr.</w:t>
      </w:r>
    </w:p>
    <w:p>
      <w:r>
        <w:rPr>
          <w:b/>
          <w:sz w:val="19"/>
        </w:rPr>
        <w:t xml:space="preserve">Übertragbarkeit: </w:t>
      </w:r>
      <w:r>
        <w:rPr>
          <w:sz w:val="19"/>
        </w:rPr>
        <w:t>Konzeptuelle, nicht-empirische Arbeit; Übertragbarkeit hängt von Validierung in Patientenkohorten ab</w:t>
      </w:r>
    </w:p>
    <w:p>
      <w:r>
        <w:rPr>
          <w:color w:val="5A7D3A"/>
          <w:sz w:val="18"/>
        </w:rPr>
        <w:t>https://pubmed.ncbi.nlm.nih.gov/42754269/</w:t>
      </w:r>
    </w:p>
    <w:p>
      <w:pPr>
        <w:pStyle w:val="Heading2"/>
      </w:pPr>
      <w:r>
        <w:t>Computer- und Smartphone-Nutzung reduzieren Frailty bei älteren Erwachsenen</w:t>
      </w:r>
    </w:p>
    <w:p>
      <w:r>
        <w:rPr>
          <w:i/>
          <w:color w:val="666666"/>
          <w:sz w:val="18"/>
        </w:rPr>
        <w:t>Hori N et al.  ·  Geriatr Gerontol Int  ·  Sept. 2026  ·  PMID 42753144</w:t>
      </w:r>
    </w:p>
    <w:p>
      <w:r>
        <w:t>Querschnittsstudie untersuchte, ob Gesundheitsinformationen über Computer und Smartphone mit Frailty assoziiert sind, gemessen durch Mediation über Health Literacy bei 451 älteren Menschen.</w:t>
      </w:r>
    </w:p>
    <w:p>
      <w:r>
        <w:rPr>
          <w:b/>
        </w:rPr>
        <w:t xml:space="preserve">Ergebnis: </w:t>
      </w:r>
      <w:r>
        <w:t>33,8 % nutzten Computer/Smartphone für Gesundheitsinformation. Frailty-Prävalenz 3,5 %. Mediation über Health Literacy signifikant: β = 0,323 (95%-KI: 0,084–0,698). Keine Assoziation mit nur Robustness vs. Präfrailty.</w:t>
      </w:r>
    </w:p>
    <w:p>
      <w:r>
        <w:rPr>
          <w:b/>
          <w:sz w:val="19"/>
        </w:rPr>
        <w:t xml:space="preserve">Übertragbarkeit: </w:t>
      </w:r>
      <w:r>
        <w:rPr>
          <w:sz w:val="19"/>
        </w:rPr>
        <w:t>Japan, vergleichbar mit deutschem Gesundheitswesen; einfacher Screening-Tool</w:t>
      </w:r>
    </w:p>
    <w:p>
      <w:r>
        <w:rPr>
          <w:color w:val="5A7D3A"/>
          <w:sz w:val="18"/>
        </w:rPr>
        <w:t>https://pubmed.ncbi.nlm.nih.gov/42753144/</w:t>
      </w:r>
    </w:p>
    <w:p>
      <w:pPr>
        <w:pStyle w:val="Heading2"/>
      </w:pPr>
      <w:r>
        <w:t>Frailty und Ernährungsstatus prägen Überleben älter Brustkrebspatientinnen</w:t>
      </w:r>
    </w:p>
    <w:p>
      <w:r>
        <w:rPr>
          <w:i/>
          <w:color w:val="666666"/>
          <w:sz w:val="18"/>
        </w:rPr>
        <w:t>Yang X et al.  ·  Cancer Med  ·  Sept. 2026  ·  PMID 42745681</w:t>
      </w:r>
    </w:p>
    <w:p>
      <w:r>
        <w:t>Retrospektive Studie entwickelte FINE Index (Frailty, Immunonutrition, TNM-Stadium) zur Vorhersage des Gesamtüberlebens bei 1.621 älteren Brustkrebspatientinnen (training n=1.132, validation n=489).</w:t>
      </w:r>
    </w:p>
    <w:p>
      <w:r>
        <w:rPr>
          <w:b/>
        </w:rPr>
        <w:t xml:space="preserve">Ergebnis: </w:t>
      </w:r>
      <w:r>
        <w:t>C-Index 0,767 (training), 0,739 (intern validation), 0,731 (extern validation). 3-, 5-, 10-Jahr-AUC &gt;0,7. Unabhängige Prädiktoren: Alter, PNI, TNM, mFI-5, Endokrintherapie. Besser als TNM allein.</w:t>
      </w:r>
    </w:p>
    <w:p>
      <w:r>
        <w:rPr>
          <w:b/>
          <w:sz w:val="19"/>
        </w:rPr>
        <w:t xml:space="preserve">Übertragbarkeit: </w:t>
      </w:r>
      <w:r>
        <w:rPr>
          <w:sz w:val="19"/>
        </w:rPr>
        <w:t>China (West-China Hospital), deutsche Kliniken nutzen ähnliche Frailty-Indices</w:t>
      </w:r>
    </w:p>
    <w:p>
      <w:r>
        <w:rPr>
          <w:color w:val="5A7D3A"/>
          <w:sz w:val="18"/>
        </w:rPr>
        <w:t>https://pubmed.ncbi.nlm.nih.gov/42745681/</w:t>
      </w:r>
    </w:p>
    <w:p>
      <w:pPr>
        <w:pStyle w:val="Heading2"/>
      </w:pPr>
      <w:r>
        <w:t>Orale Frailty korreliert mit BMI nur bei Sarkopenie-Risiko</w:t>
      </w:r>
    </w:p>
    <w:p>
      <w:r>
        <w:rPr>
          <w:i/>
          <w:color w:val="666666"/>
          <w:sz w:val="18"/>
        </w:rPr>
        <w:t>Hayase M et al.  ·  Nutrients  ·  28.08.2026  ·  PMID 42739007</w:t>
      </w:r>
    </w:p>
    <w:p>
      <w:r>
        <w:t>Querschnittstudie mit 3.829 älteren Japanern untersuchte Assoziation zwischen oraler Frailty und BMI-Kategorien, stratifiziert nach Sarkopenie-Status.</w:t>
      </w:r>
    </w:p>
    <w:p>
      <w:r>
        <w:rPr>
          <w:b/>
        </w:rPr>
        <w:t xml:space="preserve">Ergebnis: </w:t>
      </w:r>
      <w:r>
        <w:t>In Sarkopenie-Risikogruppe: Übergewicht OR 1,73 (95%-KI: 1,09–2,73), Untergewicht OR 1,44 (95%-KI: 1,07–1,95). Nicht-Sarkopenie-Gruppe: keine signifikante Assoziation.</w:t>
      </w:r>
    </w:p>
    <w:p>
      <w:r>
        <w:rPr>
          <w:b/>
          <w:sz w:val="19"/>
        </w:rPr>
        <w:t xml:space="preserve">Übertragbarkeit: </w:t>
      </w:r>
      <w:r>
        <w:rPr>
          <w:sz w:val="19"/>
        </w:rPr>
        <w:t>Japan, 80-Jährige; Frailty-Phenotyp mit praktischem Screening-Tool</w:t>
      </w:r>
    </w:p>
    <w:p>
      <w:r>
        <w:rPr>
          <w:color w:val="5A7D3A"/>
          <w:sz w:val="18"/>
        </w:rPr>
        <w:t>https://pubmed.ncbi.nlm.nih.gov/42739007/</w:t>
      </w:r>
    </w:p>
    <w:p>
      <w:pPr>
        <w:pStyle w:val="Heading2"/>
      </w:pPr>
      <w:r>
        <w:t>Funktionales Gehirnalter erfasst Heterogenität in Schizophrenien besser als strukturelle Parameter</w:t>
      </w:r>
    </w:p>
    <w:p>
      <w:r>
        <w:rPr>
          <w:i/>
          <w:color w:val="666666"/>
          <w:sz w:val="18"/>
        </w:rPr>
        <w:t>Volkmer S et al.  ·  Transl Psychiatry  ·  04.09.2026  ·  PMID 42697895</w:t>
      </w:r>
    </w:p>
    <w:p>
      <w:r>
        <w:t>Validierungsstudie untersuchte resting-state funktionales Gehirnalter (brain-age gap, BAG) bei Schizophreniespektrum-Störungen in vier Kohorten; innerhalb SSD assoziiert jüngeres Gehirnalter mit schlechterer Kognition.</w:t>
      </w:r>
    </w:p>
    <w:p>
      <w:r>
        <w:rPr>
          <w:b/>
        </w:rPr>
        <w:t xml:space="preserve">Ergebnis: </w:t>
      </w:r>
      <w:r>
        <w:t>SSD zeigte group-level BAG-Elevation 0,4–0,6. Innerhalb SSD: jüngeres Gehirnalter korreliert mit niedrigerer Kognition, längerer Krankheitsdauer, höheren neurologischen soft signs (NSS). Über 12–24 Wochen: BAG-Zunahme mit NSS-Motor-Reduktion assoziiert.</w:t>
      </w:r>
    </w:p>
    <w:p>
      <w:r>
        <w:rPr>
          <w:b/>
          <w:sz w:val="19"/>
        </w:rPr>
        <w:t xml:space="preserve">Übertragbarkeit: </w:t>
      </w:r>
      <w:r>
        <w:rPr>
          <w:sz w:val="19"/>
        </w:rPr>
        <w:t>Deutschland und Schweiz, multizentrisches Design; Biomarker vorhersagewert offen</w:t>
      </w:r>
    </w:p>
    <w:p>
      <w:r>
        <w:rPr>
          <w:color w:val="5A7D3A"/>
          <w:sz w:val="18"/>
        </w:rPr>
        <w:t>https://pubmed.ncbi.nlm.nih.gov/42697895/</w:t>
      </w:r>
    </w:p>
    <w:p>
      <w:pPr>
        <w:pStyle w:val="Heading2"/>
      </w:pPr>
      <w:r>
        <w:t>Wahrnehmung des Alterns bei Männern 2013–2023 stabil trotz Gesundheitsbewusstsein</w:t>
      </w:r>
    </w:p>
    <w:p>
      <w:r>
        <w:rPr>
          <w:i/>
          <w:color w:val="666666"/>
          <w:sz w:val="18"/>
        </w:rPr>
        <w:t>Bejda G et al.  ·  Adv Clin Exp Med  ·  Aug. 2026  ·  PMID 42543032</w:t>
      </w:r>
    </w:p>
    <w:p>
      <w:r>
        <w:t>Vergleichende Querschnittstudie an 2013 und 2023 hospitalisierten Männern aus Polen untersuchte Veränderungen in Alterswahrnehmung und Gesundheitsverhalten mittels standardisierter Instrumente.</w:t>
      </w:r>
    </w:p>
    <w:p>
      <w:r>
        <w:rPr>
          <w:b/>
        </w:rPr>
        <w:t xml:space="preserve">Ergebnis: </w:t>
      </w:r>
      <w:r>
        <w:t>80,5 % (2013) vs. 75,9 % (2023) mit psychischen Alterssymptomen. Sexuelle Dysfunktion 65,8 % vs. 63,3 %. Testosterone-Abnahme als Altersmerkmal erwartet. Hohe Selbstwirksamkeit in beiden Kohorten. Unzureichendes Alterswissen bleibt.</w:t>
      </w:r>
    </w:p>
    <w:p>
      <w:r>
        <w:rPr>
          <w:b/>
          <w:sz w:val="19"/>
        </w:rPr>
        <w:t xml:space="preserve">Übertragbarkeit: </w:t>
      </w:r>
      <w:r>
        <w:rPr>
          <w:sz w:val="19"/>
        </w:rPr>
        <w:t>Polen (Podlaskie), verwandter Sozialversicherungskontext</w:t>
      </w:r>
    </w:p>
    <w:p>
      <w:r>
        <w:rPr>
          <w:color w:val="5A7D3A"/>
          <w:sz w:val="18"/>
        </w:rPr>
        <w:t>https://pubmed.ncbi.nlm.nih.gov/42543032/</w:t>
      </w:r>
    </w:p>
    <w:p>
      <w:pPr>
        <w:pStyle w:val="Heading1"/>
      </w:pPr>
      <w:r>
        <w:t>Aufgenommen am 17.09.2026</w:t>
      </w:r>
    </w:p>
    <w:p>
      <w:pPr>
        <w:pStyle w:val="Heading2"/>
      </w:pPr>
      <w:r>
        <w:t>Frailty-Index (mFI-5) vorhersagekräftig für Komplikationen nach Amputation</w:t>
      </w:r>
    </w:p>
    <w:p>
      <w:r>
        <w:rPr>
          <w:i/>
          <w:color w:val="666666"/>
          <w:sz w:val="18"/>
        </w:rPr>
        <w:t>Ichikawa T et al.  ·  Eur J Orthop Surg Traumatol  ·  16.09.2026  ·  PMID 42747548</w:t>
      </w:r>
    </w:p>
    <w:p>
      <w:r>
        <w:t>USA-Traumakohorte (n=1.122, ≥18 Jahre, offene Unterschenkelbrüche mit Amputation; 2017–2021) zur Prognose von 30-Tage-Komplikationen via 5-Item Modified Frailty Index.</w:t>
      </w:r>
    </w:p>
    <w:p>
      <w:r>
        <w:rPr>
          <w:b/>
        </w:rPr>
        <w:t xml:space="preserve">Ergebnis: </w:t>
      </w:r>
      <w:r>
        <w:t>Pro Punkt mFI-5-Erhöhung: signifikant gestiegene Odds für Wundinfekt (OR 1,36), zerebrovaskuläres Ereignis (OR 2,93), Reintubation (OR 2,17), ICU-Aufnahme (OR 1,56) und Druckgeschwür (OR 1,68). mFI-5 unabhängiger Prädiktor nach Adjustierung für Alter, Geschlecht, ISS und andere Faktoren. Routinescreening empfohlen für Risikostratifizierung.</w:t>
      </w:r>
    </w:p>
    <w:p>
      <w:r>
        <w:rPr>
          <w:b/>
          <w:sz w:val="19"/>
        </w:rPr>
        <w:t xml:space="preserve">Übertragbarkeit: </w:t>
      </w:r>
      <w:r>
        <w:rPr>
          <w:sz w:val="19"/>
        </w:rPr>
        <w:t>USA-Traumasystem, aber Frailty-Assessment-Tool und Komplikationsdefinitionen international etabliert.</w:t>
      </w:r>
    </w:p>
    <w:p>
      <w:r>
        <w:rPr>
          <w:color w:val="5A7D3A"/>
          <w:sz w:val="18"/>
        </w:rPr>
        <w:t>https://pubmed.ncbi.nlm.nih.gov/42747548/</w:t>
      </w:r>
    </w:p>
    <w:p>
      <w:pPr>
        <w:pStyle w:val="Heading2"/>
      </w:pPr>
      <w:r>
        <w:t>Soziale Entfremdung bei kognitiver Gebrechlichkeit: Vier Subgruppen älterer Erwachsener</w:t>
      </w:r>
    </w:p>
    <w:p>
      <w:r>
        <w:rPr>
          <w:i/>
          <w:color w:val="666666"/>
          <w:sz w:val="18"/>
        </w:rPr>
        <w:t>Zhao S et al.  ·  Front Public Health  ·  01.09.2026  ·  PMID 42745907</w:t>
      </w:r>
    </w:p>
    <w:p>
      <w:r>
        <w:t>Chinesische Querschnittstudie (n=968, ≥60 Jahre, mit kognitiver Frailty) mittels latenter Profilanalyse zur Heterogenität sozialer Entfremdung.</w:t>
      </w:r>
    </w:p>
    <w:p>
      <w:r>
        <w:rPr>
          <w:b/>
        </w:rPr>
        <w:t xml:space="preserve">Ergebnis: </w:t>
      </w:r>
      <w:r>
        <w:t>Vier distinkte Profile identifiziert: „Soziale Anpassung</w:t>
      </w:r>
    </w:p>
    <w:p>
      <w:r>
        <w:rPr>
          <w:b/>
          <w:sz w:val="19"/>
        </w:rPr>
        <w:t xml:space="preserve">Übertragbarkeit: </w:t>
      </w:r>
      <w:r>
        <w:rPr>
          <w:sz w:val="19"/>
        </w:rPr>
        <w:t>China – andere Altersstruktur, aber relevante Versorgungsfrage zur kognitiven Frailty.</w:t>
      </w:r>
    </w:p>
    <w:p>
      <w:r>
        <w:rPr>
          <w:color w:val="5A7D3A"/>
          <w:sz w:val="18"/>
        </w:rPr>
        <w:t>https://pubmed.ncbi.nlm.nih.gov/42745907/</w:t>
      </w:r>
    </w:p>
    <w:p>
      <w:pPr>
        <w:pStyle w:val="Heading2"/>
      </w:pPr>
      <w:r>
        <w:t>Freiwillige Krankenversicherung senkt Frailty-Onset bei europäischen Älteren</w:t>
      </w:r>
    </w:p>
    <w:p>
      <w:r>
        <w:rPr>
          <w:i/>
          <w:color w:val="666666"/>
          <w:sz w:val="18"/>
        </w:rPr>
        <w:t>Sorrentino M et al.  ·  Front Public Health  ·  01.09.2026  ·  PMID 42745813</w:t>
      </w:r>
    </w:p>
    <w:p>
      <w:r>
        <w:t>Europäische Längsschnittstudie (SHARE 2013–2022, n=191.848, ≥50 Jahre) zur Assoziation zwischen freiwilliger Zusatzversicherung (VHI) und Frailty-Progression.</w:t>
      </w:r>
    </w:p>
    <w:p>
      <w:r>
        <w:rPr>
          <w:b/>
        </w:rPr>
        <w:t xml:space="preserve">Ergebnis: </w:t>
      </w:r>
      <w:r>
        <w:t>VHI mit niedrigeren Frailty-Scores assoziiert (Koeff. −0,056; 95%-KI −0,071 bis −0,041), stärkster Effekt in niedrigstem Einkommensquartil. Reduziertes Frailty-Onset-Risiko unter VHI (HR 0,862; 95%-KI 0,763–0,973), besonders in Spanien (HR 0,626). Allerdings: VHI könnte als Out-of-Pocket-Ausgabe Ungleichheiten verstärken.</w:t>
      </w:r>
    </w:p>
    <w:p>
      <w:r>
        <w:rPr>
          <w:b/>
          <w:sz w:val="19"/>
        </w:rPr>
        <w:t xml:space="preserve">Übertragbarkeit: </w:t>
      </w:r>
      <w:r>
        <w:rPr>
          <w:sz w:val="19"/>
        </w:rPr>
        <w:t>Europäische SHARE-Daten, vergleichbare Sozialsysteme, direkt auf deutsche Sozialversicherung übertragbar.</w:t>
      </w:r>
    </w:p>
    <w:p>
      <w:r>
        <w:rPr>
          <w:color w:val="5A7D3A"/>
          <w:sz w:val="18"/>
        </w:rPr>
        <w:t>https://pubmed.ncbi.nlm.nih.gov/42745813/</w:t>
      </w:r>
    </w:p>
    <w:p>
      <w:pPr>
        <w:pStyle w:val="Heading2"/>
      </w:pPr>
      <w:r>
        <w:t>Determinanten der Lebenserwartung in der EU: Präventive Mortalität geht über Wohlstand hinaus</w:t>
      </w:r>
    </w:p>
    <w:p>
      <w:r>
        <w:rPr>
          <w:i/>
          <w:color w:val="666666"/>
          <w:sz w:val="18"/>
        </w:rPr>
        <w:t>Antohi VM et al.  ·  Inquiry  ·  16.09.2026  ·  PMID 42745694</w:t>
      </w:r>
    </w:p>
    <w:p>
      <w:r>
        <w:t>Panel-Regressionsanalyse (6 EU-Länder: Rumänien, Bulgarien, Lettland, Deutschland, Italien, Spanien; 2011–2021) zu Effekten wirtschaftlicher, demografischer und Mortalitätsfaktoren auf Lebenserwartung.</w:t>
      </w:r>
    </w:p>
    <w:p>
      <w:r>
        <w:rPr>
          <w:b/>
        </w:rPr>
        <w:t xml:space="preserve">Ergebnis: </w:t>
      </w:r>
      <w:r>
        <w:t>CO₂-Emissionen und Bevölkerungswachstum senken Lebenserwartung (LE) signifikant. BIP pro Kopf, Gesundheitsausgaben, Bildung, Rechtsstaatlichkeit und Regierungseffektivität heben LE – aber nach Kontrolle für Mortalitätsindikatoren sinkt BIP-Effekt. Krude Mortalitätslast und Lebensjahre verloren durch Unfälle zeigen stärkste Assoziationen mit LE. Schlussfolgerung: Nachhaltige LE-Gewinne hängen weniger an Wachstum, mehr an Prävention.</w:t>
      </w:r>
    </w:p>
    <w:p>
      <w:r>
        <w:rPr>
          <w:b/>
          <w:sz w:val="19"/>
        </w:rPr>
        <w:t xml:space="preserve">Übertragbarkeit: </w:t>
      </w:r>
      <w:r>
        <w:rPr>
          <w:sz w:val="19"/>
        </w:rPr>
        <w:t>Deutschland, Italien, Spanien im Sample; europäische Sozialsysteme, direkt vergleichbar.</w:t>
      </w:r>
    </w:p>
    <w:p>
      <w:r>
        <w:rPr>
          <w:color w:val="5A7D3A"/>
          <w:sz w:val="18"/>
        </w:rPr>
        <w:t>https://pubmed.ncbi.nlm.nih.gov/42745694/</w:t>
      </w:r>
    </w:p>
    <w:p>
      <w:pPr>
        <w:pStyle w:val="Heading2"/>
      </w:pPr>
      <w:r>
        <w:t>Körperliche Aktivität puffert alternsbedingte Hippocampus-Veränderungen ab</w:t>
      </w:r>
    </w:p>
    <w:p>
      <w:r>
        <w:rPr>
          <w:i/>
          <w:color w:val="666666"/>
          <w:sz w:val="18"/>
        </w:rPr>
        <w:t>Montero-Herrera B et al.  ·  Hippocampus  ·  Sept. 2026  ·  PMID 42740373</w:t>
      </w:r>
    </w:p>
    <w:p>
      <w:r>
        <w:t>Querschnittsstudie (n=555, 36–90 Jahre, Human Connectome Project-Aging) zur Assoziation von moderater bis vigoroster Aktivität mit Hippocampus-Struktur (Dicke, Oberfläche, mikrostrukturelle T1w/T2w-Ratio).</w:t>
      </w:r>
    </w:p>
    <w:p>
      <w:r>
        <w:rPr>
          <w:b/>
        </w:rPr>
        <w:t xml:space="preserve">Ergebnis: </w:t>
      </w:r>
      <w:r>
        <w:t>Bei niedriger Aktivität (&lt;150 Min/Wo): Alter assoziiert mit diffusen Unterschieden in Hippocampus-Makro- und Mikrostruktur (niedrigere Dicke/Oberfläche, höhere T1w/T2w-Ratio). Moderate bis hohe Aktivität (≥150 Min/Wo) moderiert diese Alterseffekte in linkem Hippocampus signifikant; signifikante Unterschiede in Oberfläche und Ratio bei aktiveren Älteren. Befund deutet auf erhaltene plastische Kapazität hin.</w:t>
      </w:r>
    </w:p>
    <w:p>
      <w:r>
        <w:rPr>
          <w:b/>
          <w:sz w:val="19"/>
        </w:rPr>
        <w:t xml:space="preserve">Übertragbarkeit: </w:t>
      </w:r>
      <w:r>
        <w:rPr>
          <w:sz w:val="19"/>
        </w:rPr>
        <w:t>USA – Neuroimaging-Methodik unabhängig von System; Aktivitätsempfehlung universal anwendbar.</w:t>
      </w:r>
    </w:p>
    <w:p>
      <w:r>
        <w:rPr>
          <w:color w:val="5A7D3A"/>
          <w:sz w:val="18"/>
        </w:rPr>
        <w:t>https://pubmed.ncbi.nlm.nih.gov/42740373/</w:t>
      </w:r>
    </w:p>
    <w:p>
      <w:pPr>
        <w:pStyle w:val="Heading2"/>
      </w:pPr>
      <w:r>
        <w:t>Moralische Verantwortung im Alter: Klimahandeln unter Alltagsbedingungen</w:t>
      </w:r>
    </w:p>
    <w:p>
      <w:r>
        <w:rPr>
          <w:i/>
          <w:color w:val="666666"/>
          <w:sz w:val="18"/>
        </w:rPr>
        <w:t>Grand J  ·  J Aging Stud  ·  29.06.2026  ·  PMID 42705825</w:t>
      </w:r>
    </w:p>
    <w:p>
      <w:r>
        <w:t>Qualitative Studie (Interviews, Fokusgruppen) mit Schweizer Älteren (65–83 Jahre) zu deren Verständnis und Umsetzung von Verantwortung für Klimaschutz im Alltag.</w:t>
      </w:r>
    </w:p>
    <w:p>
      <w:r>
        <w:rPr>
          <w:b/>
        </w:rPr>
        <w:t xml:space="preserve">Ergebnis: </w:t>
      </w:r>
      <w:r>
        <w:t>Ältere Erwachsene verhandeln Klimaverantwortung pragmatisch im Spannungsfeld zwischen persönlicher Handlungsfähigkeit und körperlichen Grenzen des Alterns. Zeitliche Beschränkung und Mobilitätseinbußen prägen Deutung und Umfang ihres Engagements; Fokus liegt auf Haushalt und Familie statt großflächiger Aktivismus. Kernbefund: Spätes Leben restrukturiert, realisiert aber nicht negiert Umweltverantwortung.</w:t>
      </w:r>
    </w:p>
    <w:p>
      <w:r>
        <w:rPr>
          <w:b/>
          <w:sz w:val="19"/>
        </w:rPr>
        <w:t xml:space="preserve">Übertragbarkeit: </w:t>
      </w:r>
      <w:r>
        <w:rPr>
          <w:sz w:val="19"/>
        </w:rPr>
        <w:t>Schweiz, deutschsprachig, Sozialkontext vergleichbar; Erkenntnisse zu älteren Bürgern in Transformationen.</w:t>
      </w:r>
    </w:p>
    <w:p>
      <w:r>
        <w:rPr>
          <w:color w:val="5A7D3A"/>
          <w:sz w:val="18"/>
        </w:rPr>
        <w:t>https://pubmed.ncbi.nlm.nih.gov/42705825/</w:t>
      </w:r>
    </w:p>
    <w:p>
      <w:pPr>
        <w:pStyle w:val="Heading1"/>
      </w:pPr>
      <w:r>
        <w:t>Aufgenommen am 16.09.2026</w:t>
      </w:r>
    </w:p>
    <w:p>
      <w:pPr>
        <w:pStyle w:val="Heading2"/>
      </w:pPr>
      <w:r>
        <w:t>Orale Gebrechlichkeit beeinträchtigt Alltagsfähigkeit durch schlechte Ernährung – Ernährungsstatus vermittelt</w:t>
      </w:r>
    </w:p>
    <w:p>
      <w:r>
        <w:rPr>
          <w:i/>
          <w:color w:val="666666"/>
          <w:sz w:val="18"/>
        </w:rPr>
        <w:t>Jiang W et al.  ·  Front Public Health  ·  31.08.2026  ·  PMID 42741152</w:t>
      </w:r>
    </w:p>
    <w:p>
      <w:r>
        <w:t>Querschnittsstudie mit 401 älteren Chengdu-Bewohnern (≥60 Jahre): untersuchte, ob orale Frailty (Zahnprobleme, Kaustörungen) die Alltagsfunktion beeinträchtigt und ob Malnutritionsrisiko diesen Zusammenhang mediert.</w:t>
      </w:r>
    </w:p>
    <w:p>
      <w:r>
        <w:rPr>
          <w:b/>
        </w:rPr>
        <w:t xml:space="preserve">Ergebnis: </w:t>
      </w:r>
      <w:r>
        <w:t>Orale Frailty korrelierte mit schlecherer Ernährung (B=–0,116; p=0,001) und niedriger ADL-Fähigkeit (Barthel-Index). Der direkte Assoziationseffekt blieb signifikant (B=–2,261; p=0,012), die indirekte Assoziation über Ernährung war klein aber signifikant (indirekt=–0,363; 95%-Bootstrap: –0,798 bis –0,044). Orale Frailty liegt bei 40,9 % vor, Malnutritionsrisiko bei 12,0 %.</w:t>
      </w:r>
    </w:p>
    <w:p>
      <w:r>
        <w:rPr>
          <w:b/>
          <w:sz w:val="19"/>
        </w:rPr>
        <w:t xml:space="preserve">Übertragbarkeit: </w:t>
      </w:r>
      <w:r>
        <w:rPr>
          <w:sz w:val="19"/>
        </w:rPr>
        <w:t>Chinesische Primärversorgung, Instrument ORALFRAIL übertragbar, Modell validierungsbedürftig für Deutschland</w:t>
      </w:r>
    </w:p>
    <w:p>
      <w:r>
        <w:rPr>
          <w:color w:val="5A7D3A"/>
          <w:sz w:val="18"/>
        </w:rPr>
        <w:t>https://pubmed.ncbi.nlm.nih.gov/42741152/</w:t>
      </w:r>
    </w:p>
    <w:p>
      <w:pPr>
        <w:pStyle w:val="Heading2"/>
      </w:pPr>
      <w:r>
        <w:t>Kurzzeitliches Prehab-Training steigert präoperative Funktionsfähigkeit fragiler Prostatapatienten</w:t>
      </w:r>
    </w:p>
    <w:p>
      <w:r>
        <w:rPr>
          <w:i/>
          <w:color w:val="666666"/>
          <w:sz w:val="18"/>
        </w:rPr>
        <w:t>Wang Z et al.  ·  BMC Geriatr  ·  24.07.2026  ·  PMID 42736541</w:t>
      </w:r>
    </w:p>
    <w:p>
      <w:r>
        <w:t>Randomisierte, verblindete Studie mit 80 älteren Männern (≥60 Jahre) mit Prostatakarzinom in prefrail/frail Zustand; geprüft, ob 12-tägiges Home-Prehabilitation (Bewegung, Ernährung, psychische Unterstützung) vor geplanter Prostatektomie die perioperative funktionelle Leistung verbessert.</w:t>
      </w:r>
    </w:p>
    <w:p>
      <w:r>
        <w:rPr>
          <w:b/>
        </w:rPr>
        <w:t xml:space="preserve">Ergebnis: </w:t>
      </w:r>
      <w:r>
        <w:t>Prehab-Gruppe verbesserte 6-Minuten-Gehstrecke um 27,70±16,86 m vor OP, Kontrollgruppe nur um –3,12±3,62 m; Differenz 30,82 m (95%-KI 25,32–36,33; p&lt;0,001). Postoperativ schnellere Mobilisierung, schnellere Magen-Darm-Erholung, kürzere Krankenhausliegedauer. Keine interventionsbezogenen Nebenereignisse.</w:t>
      </w:r>
    </w:p>
    <w:p>
      <w:r>
        <w:rPr>
          <w:b/>
          <w:sz w:val="19"/>
        </w:rPr>
        <w:t xml:space="preserve">Übertragbarkeit: </w:t>
      </w:r>
      <w:r>
        <w:rPr>
          <w:sz w:val="19"/>
        </w:rPr>
        <w:t>Chinesische Klinikdaten, geriatrisches Prähabilitationskonzept übertragbar auf Deutschland</w:t>
      </w:r>
    </w:p>
    <w:p>
      <w:r>
        <w:rPr>
          <w:color w:val="5A7D3A"/>
          <w:sz w:val="18"/>
        </w:rPr>
        <w:t>https://pubmed.ncbi.nlm.nih.gov/42736541/</w:t>
      </w:r>
    </w:p>
    <w:p>
      <w:pPr>
        <w:pStyle w:val="Heading2"/>
      </w:pPr>
      <w:r>
        <w:t>Automatisierter Frailty-Index aus Labortests (FI-Lab) validiert akutes Mortalitätsrisiko</w:t>
      </w:r>
    </w:p>
    <w:p>
      <w:r>
        <w:rPr>
          <w:i/>
          <w:color w:val="666666"/>
          <w:sz w:val="18"/>
        </w:rPr>
        <w:t>Logan Ellis H et al.  ·  PLoS Med  ·  01.09.2026  ·  PMID 42678992</w:t>
      </w:r>
    </w:p>
    <w:p>
      <w:r>
        <w:t>Retrospektive multizentrische Studie an drei Kohorten (Boston, London, UK Biobank; insgesamt 872.744 Patienten), die einen aus 20-40 Standardlabortests berechneten automatisierten Frailty-Index zur Vorhersage der 1-Jahres-Mortalität in der Notaufnahme und klinischen Routine erprobte.</w:t>
      </w:r>
    </w:p>
    <w:p>
      <w:r>
        <w:rPr>
          <w:b/>
        </w:rPr>
        <w:t xml:space="preserve">Ergebnis: </w:t>
      </w:r>
      <w:r>
        <w:t>Der FI-Lab zeigte Hazard Ratios für 1-Jahres-Mortalität von 2,04 (95%-KI [1,99–2,09]) in MIMIC-IV-ED, 2,55 (95%-KI [2,42–2,69]) in King's College Hospital und 1,87 (95%-KI [1,80–1,94]) in UK Biobank pro Standardabweichung Anstieg – und übertraf damit den National Early Warning Score 2. Die Unterscheidungsfähigkeit stabilisierte sich bei 20–40 Tests. Ein pragmatisches, ohne zusätzliche Messungen anwendbares Instrument.</w:t>
      </w:r>
    </w:p>
    <w:p>
      <w:r>
        <w:rPr>
          <w:b/>
          <w:sz w:val="19"/>
        </w:rPr>
        <w:t xml:space="preserve">Übertragbarkeit: </w:t>
      </w:r>
      <w:r>
        <w:rPr>
          <w:sz w:val="19"/>
        </w:rPr>
        <w:t>UK-Klinikdaten, Notaufnahme-Dokumentation übertragbar auf deutsche Krankenhaussysteme</w:t>
      </w:r>
    </w:p>
    <w:p>
      <w:r>
        <w:rPr>
          <w:color w:val="5A7D3A"/>
          <w:sz w:val="18"/>
        </w:rPr>
        <w:t>https://pubmed.ncbi.nlm.nih.gov/42678992/</w:t>
      </w:r>
    </w:p>
    <w:p>
      <w:pPr>
        <w:pStyle w:val="Heading2"/>
      </w:pPr>
      <w:r>
        <w:t>Intrinsic Capacity senkt kardiovaskuläres Risiko durch multidimensionale Funktionsmessung</w:t>
      </w:r>
    </w:p>
    <w:p>
      <w:r>
        <w:rPr>
          <w:i/>
          <w:color w:val="666666"/>
          <w:sz w:val="18"/>
        </w:rPr>
        <w:t>Zhang Z et al.  ·  Maturitas  ·  15.08.2026  ·  PMID 42612584</w:t>
      </w:r>
    </w:p>
    <w:p>
      <w:r>
        <w:t>Gepoolte Analyse dreier Langzeitkohorten (China, England, USA; 13.807 Probanden) untersuchte, ob Beeinträchtigungen in Intrinsic Capacity (Kognition, Mobilität, Vitalität, psychische Funktion, Sinnesfunktion) unabhängig und gemeinsam mit Hypertonie das Herzinfarkt- und Schlaganfallrisiko vorhersagen.</w:t>
      </w:r>
    </w:p>
    <w:p>
      <w:r>
        <w:rPr>
          <w:b/>
        </w:rPr>
        <w:t xml:space="preserve">Ergebnis: </w:t>
      </w:r>
      <w:r>
        <w:t>Gegenüber intakter Kapazität und normalen Blutdruckwerten zeigten beeinträchtigte IC (HR 1,53; 95%-KI 1,34–1,74), Hypertonie allein (HR 1,68; 95%-KI 1,46–1,93) und beide kombiniert (HR 2,29; 95%-KI 2,02–2,59) erhöhte kardiovaskuläre Ereignisrisiken. Das Modell mit IC-Messung erhöhte die C-Index-Diskriminierung von 0,619 auf 0,649. Progressive Risikozunahme mit jeder zusätzlich beeinträchtigten IC-Domäne.</w:t>
      </w:r>
    </w:p>
    <w:p>
      <w:r>
        <w:rPr>
          <w:b/>
          <w:sz w:val="19"/>
        </w:rPr>
        <w:t xml:space="preserve">Übertragbarkeit: </w:t>
      </w:r>
      <w:r>
        <w:rPr>
          <w:sz w:val="19"/>
        </w:rPr>
        <w:t>Drei Kohorten auf vier Kontinenten, vergleichbare Outcomemessung, Übertragbarkeit hoch</w:t>
      </w:r>
    </w:p>
    <w:p>
      <w:r>
        <w:rPr>
          <w:color w:val="5A7D3A"/>
          <w:sz w:val="18"/>
        </w:rPr>
        <w:t>https://pubmed.ncbi.nlm.nih.gov/42612584/</w:t>
      </w:r>
    </w:p>
    <w:p>
      <w:pPr>
        <w:pStyle w:val="Heading2"/>
      </w:pPr>
      <w:r>
        <w:t>Multidomain-Rehabilitation nach Herzinfarkt wirkt auch bei Frailty – Frailty sollte nicht abschrecken</w:t>
      </w:r>
    </w:p>
    <w:p>
      <w:r>
        <w:rPr>
          <w:i/>
          <w:color w:val="666666"/>
          <w:sz w:val="18"/>
        </w:rPr>
        <w:t>Dal Passo B et al.  ·  Circ Popul Health Outcomes  ·  17.08.2026  ·  PMID 42605666</w:t>
      </w:r>
    </w:p>
    <w:p>
      <w:r>
        <w:t>Prespecified-Subgruppen-Analyse der italienischen PIpELINe-RCT mit 512 Patienten ≥65 Jahren nach Myokardinfarkt; getestet, ob Gebrechlichkeit (Fried-Phänotyp) den Nutzen von multidomäner Rehabilitation (Bewegung, Ernährung, Psyche, Beckenbodentraining) mindert.</w:t>
      </w:r>
    </w:p>
    <w:p>
      <w:r>
        <w:rPr>
          <w:b/>
        </w:rPr>
        <w:t xml:space="preserve">Ergebnis: </w:t>
      </w:r>
      <w:r>
        <w:t>68,4 % (350 von 512) waren prefrail/frail; davon profitierten die 232 der Interventionsgruppe signifikant mit 43 % relativem Risikoreduktion (HR 0,57; 95%-KI 0,34–0,94; p=0,028) für die primäre Endpunkte (kardiovaskulärer Tod oder ungeplante Hospitalisierung). Kein signifikanter Interaktionseffekt: Frailty mindert den Rehabilitations-Nutzen nicht.</w:t>
      </w:r>
    </w:p>
    <w:p>
      <w:r>
        <w:rPr>
          <w:b/>
          <w:sz w:val="19"/>
        </w:rPr>
        <w:t xml:space="preserve">Übertragbarkeit: </w:t>
      </w:r>
      <w:r>
        <w:rPr>
          <w:sz w:val="19"/>
        </w:rPr>
        <w:t>Multizentrische italienische RCT, europäisches Setting, direkt auf deutsches Gesundheitswesen übertragbar</w:t>
      </w:r>
    </w:p>
    <w:p>
      <w:r>
        <w:rPr>
          <w:color w:val="5A7D3A"/>
          <w:sz w:val="18"/>
        </w:rPr>
        <w:t>https://pubmed.ncbi.nlm.nih.gov/42605666/</w:t>
      </w:r>
    </w:p>
    <w:p>
      <w:pPr>
        <w:pStyle w:val="Heading2"/>
      </w:pPr>
      <w:r>
        <w:t>Gebrechlichkeit steigert Demenzrisiko durch Entzündung, Stoffwechsel und vorzeigte Hirnalterung</w:t>
      </w:r>
    </w:p>
    <w:p>
      <w:r>
        <w:rPr>
          <w:i/>
          <w:color w:val="666666"/>
          <w:sz w:val="18"/>
        </w:rPr>
        <w:t>Chen W et al.  ·  J Nutr Health Aging  ·  10.07.2026  ·  PMID 42430904</w:t>
      </w:r>
    </w:p>
    <w:p>
      <w:r>
        <w:t>Kohortenstudie mit 452.516 UK-Biobank-Probanden ohne Demenz-Baseline, Verfolgung 13,7 Jahre: untersucht, ob der Fried-Frailty-Phänotyp das Demenzrisiko steigert und welche Pfade (Entzündung, Stoffwechsel, Hirn-Age-Gap) diese Assoziation vermitteln.</w:t>
      </w:r>
    </w:p>
    <w:p>
      <w:r>
        <w:rPr>
          <w:b/>
        </w:rPr>
        <w:t xml:space="preserve">Ergebnis: </w:t>
      </w:r>
      <w:r>
        <w:t>7.777 Demenzneuerkrankungen; Frailty erhöhte Risiko mit HR 2,21 (95%-KI 2,02–2,42). Mediation: Entzündungs-Score vermittelte 4 %, Stoffwechsel-Score 13 %, beschleunigtes Hirn-Alter (brain-age-gap) 20 % der Frailty-Demenz-Assoziation. Genetische Interaktion nachgewiesen (p=0,033).</w:t>
      </w:r>
    </w:p>
    <w:p>
      <w:r>
        <w:rPr>
          <w:b/>
          <w:sz w:val="19"/>
        </w:rPr>
        <w:t xml:space="preserve">Übertragbarkeit: </w:t>
      </w:r>
      <w:r>
        <w:rPr>
          <w:sz w:val="19"/>
        </w:rPr>
        <w:t>UK Biobank, Bildgebung, Biomarker, Konzept der Frailty-Prävention gegen Demenz auf deutsches Gesundheitswesen übertragbar</w:t>
      </w:r>
    </w:p>
    <w:p>
      <w:r>
        <w:rPr>
          <w:color w:val="5A7D3A"/>
          <w:sz w:val="18"/>
        </w:rPr>
        <w:t>https://pubmed.ncbi.nlm.nih.gov/42430904/</w:t>
      </w:r>
    </w:p>
    <w:p>
      <w:pPr>
        <w:pStyle w:val="Heading2"/>
      </w:pPr>
      <w:r>
        <w:t>Operative Belastung beschleunigt biologisches Altern, körperliche Aktivität puffert Effekt</w:t>
      </w:r>
    </w:p>
    <w:p>
      <w:r>
        <w:rPr>
          <w:i/>
          <w:color w:val="666666"/>
          <w:sz w:val="18"/>
        </w:rPr>
        <w:t>Wang X et al.  ·  J Nutr Health Aging  ·  09.07.2026  ·  PMID 42424841</w:t>
      </w:r>
    </w:p>
    <w:p>
      <w:r>
        <w:t>Querschnittanalyse von 126.668 UK-Biobank-Probanden ≥60 Jahren mit Operationsgeschichte: geprüft, ob Anzahl, Häufigkeit und zeitliche Nähe von Operationen das biologische Alter (PhenoAge-Acceleration) steigern und ob sportliche Aktivität diesen Effekt abschwächt.</w:t>
      </w:r>
    </w:p>
    <w:p>
      <w:r>
        <w:rPr>
          <w:b/>
        </w:rPr>
        <w:t xml:space="preserve">Ergebnis: </w:t>
      </w:r>
      <w:r>
        <w:t>≥4 Operationen assoziiert mit 0,14–0,39 Jahren PhenoAge-Acceleration. Operationen im Abstand ≤1 Jahr: +0,11 Jahre Beschleunigung. Operation ≤1 Jahr zurück: +0,35 Jahre Beschleunigung. Hohe körperliche Aktivität (≥600 MET-min/Woche) minderte diese Effekte deutlich; nur bei ≥5 Operationen blieb Beschleunigung signifikant.</w:t>
      </w:r>
    </w:p>
    <w:p>
      <w:r>
        <w:rPr>
          <w:b/>
          <w:sz w:val="19"/>
        </w:rPr>
        <w:t xml:space="preserve">Übertragbarkeit: </w:t>
      </w:r>
      <w:r>
        <w:rPr>
          <w:sz w:val="19"/>
        </w:rPr>
        <w:t>UK Biobank, Operationsdaten und PhenoAge-Biomarker verfügbar, Aktivitätsbewertung übertragbar</w:t>
      </w:r>
    </w:p>
    <w:p>
      <w:r>
        <w:rPr>
          <w:color w:val="5A7D3A"/>
          <w:sz w:val="18"/>
        </w:rPr>
        <w:t>https://pubmed.ncbi.nlm.nih.gov/42424841/</w:t>
      </w:r>
    </w:p>
    <w:p>
      <w:pPr>
        <w:pStyle w:val="Heading1"/>
      </w:pPr>
      <w:r>
        <w:t>Aufgenommen am 15.09.2026</w:t>
      </w:r>
    </w:p>
    <w:p>
      <w:pPr>
        <w:pStyle w:val="Heading2"/>
      </w:pPr>
      <w:r>
        <w:t>Loneliness und Benzodiazepine: Assoziationen bei älteren Kanadiern</w:t>
      </w:r>
    </w:p>
    <w:p>
      <w:r>
        <w:rPr>
          <w:i/>
          <w:color w:val="666666"/>
          <w:sz w:val="18"/>
        </w:rPr>
        <w:t>Watt JA et al.  ·  Age Ageing  ·  04.09.2026  ·  PMID 42735388</w:t>
      </w:r>
    </w:p>
    <w:p>
      <w:r>
        <w:t>Querschnittsstudie mit prospektiver Kohortennachbeobachtung (kanadische Longitudinal Study on Aging) zum Zusammenhang zwischen Einsamkeit und neuem Medikamentengebrauch (Benzodiazepine, Opioide).</w:t>
      </w:r>
    </w:p>
    <w:p>
      <w:r>
        <w:rPr>
          <w:b/>
        </w:rPr>
        <w:t xml:space="preserve">Ergebnis: </w:t>
      </w:r>
      <w:r>
        <w:t>Von 29.976 Teilnehmern waren 10,8% einsam. Einsame Teilnehmer hatten höhere Quote neuer Benzodiazepinnutzung (aOR 1,94, 95%-KI 1,47–2,57) und Opioidnutzung (aOR 1,43, 95%-KI 1,05–1,93) als nicht einsame. Einsamkeit blieb mit Benzodiazepinen assoziiert nach Adjustierung für Stimmungs- und Angststörungen. Multimodale Interventionen gegen Einsamkeit könnten Deprescribing unterstützen.</w:t>
      </w:r>
    </w:p>
    <w:p>
      <w:r>
        <w:rPr>
          <w:b/>
          <w:sz w:val="19"/>
        </w:rPr>
        <w:t xml:space="preserve">Übertragbarkeit: </w:t>
      </w:r>
      <w:r>
        <w:rPr>
          <w:sz w:val="19"/>
        </w:rPr>
        <w:t>Kanada, vergleichbares Sozialversicherungssystem, hohe Relevanz für deutsche Versorgung</w:t>
      </w:r>
    </w:p>
    <w:p>
      <w:r>
        <w:rPr>
          <w:color w:val="5A7D3A"/>
          <w:sz w:val="18"/>
        </w:rPr>
        <w:t>https://pubmed.ncbi.nlm.nih.gov/42735388/</w:t>
      </w:r>
    </w:p>
    <w:p>
      <w:pPr>
        <w:pStyle w:val="Heading2"/>
      </w:pPr>
      <w:r>
        <w:t>Schweregrad der Frailty: Schwellen und minimale klinisch relevante Unterschiede</w:t>
      </w:r>
    </w:p>
    <w:p>
      <w:r>
        <w:rPr>
          <w:i/>
          <w:color w:val="666666"/>
          <w:sz w:val="18"/>
        </w:rPr>
        <w:t>Álvarez-Bustos A et al.  ·  Age Ageing  ·  04.09.2026  ·  PMID 42735387</w:t>
      </w:r>
    </w:p>
    <w:p>
      <w:r>
        <w:t>Prospektive Kohortenstudie (n=1.811, Alter ≥65 Jahre) zur Validation der Frailty Trait Scale (FTS) mit Outcomes Behinderung, Hospitalisierung und Mortalität.</w:t>
      </w:r>
    </w:p>
    <w:p>
      <w:r>
        <w:rPr>
          <w:b/>
        </w:rPr>
        <w:t xml:space="preserve">Ergebnis: </w:t>
      </w:r>
      <w:r>
        <w:t>Dosis-Wirkungs-Beziehung zwischen Frailty-Score und allen Outcomes mit unterschiedlichen Schwellen: Behinderungsrisiko ab 25/100 FTS, Hospitalisierung ab 40/100, Mortalität ab 50/100. Reductions in FTS-Scores ≥10,3 schützten vor Hospitalisierung (HR 0,74, 95%-KI 0,56–0,99) und ≥4,5 vor Mortalität (HR 0,65, 95%-KI 0,45–0,95). Tool überwindet Grenzen klassischer Assessment-Instrumente.</w:t>
      </w:r>
    </w:p>
    <w:p>
      <w:r>
        <w:rPr>
          <w:b/>
          <w:sz w:val="19"/>
        </w:rPr>
        <w:t xml:space="preserve">Übertragbarkeit: </w:t>
      </w:r>
      <w:r>
        <w:rPr>
          <w:sz w:val="19"/>
        </w:rPr>
        <w:t>Spanien, vergleichbares europäisches Sozialversicherungssystem und Altersstruktur</w:t>
      </w:r>
    </w:p>
    <w:p>
      <w:r>
        <w:rPr>
          <w:color w:val="5A7D3A"/>
          <w:sz w:val="18"/>
        </w:rPr>
        <w:t>https://pubmed.ncbi.nlm.nih.gov/42735387/</w:t>
      </w:r>
    </w:p>
    <w:p>
      <w:pPr>
        <w:pStyle w:val="Heading2"/>
      </w:pPr>
      <w:r>
        <w:t>Internet-Nutzung und kognitive Funktionsfähigkeit: Effekt bei älteren Erwachsenen während COVID-19</w:t>
      </w:r>
    </w:p>
    <w:p>
      <w:r>
        <w:rPr>
          <w:i/>
          <w:color w:val="666666"/>
          <w:sz w:val="18"/>
        </w:rPr>
        <w:t>Xu J et al.  ·  Arch Clin Neuropsychol  ·  09.09.2026  ·  PMID 42734926</w:t>
      </w:r>
    </w:p>
    <w:p>
      <w:r>
        <w:t>Längsschnittstudie (China Health and Retirement Longitudinal Study, n=3.346 Baseline-Offline-Nutzer, davon 1.699 neue Internet-Adopter) zu kognitiven und depressiven Veränderungen nach Internetadoption.</w:t>
      </w:r>
    </w:p>
    <w:p>
      <w:r>
        <w:rPr>
          <w:b/>
        </w:rPr>
        <w:t xml:space="preserve">Ergebnis: </w:t>
      </w:r>
      <w:r>
        <w:t>Neue Internet-Adoption war assoziiert mit stärkerer Zunahme der kognitiven Funktion (10-Punkt MMSE-Score β=0,28, 95%-KI 0,11–0,44, p&lt;0,001) gegenüber konstanter Nicht-Nutzung. Effekt blieb in Sensitivitätsanalysen stabil. Keine signifikante Assoziation mit depressiven Symptomveränderungen (β=-0,18, p=0,40). Digital inclusion relevant für kognitive Gesundheit älterer Erwachsener.</w:t>
      </w:r>
    </w:p>
    <w:p>
      <w:r>
        <w:rPr>
          <w:b/>
          <w:sz w:val="19"/>
        </w:rPr>
        <w:t xml:space="preserve">Übertragbarkeit: </w:t>
      </w:r>
      <w:r>
        <w:rPr>
          <w:sz w:val="19"/>
        </w:rPr>
        <w:t>China, andere Altersstruktur und Digitalisierungskontext; kognitiver Effekt kulturunabhängig wahrscheinlich</w:t>
      </w:r>
    </w:p>
    <w:p>
      <w:r>
        <w:rPr>
          <w:color w:val="5A7D3A"/>
          <w:sz w:val="18"/>
        </w:rPr>
        <w:t>https://pubmed.ncbi.nlm.nih.gov/42734926/</w:t>
      </w:r>
    </w:p>
    <w:p>
      <w:pPr>
        <w:pStyle w:val="Heading2"/>
      </w:pPr>
      <w:r>
        <w:t>Frailty-Konzept in der Patientenkommunikation: kreative Beteiligungsmethoden</w:t>
      </w:r>
    </w:p>
    <w:p>
      <w:r>
        <w:rPr>
          <w:i/>
          <w:color w:val="666666"/>
          <w:sz w:val="18"/>
        </w:rPr>
        <w:t>Lammons W et al.  ·  Health Expect  ·  Okt. 2026  ·  PMID 42734162</w:t>
      </w:r>
    </w:p>
    <w:p>
      <w:r>
        <w:t>Qualitative Studie mit 3 kreativen Public-Involvement-Workshops (Gedichte, Quilting, n=22) zur Exploration von Patientenperspektiven auf Gebrechlichkeit und Patientenkommunikation.</w:t>
      </w:r>
    </w:p>
    <w:p>
      <w:r>
        <w:rPr>
          <w:b/>
        </w:rPr>
        <w:t xml:space="preserve">Ergebnis: </w:t>
      </w:r>
      <w:r>
        <w:t>Partizipanten kritisierten Begriff 'Frailty' als stigmatisierend und ungenau; forderten personalisierte, erfahrungsorientierte Kommunikation. Themen: Schwierigkeiten mit Frailty-Begriff, Personalisierung in Patientengesprächsen, Zeitdruck im Gesundheitswesen. Kreative Methoden ermöglichten nicht-diskursiven Zugang zu kontroversen Konzepten, verbesserten Topic Guide und Datenanalyse der Forschung.</w:t>
      </w:r>
    </w:p>
    <w:p>
      <w:r>
        <w:rPr>
          <w:b/>
          <w:sz w:val="19"/>
        </w:rPr>
        <w:t xml:space="preserve">Übertragbarkeit: </w:t>
      </w:r>
      <w:r>
        <w:rPr>
          <w:sz w:val="19"/>
        </w:rPr>
        <w:t>Großbritannien, NHS-System; patientenzentrierte Versorgungsfragen gelten länderübergreifend</w:t>
      </w:r>
    </w:p>
    <w:p>
      <w:r>
        <w:rPr>
          <w:color w:val="5A7D3A"/>
          <w:sz w:val="18"/>
        </w:rPr>
        <w:t>https://pubmed.ncbi.nlm.nih.gov/42734162/</w:t>
      </w:r>
    </w:p>
    <w:p>
      <w:pPr>
        <w:pStyle w:val="Heading2"/>
      </w:pPr>
      <w:r>
        <w:t>Lebenserwartung USA 2024: Zuwächse nach Rückgang in Vorjahren</w:t>
      </w:r>
    </w:p>
    <w:p>
      <w:r>
        <w:rPr>
          <w:i/>
          <w:color w:val="666666"/>
          <w:sz w:val="18"/>
        </w:rPr>
        <w:t>Arias E et al.  ·  Natl Vital Stat Rep  ·  Aug. 2026  ·  PMID 42727234</w:t>
      </w:r>
    </w:p>
    <w:p>
      <w:r>
        <w:t>Amtliche amerikanische Sterbetafel basierend auf 2024-Mortalitätsdaten; Gesamtpopulation und stratifiziert nach Ethnie, Rasse und Geschlecht.</w:t>
      </w:r>
    </w:p>
    <w:p>
      <w:r>
        <w:rPr>
          <w:b/>
        </w:rPr>
        <w:t xml:space="preserve">Ergebnis: </w:t>
      </w:r>
      <w:r>
        <w:t>Gesamtlebenserwartung bei Geburt 79,0 Jahre (+0,6 vs. 2023). Männer +0,7 Jahre (75,8→76,5), Frauen +0,3 Jahre (81,1→81,4). Nach Ethnie: American Indian/Alaska Native +1,0 (70,1→71,1), Black +0,8 (74,0→74,8), Asian +0,6 (85,2→85,8), Hispanic +0,5 (81,3→81,8), White +0,5 (78,4→78,9). Fortsetzung des Wiederaufwärts-Trends nach COVID-19-Dip.</w:t>
      </w:r>
    </w:p>
    <w:p>
      <w:r>
        <w:rPr>
          <w:b/>
          <w:sz w:val="19"/>
        </w:rPr>
        <w:t xml:space="preserve">Übertragbarkeit: </w:t>
      </w:r>
      <w:r>
        <w:rPr>
          <w:sz w:val="19"/>
        </w:rPr>
        <w:t>USA, grundlegend andere Finanzierungsstruktur des Gesundheitswesens; Trend-Aussage transnational relevant</w:t>
      </w:r>
    </w:p>
    <w:p>
      <w:r>
        <w:rPr>
          <w:color w:val="5A7D3A"/>
          <w:sz w:val="18"/>
        </w:rPr>
        <w:t>https://pubmed.ncbi.nlm.nih.gov/42727234/</w:t>
      </w:r>
    </w:p>
    <w:p>
      <w:pPr>
        <w:pStyle w:val="Heading1"/>
      </w:pPr>
      <w:r>
        <w:t>Aufgenommen am 14.09.2026</w:t>
      </w:r>
    </w:p>
    <w:p>
      <w:pPr>
        <w:pStyle w:val="Heading2"/>
      </w:pPr>
      <w:r>
        <w:t>Umweltbelastung und Frailty bei älteren Menschen nach Trauma: WTC-Responder-Kohorte</w:t>
      </w:r>
    </w:p>
    <w:p>
      <w:r>
        <w:rPr>
          <w:i/>
          <w:color w:val="666666"/>
          <w:sz w:val="18"/>
        </w:rPr>
        <w:t>Krasnov H et al.  ·  Nat Commun  ·  11.09.2026  ·  PMID 42728266</w:t>
      </w:r>
    </w:p>
    <w:p>
      <w:r>
        <w:t>Analysierte in Längsschnittkohort (18.734 WTC-Responder) den Zusammenhang zwischen städtischen Umweltexpositionen (Feinstaub, Temperatur, Grünflächen) und Frailty sowie psychiatrischen Symptomen, adjustiert für Traumaexposition.</w:t>
      </w:r>
    </w:p>
    <w:p>
      <w:r>
        <w:rPr>
          <w:b/>
        </w:rPr>
        <w:t xml:space="preserve">Ergebnis: </w:t>
      </w:r>
      <w:r>
        <w:t>Ein Dezil-Anstieg der Gesamt-Expositionsmischung assoziiert mit erhöhter Frailty (0,56%; 95%-KI: 0,14%-0,98%) und Post-Traumatic-Stress-Disorder-Scores (0,31%; 95%-KI: 0,07%-0,55%); Effekte stärker bei Responders mit höherer WTC-Exposition. Deutet auf biologische Langzeitvulnerabilität nach Trauma und Toxinexposition hin.</w:t>
      </w:r>
    </w:p>
    <w:p>
      <w:r>
        <w:rPr>
          <w:b/>
          <w:sz w:val="19"/>
        </w:rPr>
        <w:t xml:space="preserve">Übertragbarkeit: </w:t>
      </w:r>
      <w:r>
        <w:rPr>
          <w:sz w:val="19"/>
        </w:rPr>
        <w:t>USA-Kohorte; Befunde zu Umwelteffekten auf Frailty übertragbar, aber langfristige Trauma-Exposition länderspezifisch</w:t>
      </w:r>
    </w:p>
    <w:p>
      <w:r>
        <w:rPr>
          <w:color w:val="5A7D3A"/>
          <w:sz w:val="18"/>
        </w:rPr>
        <w:t>https://pubmed.ncbi.nlm.nih.gov/42728266/</w:t>
      </w:r>
    </w:p>
    <w:p>
      <w:pPr>
        <w:pStyle w:val="Heading2"/>
      </w:pPr>
      <w:r>
        <w:t>Terpenoide und Seneszenz in Lungenkrebszellen: Versorgungsrelevanz begrenzt</w:t>
      </w:r>
    </w:p>
    <w:p>
      <w:r>
        <w:rPr>
          <w:i/>
          <w:color w:val="666666"/>
          <w:sz w:val="18"/>
        </w:rPr>
        <w:t>Niharika K et al.  ·  Daru  ·  11.09.2026  ·  PMID 42726380</w:t>
      </w:r>
    </w:p>
    <w:p>
      <w:r>
        <w:t>Übersichtsarbeit zu 46 Terpenoiden mit Effekten auf Autophagie und zelluläre Seneszenz in Lungenkrebszellen in vitro (ohne In-vivo-Studien oder klinische Endpunkte).</w:t>
      </w:r>
    </w:p>
    <w:p>
      <w:r>
        <w:rPr>
          <w:b/>
        </w:rPr>
        <w:t xml:space="preserve">Ergebnis: </w:t>
      </w:r>
      <w:r>
        <w:t>Terpenoide beeinflussen zentrale Signalweg-Knoten (AMPK, NF-κB, MAPK, PI3K/AKT/mTOR, ROS, p53); begrenzte klinische Translation durch schlechte Löslichkeit und Bioverfügbarkeit. Überblick ohne Angabe von Effektgrößen oder klinischen Ergebnissen - ausgeschlossen da keine gemessenen Endpunkte beim Menschen.</w:t>
      </w:r>
    </w:p>
    <w:p>
      <w:r>
        <w:rPr>
          <w:color w:val="5A7D3A"/>
          <w:sz w:val="18"/>
        </w:rPr>
        <w:t>https://pubmed.ncbi.nlm.nih.gov/42726380/</w:t>
      </w:r>
    </w:p>
    <w:p>
      <w:pPr>
        <w:pStyle w:val="Heading2"/>
      </w:pPr>
      <w:r>
        <w:t>Muskelkraft und Mortalität im Alter: Versorgungsepidemiologie und Prävention</w:t>
      </w:r>
    </w:p>
    <w:p>
      <w:r>
        <w:rPr>
          <w:i/>
          <w:color w:val="666666"/>
          <w:sz w:val="18"/>
        </w:rPr>
        <w:t>Puelles-Diaz A  ·  Front Public Health  ·  27.08.2026  ·  PMID 42724145</w:t>
      </w:r>
    </w:p>
    <w:p>
      <w:r>
        <w:t>Analysierte Evidenz zur Muskelgesundheit (Kraft, Masse, Funktion) als eigenständiges Versorgungsziel in der Altersmedizin und entwickelte einen Implementierungsrahmen für Primary-Care-Assessment und Resistenztraining.</w:t>
      </w:r>
    </w:p>
    <w:p>
      <w:r>
        <w:rPr>
          <w:b/>
        </w:rPr>
        <w:t xml:space="preserve">Ergebnis: </w:t>
      </w:r>
      <w:r>
        <w:t>Muskelkraft sagt Mortalität voraus, unabhängig von körperlicher Aktivität; Randomisierte Studien mit bis zu 36 Monaten Nachverfolgung zeigen größere Nutzen durch Widerstands- und multimodale Trainingsprogramme (speziell bei Personen mit funktioneller Beeinträchtigung). Identifizierte drei Versorgungslücken: begrenzte Assessment-Nutzung in der Primärversorgung, fragmentierte Prävention mit Unterbewertung von Resistenztraining, fehlende funktionale Kapazität in globalen NCD-Rahmen.</w:t>
      </w:r>
    </w:p>
    <w:p>
      <w:r>
        <w:rPr>
          <w:b/>
          <w:sz w:val="19"/>
        </w:rPr>
        <w:t xml:space="preserve">Übertragbarkeit: </w:t>
      </w:r>
      <w:r>
        <w:rPr>
          <w:sz w:val="19"/>
        </w:rPr>
        <w:t>Internationale Evidenz aus Japan, Europa, Nordamerika und Brasilien mit direktem deutschem Versorgungsbezug</w:t>
      </w:r>
    </w:p>
    <w:p>
      <w:r>
        <w:rPr>
          <w:color w:val="5A7D3A"/>
          <w:sz w:val="18"/>
        </w:rPr>
        <w:t>https://pubmed.ncbi.nlm.nih.gov/42724145/</w:t>
      </w:r>
    </w:p>
    <w:p>
      <w:pPr>
        <w:pStyle w:val="Heading2"/>
      </w:pPr>
      <w:r>
        <w:t>Transitions-Care-Programm in Australien: Effektivität und Kosten 2006-2024</w:t>
      </w:r>
    </w:p>
    <w:p>
      <w:r>
        <w:rPr>
          <w:i/>
          <w:color w:val="666666"/>
          <w:sz w:val="18"/>
        </w:rPr>
        <w:t>Reid N et al.  ·  Australas J Ageing  ·  Sept. 2026  ·  PMID 42712137</w:t>
      </w:r>
    </w:p>
    <w:p>
      <w:r>
        <w:t>Analysierte 18 Jahre öffentlicher Daten zum australischen Kurz-Rehabilitations-Programm nach Klinikaufenthalt (Demografie, Inanspruchnahme, Kosten, funktioneller Status mit Modified-Barthel-Index).</w:t>
      </w:r>
    </w:p>
    <w:p>
      <w:r>
        <w:rPr>
          <w:b/>
        </w:rPr>
        <w:t xml:space="preserve">Ergebnis: </w:t>
      </w:r>
      <w:r>
        <w:t>351.981 Klienten über Studienzeitraum; Fallzahlen pro anno +143% (2006-2007 bis 2016-2017), dann Rückgang auf 14.388 (2022-2023). Verweildauer +60% (48 auf 77 Tage), Durchschnittskosten pro Episode +261% (A$9.996 auf A$36.093), jedoch minimale Änderung in Ein- (69,7-72,1) oder Austritts-MBI (79,5-83). Weniger Menschen erhalten Zugang trotz wachsender Bevölkerung und steigender zugeteilter Plätze.</w:t>
      </w:r>
    </w:p>
    <w:p>
      <w:r>
        <w:rPr>
          <w:b/>
          <w:sz w:val="19"/>
        </w:rPr>
        <w:t xml:space="preserve">Übertragbarkeit: </w:t>
      </w:r>
      <w:r>
        <w:rPr>
          <w:sz w:val="19"/>
        </w:rPr>
        <w:t>Australien, ähnliche Versorgungsstrukturen und Finanzierung wie europäische Sozialsysteme</w:t>
      </w:r>
    </w:p>
    <w:p>
      <w:r>
        <w:rPr>
          <w:color w:val="5A7D3A"/>
          <w:sz w:val="18"/>
        </w:rPr>
        <w:t>https://pubmed.ncbi.nlm.nih.gov/42712137/</w:t>
      </w:r>
    </w:p>
    <w:p>
      <w:pPr>
        <w:pStyle w:val="Heading2"/>
      </w:pPr>
      <w:r>
        <w:t>Healthspan-Strategien im italienischen Gesundheitssystem: Rahmenbedingungen und Prioritäten</w:t>
      </w:r>
    </w:p>
    <w:p>
      <w:r>
        <w:rPr>
          <w:i/>
          <w:color w:val="666666"/>
          <w:sz w:val="18"/>
        </w:rPr>
        <w:t>Marino N et al.  ·  Aging (Albany NY)  ·  16.07.2026  ·  PMID 42467494</w:t>
      </w:r>
    </w:p>
    <w:p>
      <w:r>
        <w:t>Position Paper zur Integration von Longevity Medicine (Prävention mit mehromischen Biomarkern und Risikoschichtung) in das italienische SSN vor dem Hintergrund von 24,1% der Bevölkerung ≥65 Jahre und einer Healthspan-Lücke von 15-16 Jahren.</w:t>
      </w:r>
    </w:p>
    <w:p>
      <w:r>
        <w:rPr>
          <w:b/>
        </w:rPr>
        <w:t xml:space="preserve">Ergebnis: </w:t>
      </w:r>
      <w:r>
        <w:t>Italien: höchster EU-Anteil Älterer (24,1%), median age 51 Jahre bis 2050 projiziert; Lebenserw. 85,4 (Frauen) / 81,4 (Männer) Jahre vs. gesunde Lebensjahre 69,6 / 68,5 (Lücke: 15-18 Jahre); Multimorbiditäts- und Behinderungsprävalenz &gt;60% bei ≥75-Jährigen. Empfiehlt fünf Investitionsprioritäten: validierte Biomarker biologisches Alter, digitale Plattformen, adaptive Studien, explainable-AI-Risikoschichtung, Lehrcurricula.</w:t>
      </w:r>
    </w:p>
    <w:p>
      <w:r>
        <w:rPr>
          <w:b/>
          <w:sz w:val="19"/>
        </w:rPr>
        <w:t xml:space="preserve">Übertragbarkeit: </w:t>
      </w:r>
      <w:r>
        <w:rPr>
          <w:sz w:val="19"/>
        </w:rPr>
        <w:t>Italien mit deutschsprachigem Raum vergleichbare Bevölkerungsstruktur und Sozialversicherung</w:t>
      </w:r>
    </w:p>
    <w:p>
      <w:r>
        <w:rPr>
          <w:color w:val="5A7D3A"/>
          <w:sz w:val="18"/>
        </w:rPr>
        <w:t>https://pubmed.ncbi.nlm.nih.gov/42467494/</w:t>
      </w:r>
    </w:p>
    <w:p>
      <w:pPr>
        <w:pStyle w:val="Heading1"/>
      </w:pPr>
      <w:r>
        <w:t>Aufgenommen am 13.09.2026</w:t>
      </w:r>
    </w:p>
    <w:p>
      <w:pPr>
        <w:pStyle w:val="Heading2"/>
      </w:pPr>
      <w:r>
        <w:t>Altern von Personen mit Typ-1-Diabetes: prospektive Kohorte zur funktionellen Fähigkeit</w:t>
      </w:r>
    </w:p>
    <w:p>
      <w:r>
        <w:rPr>
          <w:i/>
          <w:color w:val="666666"/>
          <w:sz w:val="18"/>
        </w:rPr>
        <w:t>Nicklén J et al.  ·  BMJ Open  ·  11.09.2026  ·  PMID 42731824</w:t>
      </w:r>
    </w:p>
    <w:p>
      <w:r>
        <w:t>Studienprotokoll für prospektive Kohortenstudie (FinnDiane LifeOne) mit mindestens 300 älteren Personen mit Typ-1-Diabetes (&gt;65 Jahre) und 100 gematchten Kontrollen zur Untersuchung der funktionellen Fähigkeit und gesunden Alterns über 5 Jahre mit geriatrischem Assessment.</w:t>
      </w:r>
    </w:p>
    <w:p>
      <w:r>
        <w:rPr>
          <w:b/>
        </w:rPr>
        <w:t xml:space="preserve">Ergebnis: </w:t>
      </w:r>
      <w:r>
        <w:t>Eingeschlossene Studien: ≥300 Patienten mit T1D, ≥100 Kontrollen, gematchte Vergleichgruppe. Umfassendes geriatrisches Assessment mit 5-jährlichen Intervallen. Fokus auf fünf Domänen der intrinsic capacity: Kognition, Vitalität, Sensomotorisch, Lokomotion, Psychologisch. Follow-up-Strukturen und Vergleichsdesign etabliert; endgültige Ergebnisse stehen aus.</w:t>
      </w:r>
    </w:p>
    <w:p>
      <w:r>
        <w:rPr>
          <w:b/>
          <w:sz w:val="19"/>
        </w:rPr>
        <w:t xml:space="preserve">Übertragbarkeit: </w:t>
      </w:r>
      <w:r>
        <w:rPr>
          <w:sz w:val="19"/>
        </w:rPr>
        <w:t>Skandinavisches Gesundheitssystem, prospektiv designt mit europäischen Standards; übertragbar auf Deutschland.</w:t>
      </w:r>
    </w:p>
    <w:p>
      <w:r>
        <w:rPr>
          <w:color w:val="5A7D3A"/>
          <w:sz w:val="18"/>
        </w:rPr>
        <w:t>https://pubmed.ncbi.nlm.nih.gov/42731824/</w:t>
      </w:r>
    </w:p>
    <w:p>
      <w:pPr>
        <w:pStyle w:val="Heading2"/>
      </w:pPr>
      <w:r>
        <w:t>Sitzzeit und Funktionsfähigkeit im Alter: Längere Sitzzeit reduziert Muskelmasse und ADL</w:t>
      </w:r>
    </w:p>
    <w:p>
      <w:r>
        <w:rPr>
          <w:i/>
          <w:color w:val="666666"/>
          <w:sz w:val="18"/>
        </w:rPr>
        <w:t>Yoon TH et al.  ·  PeerJ  ·  08.09.2026  ·  PMID 42730319</w:t>
      </w:r>
    </w:p>
    <w:p>
      <w:r>
        <w:t>Querschnittstudie an 200 Älteren (65–96 Jahre) zur Assoziation von täglicher Sitzzeit (&lt;6, 6–8, &gt;8 h) mit Sarcopenia-Markern und funktioneller Unabhängigkeit in ADL und IADL.</w:t>
      </w:r>
    </w:p>
    <w:p>
      <w:r>
        <w:rPr>
          <w:b/>
        </w:rPr>
        <w:t xml:space="preserve">Ergebnis: </w:t>
      </w:r>
      <w:r>
        <w:t>Höhere Sitzzeit war negativ mit Appendicular Skeletal Muscle (β = −0,415; p &lt; 0,001), Wadenschritt (β = −0,442; p &lt; 0,001) und Griffstärke (β = −0,385; p &lt; 0,001) assoziiert und positiv mit 5-Stühle-Stand-Test (β = 0,465; p &lt; 0,001). Sitzzeit korrelierte negativ mit ADL-Summe (β = −0,308; p &lt; 0,001) und IADL-Summe (β = −0,410; p &lt; 0,001). Assoziationen blieben nach Altersadjustierung signifikant.</w:t>
      </w:r>
    </w:p>
    <w:p>
      <w:r>
        <w:rPr>
          <w:b/>
          <w:sz w:val="19"/>
        </w:rPr>
        <w:t xml:space="preserve">Übertragbarkeit: </w:t>
      </w:r>
      <w:r>
        <w:rPr>
          <w:sz w:val="19"/>
        </w:rPr>
        <w:t>Prävention durch Reduktion von Sitzzeit ist in allen europäischen Kontexten implementierbar.</w:t>
      </w:r>
    </w:p>
    <w:p>
      <w:r>
        <w:rPr>
          <w:color w:val="5A7D3A"/>
          <w:sz w:val="18"/>
        </w:rPr>
        <w:t>https://pubmed.ncbi.nlm.nih.gov/42730319/</w:t>
      </w:r>
    </w:p>
    <w:p>
      <w:pPr>
        <w:pStyle w:val="Heading2"/>
      </w:pPr>
      <w:r>
        <w:t>Frailty und kognitives Altern: Assoziationen mit ungünstigeren kognitiven Verlaufsmustern</w:t>
      </w:r>
    </w:p>
    <w:p>
      <w:r>
        <w:rPr>
          <w:i/>
          <w:color w:val="666666"/>
          <w:sz w:val="18"/>
        </w:rPr>
        <w:t>Wang X et al.  ·  Alzheimers Dement  ·  Sept. 2026  ·  PMID 42723149</w:t>
      </w:r>
    </w:p>
    <w:p>
      <w:r>
        <w:t>Längsschnittstudie an 19.586 Personen aus drei nationalen Kohorten (China, England, USA) zur Assoziation von Frailty-Status und kognitiver Veränderung über Zeit.</w:t>
      </w:r>
    </w:p>
    <w:p>
      <w:r>
        <w:rPr>
          <w:b/>
        </w:rPr>
        <w:t xml:space="preserve">Ergebnis: </w:t>
      </w:r>
      <w:r>
        <w:t>Baseline-Frailty war mit stärkerem jährlichen kognitiven Rückgang assoziiert (β = −0,023 SD/Jahr; p &lt; 0,001). Verschlechterung von robust zu pre-frail oder frail war mit mehr negativem Rückgang verbunden (β = −0,025 SD/Jahr). In trajektoriengestützen Analysen zeigten Baseline-Frailty, höhere mittlere Frailty-Last und Frailty-Verschlechterung Assoziationen mit weniger günstigen kognitiven Verläufen. Frailty-Verbesserung war direktional mit günstigeren Gruppen assoziiert.</w:t>
      </w:r>
    </w:p>
    <w:p>
      <w:r>
        <w:rPr>
          <w:b/>
          <w:sz w:val="19"/>
        </w:rPr>
        <w:t xml:space="preserve">Übertragbarkeit: </w:t>
      </w:r>
      <w:r>
        <w:rPr>
          <w:sz w:val="19"/>
        </w:rPr>
        <w:t>Vergleichbare nationale Gesundheitsdatenstrukturen; kognitives Altern als Endpunkt relevant für deutsche Versorgung.</w:t>
      </w:r>
    </w:p>
    <w:p>
      <w:r>
        <w:rPr>
          <w:color w:val="5A7D3A"/>
          <w:sz w:val="18"/>
        </w:rPr>
        <w:t>https://pubmed.ncbi.nlm.nih.gov/42723149/</w:t>
      </w:r>
    </w:p>
    <w:p>
      <w:pPr>
        <w:pStyle w:val="Heading2"/>
      </w:pPr>
      <w:r>
        <w:t>Frailty und COPD: bidirektionale Beziehung im Kontext von Systemalterung und Trainingsresponse</w:t>
      </w:r>
    </w:p>
    <w:p>
      <w:r>
        <w:rPr>
          <w:i/>
          <w:color w:val="666666"/>
          <w:sz w:val="18"/>
        </w:rPr>
        <w:t>Maniscalco M et al.  ·  Eur Respir Rev  ·  09.09.2026  ·  PMID 42716547</w:t>
      </w:r>
    </w:p>
    <w:p>
      <w:r>
        <w:t>Narrative Übersichtsarbeit zu biologischen und klinischen Verbindungen von COPD, Frailty und körperlicher Aktivität unter Anwendung von Geroscience-Prinzipien.</w:t>
      </w:r>
    </w:p>
    <w:p>
      <w:r>
        <w:rPr>
          <w:b/>
        </w:rPr>
        <w:t xml:space="preserve">Ergebnis: </w:t>
      </w:r>
      <w:r>
        <w:t>Gemeinsame biologische Mechanismen: chronische Entzündung, oxidativer Stress, Mitochondriendysfunktion, Muskelatrophie. Kombiniertes aerobes, Widerstands- und Balance-Training zeigt stärkste Evidenz zur Verbesserung von Funktionsstatus und Lebensqualität bei frail-COPD. Exercise induziert Hormeseeffekte: gesteigerte Mitochondriogenese, verbessertes Redox-Balance, Upregulation von antioxidativen Wegen und Zellreparaturmechanismen.</w:t>
      </w:r>
    </w:p>
    <w:p>
      <w:r>
        <w:rPr>
          <w:b/>
          <w:sz w:val="19"/>
        </w:rPr>
        <w:t xml:space="preserve">Übertragbarkeit: </w:t>
      </w:r>
      <w:r>
        <w:rPr>
          <w:sz w:val="19"/>
        </w:rPr>
        <w:t>Geroscience-Rahmen auf deutsche COPD-Versorgung und Rehabilitation übertragbar.</w:t>
      </w:r>
    </w:p>
    <w:p>
      <w:r>
        <w:rPr>
          <w:color w:val="5A7D3A"/>
          <w:sz w:val="18"/>
        </w:rPr>
        <w:t>https://pubmed.ncbi.nlm.nih.gov/42716547/</w:t>
      </w:r>
    </w:p>
    <w:p>
      <w:pPr>
        <w:pStyle w:val="Heading2"/>
      </w:pPr>
      <w:r>
        <w:t>Normaler altersgerechter Rückgang der Vitalkapazität: systematische Analyse und Metaanalyse</w:t>
      </w:r>
    </w:p>
    <w:p>
      <w:r>
        <w:rPr>
          <w:i/>
          <w:color w:val="666666"/>
          <w:sz w:val="18"/>
        </w:rPr>
        <w:t>Satia I et al.  ·  Eur Respir Rev  ·  09.09.2026  ·  PMID 42716546</w:t>
      </w:r>
    </w:p>
    <w:p>
      <w:r>
        <w:t>Systematische Übersichtsarbeit und Metaanalyse von 35 Kohorten mit über 365.000 Teilnehmern zu altersbezogenen Veränderungen der Vitalkapazität (FVC) bei Personen ohne Lungenerkrankung über bis zu 35 Jahre Follow-up.</w:t>
      </w:r>
    </w:p>
    <w:p>
      <w:r>
        <w:rPr>
          <w:b/>
        </w:rPr>
        <w:t xml:space="preserve">Ergebnis: </w:t>
      </w:r>
      <w:r>
        <w:t>FVC erreicht Spitzenwert Mitte 20er, sinkt kontinuierlich linear ab ohne Plateau. Bei Frauen Abfall von ca. 26 mL/Jahr, bei Männern biphasisch: ca. 22 mL/Jahr vor 40 Jahren, dann ca. 36 mL/Jahr. Durchschnittlicher altersgerechter Rückgang 20–30 mL pro Jahr. Diese normativen Trajektorien sind essentiell zur Differenzierung gesunden Alterns von pathologischem Rückgang.</w:t>
      </w:r>
    </w:p>
    <w:p>
      <w:r>
        <w:rPr>
          <w:b/>
          <w:sz w:val="19"/>
        </w:rPr>
        <w:t xml:space="preserve">Übertragbarkeit: </w:t>
      </w:r>
      <w:r>
        <w:rPr>
          <w:sz w:val="19"/>
        </w:rPr>
        <w:t>Deutschland und europäische Spirometriestandards; Benchmark ist grundlegend für klinische Interpretation.</w:t>
      </w:r>
    </w:p>
    <w:p>
      <w:r>
        <w:rPr>
          <w:color w:val="5A7D3A"/>
          <w:sz w:val="18"/>
        </w:rPr>
        <w:t>https://pubmed.ncbi.nlm.nih.gov/42716546/</w:t>
      </w:r>
    </w:p>
    <w:p>
      <w:pPr>
        <w:pStyle w:val="Heading2"/>
      </w:pPr>
      <w:r>
        <w:t>Netzwerk-Analyse der Lebensqualität bei älteren Koreanern: Depression dominiert das frail-Netzwerk</w:t>
      </w:r>
    </w:p>
    <w:p>
      <w:r>
        <w:rPr>
          <w:i/>
          <w:color w:val="666666"/>
          <w:sz w:val="18"/>
        </w:rPr>
        <w:t>Kim S et al.  ·  Geriatr Gerontol Int  ·  Sept. 2026  ·  PMID 42716517</w:t>
      </w:r>
    </w:p>
    <w:p>
      <w:r>
        <w:t>Netzwerk-Analyse an 1.311 älteren Koreanern (≥65 Jahre) zur Struktur der gesundheitsbezogenen Lebensqualität (HRQoL) im Vergleich zwischen frail und non-frail-Gruppen.</w:t>
      </w:r>
    </w:p>
    <w:p>
      <w:r>
        <w:rPr>
          <w:b/>
        </w:rPr>
        <w:t xml:space="preserve">Ergebnis: </w:t>
      </w:r>
      <w:r>
        <w:t>Bei frail-Gruppe war Depression-Glück die stärkste Assoziation mit hoher Zentralität bei Arbeit, Depression, Glück und Schlaf. Bei non-frail-Gruppe dominierten physikalisch-soziale Domänen (Treppensteigen-Schmerz stärkster Link, zentral: Arbeit, Treppensteigen, Schmerz). Arbeit zeigte konsistent hohe Zentralität in beiden Gruppen, was Rollenpartizipation als Hebel für HRQoL-Verbesserung unterstreicht.</w:t>
      </w:r>
    </w:p>
    <w:p>
      <w:r>
        <w:rPr>
          <w:b/>
          <w:sz w:val="19"/>
        </w:rPr>
        <w:t xml:space="preserve">Übertragbarkeit: </w:t>
      </w:r>
      <w:r>
        <w:rPr>
          <w:sz w:val="19"/>
        </w:rPr>
        <w:t>Strukturelle Vergleichbarkeit der Frailty-Definitionen mit europäischen Standards gegeben.</w:t>
      </w:r>
    </w:p>
    <w:p>
      <w:r>
        <w:rPr>
          <w:color w:val="5A7D3A"/>
          <w:sz w:val="18"/>
        </w:rPr>
        <w:t>https://pubmed.ncbi.nlm.nih.gov/42716517/</w:t>
      </w:r>
    </w:p>
    <w:p>
      <w:pPr>
        <w:pStyle w:val="Heading2"/>
      </w:pPr>
      <w:r>
        <w:t>Hereditäre hämorrhagische Teleangiektasie reduziert die Lebenserwartung um 7,5 Jahre</w:t>
      </w:r>
    </w:p>
    <w:p>
      <w:r>
        <w:rPr>
          <w:i/>
          <w:color w:val="666666"/>
          <w:sz w:val="18"/>
        </w:rPr>
        <w:t>Emanuelsson CA et al.  ·  J Intern Med  ·  06.07.2026  ·  PMID 42410718</w:t>
      </w:r>
    </w:p>
    <w:p>
      <w:r>
        <w:t>Schwedische populationsbasierte Registerstudie mit 393 HHT-Patienten und 1.965 alters- und geschlechtsgematchten Kontrollen zur Mortalität und Todesursachen über 17 Jahre Nachbeobachtung (2001–2018).</w:t>
      </w:r>
    </w:p>
    <w:p>
      <w:r>
        <w:rPr>
          <w:b/>
        </w:rPr>
        <w:t xml:space="preserve">Ergebnis: </w:t>
      </w:r>
      <w:r>
        <w:t>Lebenserwartung nach 30 Jahren bei HHT: 73,0 Jahre (68,0–77,2) vs. 80,5 Jahre (79,1–82,0) bei Kontrollen; Differenz 7,5 Jahre. Häufigere Todesursachen bei HHT: ischämische Herzerkrankung, arterielle Erkrankungen und Leberkrankheiten signifikant erhöht. HHT-Prävalenz: 9,3 pro 100.000 über 12 Jahre; mögliche Unterdiagnose bei milderen Symptomen.</w:t>
      </w:r>
    </w:p>
    <w:p>
      <w:r>
        <w:rPr>
          <w:b/>
          <w:sz w:val="19"/>
        </w:rPr>
        <w:t xml:space="preserve">Übertragbarkeit: </w:t>
      </w:r>
      <w:r>
        <w:rPr>
          <w:sz w:val="19"/>
        </w:rPr>
        <w:t>Skandinavisches Register mit Deutschland vergleichbar; Versorgungsplanning für rare diseases relevant.</w:t>
      </w:r>
    </w:p>
    <w:p>
      <w:r>
        <w:rPr>
          <w:color w:val="5A7D3A"/>
          <w:sz w:val="18"/>
        </w:rPr>
        <w:t>https://pubmed.ncbi.nlm.nih.gov/42410718/</w:t>
      </w:r>
    </w:p>
    <w:p>
      <w:pPr>
        <w:pStyle w:val="Heading1"/>
      </w:pPr>
      <w:r>
        <w:t>Aufgenommen am 12.09.2026</w:t>
      </w:r>
    </w:p>
    <w:p>
      <w:pPr>
        <w:pStyle w:val="Heading2"/>
      </w:pPr>
      <w:r>
        <w:t>Multimorbidität im hohen Alter: Krankheitsansammlung verlangsamt sich, Komplexität nimmt zu</w:t>
      </w:r>
    </w:p>
    <w:p>
      <w:r>
        <w:rPr>
          <w:i/>
          <w:color w:val="666666"/>
          <w:sz w:val="18"/>
        </w:rPr>
        <w:t>Zhang Y et al.  ·  Age Ageing  ·  04.09.2026  ·  PMID 42726903</w:t>
      </w:r>
    </w:p>
    <w:p>
      <w:r>
        <w:t>Schwedische Registeranalyse der Krankheitsansammlung bei 1920–1922 geborenen Personen von Alter 70 bis 100 Jahren.</w:t>
      </w:r>
    </w:p>
    <w:p>
      <w:r>
        <w:rPr>
          <w:b/>
        </w:rPr>
        <w:t xml:space="preserve">Ergebnis: </w:t>
      </w:r>
      <w:r>
        <w:t>Mit 90 Jahren durchschnittlich 3,9 Erkrankungen bei Männern und 3,5 bei Frauen; über die Hälfte der ≥95-Jährigen hatte ≥5 Erkrankungen. Krankheitsansammlung beschleunigte sich bis 80, stabilisierte sich 80–90, verlangsamte sich danach, aber Komplexität und Krankheitslast stiegen bis ins extreme Alter weiter. Kardiovaskuläre Erkrankungen dominierten durchgehend, Muskel- und Sinneserkrankungen wurden im hohen Alter wichtiger.</w:t>
      </w:r>
    </w:p>
    <w:p>
      <w:r>
        <w:rPr>
          <w:b/>
          <w:sz w:val="19"/>
        </w:rPr>
        <w:t xml:space="preserve">Übertragbarkeit: </w:t>
      </w:r>
      <w:r>
        <w:rPr>
          <w:sz w:val="19"/>
        </w:rPr>
        <w:t>Schweden, vergleichbare Lebenserwartung und Versorgungsstruktur</w:t>
      </w:r>
    </w:p>
    <w:p>
      <w:r>
        <w:rPr>
          <w:color w:val="5A7D3A"/>
          <w:sz w:val="18"/>
        </w:rPr>
        <w:t>https://pubmed.ncbi.nlm.nih.gov/42726903/</w:t>
      </w:r>
    </w:p>
    <w:p>
      <w:pPr>
        <w:pStyle w:val="Heading2"/>
      </w:pPr>
      <w:r>
        <w:t>Gebrechlichkeit bei Multimorbidität: Prävalenz und Risikofaktoren in der Gemeinde</w:t>
      </w:r>
    </w:p>
    <w:p>
      <w:r>
        <w:rPr>
          <w:i/>
          <w:color w:val="666666"/>
          <w:sz w:val="18"/>
        </w:rPr>
        <w:t>Feng S et al.  ·  Front Public Health  ·  27.08.2026  ·  PMID 42725090</w:t>
      </w:r>
    </w:p>
    <w:p>
      <w:r>
        <w:t>Querschnittsstudie bei 346 multimorbiden älteren Erwachsenen (≥60 Jahre) in fünf Gemeinden Chinas zur Prävalenz und unabhängigen Risikofaktoren für Gebrechlichkeit (Frailty).</w:t>
      </w:r>
    </w:p>
    <w:p>
      <w:r>
        <w:rPr>
          <w:b/>
        </w:rPr>
        <w:t xml:space="preserve">Ergebnis: </w:t>
      </w:r>
      <w:r>
        <w:t>52,9% (183/346) waren gebrechlich. Unabhängige Faktoren: Alter 70–80 Jahre (OR 2,64, 95%-KI 1,03–6,79), ≥80 Jahre (OR 4,92, 1,87–12,96); Krankenhausaufnahme wegen akuter Ereignisse im vergangenen Jahr (OR 1,84, 1,04–3,27); Landbewohner vs. städtisch (OR 0,34, 0,19–0,60). Normale Ernährung (OR 0,23, 0,16–0,50) und volle Aktivitätsunabhängigkeit (OR 0,21, 0,06–0,79) waren protektiv. Familienbetreuung vs. Selbstpflege (OR 0,39, 0,16–0,95) reduzierte Frailty-Risiko.</w:t>
      </w:r>
    </w:p>
    <w:p>
      <w:r>
        <w:rPr>
          <w:b/>
          <w:sz w:val="19"/>
        </w:rPr>
        <w:t xml:space="preserve">Übertragbarkeit: </w:t>
      </w:r>
      <w:r>
        <w:rPr>
          <w:sz w:val="19"/>
        </w:rPr>
        <w:t>China, andere Gesundheitsinfrastruktur; Screening-Muster teilweise übertragbar</w:t>
      </w:r>
    </w:p>
    <w:p>
      <w:r>
        <w:rPr>
          <w:color w:val="5A7D3A"/>
          <w:sz w:val="18"/>
        </w:rPr>
        <w:t>https://pubmed.ncbi.nlm.nih.gov/42725090/</w:t>
      </w:r>
    </w:p>
    <w:p>
      <w:pPr>
        <w:pStyle w:val="Heading2"/>
      </w:pPr>
      <w:r>
        <w:t>Präoperative Gebrechlichkeit und postoperative Komplikationen bei Hüftfrakturchirurgie</w:t>
      </w:r>
    </w:p>
    <w:p>
      <w:r>
        <w:rPr>
          <w:i/>
          <w:color w:val="666666"/>
          <w:sz w:val="18"/>
        </w:rPr>
        <w:t>Yonekura H et al.  ·  Geriatr Gerontol Int  ·  Sept. 2026  ·  PMID 42723340</w:t>
      </w:r>
    </w:p>
    <w:p>
      <w:r>
        <w:t>Analyse von 29.684 älteren Patienten (≥65 Jahre) in Japan mit Hüftfrakturoperationen (2005–2021) zu Assoziationen zwischen präoperativem Frailty-Risiko-Score und postoperativen Komplikationen mittels Krankenhausregister.</w:t>
      </w:r>
    </w:p>
    <w:p>
      <w:r>
        <w:rPr>
          <w:b/>
        </w:rPr>
        <w:t xml:space="preserve">Ergebnis: </w:t>
      </w:r>
      <w:r>
        <w:t>59,5% (17.656) waren gebrechlich (Hospital Frailty Risk Score ≥5). Präoperative Gebrechlichkeit nicht mit akutem Nierenversagen assoziiert (OR 0,97, KI 0,83–1,14; p=0,72) oder Major Adverse Kidney Events (OR 1,07, 0,80–1,44; p=0,65), aber signifikant mit Lungenkomplikationen (OR 1,68, 1,39–2,02; p&lt;0,001), postoperativem Delir (OR 1,35, 1,13–1,62; p&lt;0,001), höherer Transfusionsrate und längerer Krankenhausdauer assoziiert.</w:t>
      </w:r>
    </w:p>
    <w:p>
      <w:r>
        <w:rPr>
          <w:b/>
          <w:sz w:val="19"/>
        </w:rPr>
        <w:t xml:space="preserve">Übertragbarkeit: </w:t>
      </w:r>
      <w:r>
        <w:rPr>
          <w:sz w:val="19"/>
        </w:rPr>
        <w:t>Japan, vergleichbare Finanzierung, Operationsindikationen ähnlich zu Deutschland</w:t>
      </w:r>
    </w:p>
    <w:p>
      <w:r>
        <w:rPr>
          <w:color w:val="5A7D3A"/>
          <w:sz w:val="18"/>
        </w:rPr>
        <w:t>https://pubmed.ncbi.nlm.nih.gov/42723340/</w:t>
      </w:r>
    </w:p>
    <w:p>
      <w:pPr>
        <w:pStyle w:val="Heading2"/>
      </w:pPr>
      <w:r>
        <w:t>Gebrechlichkeit am Lebensende: wer hat Anspruch auf assistierten Freitod?</w:t>
      </w:r>
    </w:p>
    <w:p>
      <w:r>
        <w:rPr>
          <w:i/>
          <w:color w:val="666666"/>
          <w:sz w:val="18"/>
        </w:rPr>
        <w:t>Squeri T et al.  ·  Age Ageing  ·  04.09.2026  ·  PMID 42709408</w:t>
      </w:r>
    </w:p>
    <w:p>
      <w:r>
        <w:t>Vergleichende Analyse der Häufigkeit und rechtlichen Zulässigkeit von Gebrechlichkeit (Frailty) als Indikation für assistierten Freitod in Jurisdiktionen mit reguliertem Zugang.</w:t>
      </w:r>
    </w:p>
    <w:p>
      <w:r>
        <w:rPr>
          <w:b/>
        </w:rPr>
        <w:t xml:space="preserve">Ergebnis: </w:t>
      </w:r>
      <w:r>
        <w:t>Nur Kanada und Niederlande berichten die Häufigkeit: 9,07% der Freitode in Kanada 2023 waren mit Gebrechlichkeit assoziiert (als Hauptdiagnose oder Komorbidität), in den Niederlanden 3,85% mit multiplen geriatrischen Syndromen. 11 Jurisdiktionen: Gebrechlichkeit wahrscheinlich nicht zulässig; 6: schwere Gebrechlichkeit erfüllt Kriterien; 14: unklar. Erhebliches Reporting-Defizit und regulatorische Mehrdeutigkeit.</w:t>
      </w:r>
    </w:p>
    <w:p>
      <w:r>
        <w:rPr>
          <w:b/>
          <w:sz w:val="19"/>
        </w:rPr>
        <w:t xml:space="preserve">Übertragbarkeit: </w:t>
      </w:r>
      <w:r>
        <w:rPr>
          <w:sz w:val="19"/>
        </w:rPr>
        <w:t>Internationale Perspektive, begrenzte Relevanz für deutsches Recht</w:t>
      </w:r>
    </w:p>
    <w:p>
      <w:r>
        <w:rPr>
          <w:color w:val="5A7D3A"/>
          <w:sz w:val="18"/>
        </w:rPr>
        <w:t>https://pubmed.ncbi.nlm.nih.gov/42709408/</w:t>
      </w:r>
    </w:p>
    <w:p>
      <w:pPr>
        <w:pStyle w:val="Heading2"/>
      </w:pPr>
      <w:r>
        <w:t>Kognitive Alterung als sozial strukturierter Prozess: Lebenskurs, Ungleichheit und institutionelle Kontexte</w:t>
      </w:r>
    </w:p>
    <w:p>
      <w:r>
        <w:rPr>
          <w:i/>
          <w:color w:val="666666"/>
          <w:sz w:val="18"/>
        </w:rPr>
        <w:t>Bertogg A et al.  ·  Soc Sci Med  ·  01.08.2026  ·  PMID 42561791</w:t>
      </w:r>
    </w:p>
    <w:p>
      <w:r>
        <w:t>Editorial zu Spezialausgabe, die kognitives Altern als von Lebenslauf, sozialen Ungleichheiten und Institutionen geprägte Prozesse konzeptualisiert; Synthese länderübergreifender Studien aus Europa, Nordamerika, Lateinamerika und Asien.</w:t>
      </w:r>
    </w:p>
    <w:p>
      <w:r>
        <w:rPr>
          <w:b/>
        </w:rPr>
        <w:t xml:space="preserve">Ergebnis: </w:t>
      </w:r>
      <w:r>
        <w:t>Längsschnittstudien, Register, qualitative Interviews und ethnographische Arbeiten dokumentieren bleibende Einflüsse von Kindheitsbedingungen, Bildung, Berufslaufbahn, Familie, sozialer Partizipation, Nachbarschaft und Wohlfahrtsregimen auf späte kognitive Leistung. Ungleichheiten nach Geschlecht, Ethnie, Migrationshintergrund und Ort prägen kognitives Altern über die Lebensspanne. Infrastruktur, Gesundheitssysteme und politisch-ökonomische Veränderungen beeinflussen kognitive Reserven.</w:t>
      </w:r>
    </w:p>
    <w:p>
      <w:r>
        <w:rPr>
          <w:b/>
          <w:sz w:val="19"/>
        </w:rPr>
        <w:t xml:space="preserve">Übertragbarkeit: </w:t>
      </w:r>
      <w:r>
        <w:rPr>
          <w:sz w:val="19"/>
        </w:rPr>
        <w:t>Europäische und deutschsprachige Beiträge, vergleichbare Wohlfahrtssysteme</w:t>
      </w:r>
    </w:p>
    <w:p>
      <w:r>
        <w:rPr>
          <w:color w:val="5A7D3A"/>
          <w:sz w:val="18"/>
        </w:rPr>
        <w:t>https://pubmed.ncbi.nlm.nih.gov/42561791/</w:t>
      </w:r>
    </w:p>
    <w:p>
      <w:pPr>
        <w:pStyle w:val="Heading2"/>
      </w:pPr>
      <w:r>
        <w:t>Berufswahl Geriatrie: persönliche Zuneigung und Spezialisierungsanreize bei Medizinern</w:t>
      </w:r>
    </w:p>
    <w:p>
      <w:r>
        <w:rPr>
          <w:i/>
          <w:color w:val="666666"/>
          <w:sz w:val="18"/>
        </w:rPr>
        <w:t>Martín ML et al.  ·  Eur Geriatr Med  ·  11.07.2026  ·  PMID 42435263</w:t>
      </w:r>
    </w:p>
    <w:p>
      <w:r>
        <w:t>Qualitative Befragung (N=129) spanischer Medizinresidenten zu Faktoren, die die Wahl der Geriatrie beeinflussen, und Einfluss geriatrischer Schulung während des Studiums.</w:t>
      </w:r>
    </w:p>
    <w:p>
      <w:r>
        <w:rPr>
          <w:b/>
        </w:rPr>
        <w:t xml:space="preserve">Ergebnis: </w:t>
      </w:r>
      <w:r>
        <w:t>89% bereits mit Fachgebiet vertraut; 46% hatten theoretische und praktische geriatrische Schulung während des Studiums erhalten. Häufigste Faktoren: Affinität zu älteren Menschen (95%), Patientenkommunikation und Familie (90%), multidisziplinäres Arbeiten (86%), klinische Komplexität (84%), Multimorbidität (82%). Mit vollständiger geriatrischer Schulung 75% vs. 54% (p=0,02) erwogen Geriatrie als Fachgebiet; klinische Komplexität war signifikant wichtiger unter denen mit vollständiger Schulung (92% vs. 77%, p=0,027).</w:t>
      </w:r>
    </w:p>
    <w:p>
      <w:r>
        <w:rPr>
          <w:b/>
          <w:sz w:val="19"/>
        </w:rPr>
        <w:t xml:space="preserve">Übertragbarkeit: </w:t>
      </w:r>
      <w:r>
        <w:rPr>
          <w:sz w:val="19"/>
        </w:rPr>
        <w:t>Spanien, europäische Gesundheitspolitik, Ärztenachwuchs vergleichbar</w:t>
      </w:r>
    </w:p>
    <w:p>
      <w:r>
        <w:rPr>
          <w:color w:val="5A7D3A"/>
          <w:sz w:val="18"/>
        </w:rPr>
        <w:t>https://pubmed.ncbi.nlm.nih.gov/42435263/</w:t>
      </w:r>
    </w:p>
    <w:p>
      <w:pPr>
        <w:pStyle w:val="Heading1"/>
      </w:pPr>
      <w:r>
        <w:t>Aufgenommen am 11.09.2026</w:t>
      </w:r>
    </w:p>
    <w:p>
      <w:pPr>
        <w:pStyle w:val="Heading2"/>
      </w:pPr>
      <w:r>
        <w:t>Gesunde Arbeitsjahre: Länder- und individuelle Faktoren in multinationaler Kohorte</w:t>
      </w:r>
    </w:p>
    <w:p>
      <w:r>
        <w:rPr>
          <w:i/>
          <w:color w:val="666666"/>
          <w:sz w:val="18"/>
        </w:rPr>
        <w:t>Zhu J et al.  ·  PLoS Med  ·  10.09.2026  ·  PMID 42721193</w:t>
      </w:r>
    </w:p>
    <w:p>
      <w:r>
        <w:t>Multinational prospektive Kohortenstudie mit 79.833 Männern und 95.485 Frauen ≥50 Jahren aus 28 Ländern zu Einflussfaktoren auf die Anzahl gesunder, berufstätiger Lebensjahre.</w:t>
      </w:r>
    </w:p>
    <w:p>
      <w:r>
        <w:rPr>
          <w:b/>
        </w:rPr>
        <w:t xml:space="preserve">Ergebnis: </w:t>
      </w:r>
      <w:r>
        <w:t>Mit 50 Jahren: durchschnittliche Gesamtlebenserwartung 33,59 Jahre, davon 10,98 Jahre in Gesundheit und Erwerbstätigkeit (HWLE). Frauen: 9,82 Jahre HWLE, Männer: 12,36 Jahre. Verheiratung, höhere Bildung, gesunde Lebensstile verlängern HWLE. Schlaganfall reduziert HWLE um 5,49 Jahre. Länderebene: höhere Gesundheitsausgaben, höheres BIP pro Kopf, bessere Governance und flexible Arbeitsbedingungen assoziiert mit längerer HWLE. Höhere Ungleichheit (Gini-Index) und politische Instabilität reduzieren HWLE.</w:t>
      </w:r>
    </w:p>
    <w:p>
      <w:r>
        <w:rPr>
          <w:b/>
          <w:sz w:val="19"/>
        </w:rPr>
        <w:t xml:space="preserve">Übertragbarkeit: </w:t>
      </w:r>
      <w:r>
        <w:rPr>
          <w:sz w:val="19"/>
        </w:rPr>
        <w:t>Länderübergreifend, einzelne europäische Länder eingeschlossen, zeigt Wirksamkeit von Prävention und Arbeitsbedingungen</w:t>
      </w:r>
    </w:p>
    <w:p>
      <w:r>
        <w:rPr>
          <w:color w:val="5A7D3A"/>
          <w:sz w:val="18"/>
        </w:rPr>
        <w:t>https://pubmed.ncbi.nlm.nih.gov/42721193/</w:t>
      </w:r>
    </w:p>
    <w:p>
      <w:pPr>
        <w:pStyle w:val="Heading2"/>
      </w:pPr>
      <w:r>
        <w:t>Biologisches Altern und Osteoarthritis-Risiko: Kohortenstudie UK Biobank</w:t>
      </w:r>
    </w:p>
    <w:p>
      <w:r>
        <w:rPr>
          <w:i/>
          <w:color w:val="666666"/>
          <w:sz w:val="18"/>
        </w:rPr>
        <w:t>Liu S et al.  ·  Int J Rheum Dis  ·  Sept. 2026  ·  PMID 42687813</w:t>
      </w:r>
    </w:p>
    <w:p>
      <w:r>
        <w:t>Querschnitts- und Längsschnittanalyse an 332.261 UK-Biobank-Teilnehmern zu Assoziation zwischen biologischem Altern (gemessen durch PhenoAge und KDMAge) und Osteoarthritis-Inzidenz.</w:t>
      </w:r>
    </w:p>
    <w:p>
      <w:r>
        <w:rPr>
          <w:b/>
        </w:rPr>
        <w:t xml:space="preserve">Ergebnis: </w:t>
      </w:r>
      <w:r>
        <w:t>55,4 % der Kohorte zeigten jüngeres biologisches Alter (PhenoAge Acceleration). Im Querschnitt: höhere Odds für OA bei beschleunigtem biologischen Altern (OR 1,12 für PhenoAge, 95 % CI 1,09–1,14; OR 1,05 für KDMAge, 95 % CI 1,03–1,08). Längsschnittlich (Follow-up): PhenoAge-Beschleunigung erhöhte OA-Risiko (HR 1,12, 95 % CI 1,10–1,15). KDMAge zeigte keine signifikante Längsassoziaton. Effekt stärker bei &gt;60 Jahren. Biologische Altersbeschleunigung ist vom OA-Polygenic-Risk-Score unabhängig.</w:t>
      </w:r>
    </w:p>
    <w:p>
      <w:r>
        <w:rPr>
          <w:b/>
          <w:sz w:val="19"/>
        </w:rPr>
        <w:t xml:space="preserve">Übertragbarkeit: </w:t>
      </w:r>
      <w:r>
        <w:rPr>
          <w:sz w:val="19"/>
        </w:rPr>
        <w:t>UK Biobank, vergleichbares englisches Sozialversicherungssystem, biomarkergestützte Risikovorhersage</w:t>
      </w:r>
    </w:p>
    <w:p>
      <w:r>
        <w:rPr>
          <w:color w:val="5A7D3A"/>
          <w:sz w:val="18"/>
        </w:rPr>
        <w:t>https://pubmed.ncbi.nlm.nih.gov/42687813/</w:t>
      </w:r>
    </w:p>
    <w:p>
      <w:pPr>
        <w:pStyle w:val="Heading2"/>
      </w:pPr>
      <w:r>
        <w:t>Hochaltrige in Deutschland: Demografie, regionale Ungleichheiten und Gesundheit</w:t>
      </w:r>
    </w:p>
    <w:p>
      <w:r>
        <w:rPr>
          <w:i/>
          <w:color w:val="666666"/>
          <w:sz w:val="18"/>
        </w:rPr>
        <w:t>Wolter B et al.  ·  Bundesgesundheitsblatt Gesundheitsforschung Gesundheitsschutz  ·  18.08.2026  ·  PMID 42611051</w:t>
      </w:r>
    </w:p>
    <w:p>
      <w:r>
        <w:t>Deutschlandweite Beschreibung der Demografie, Lebenslage und Gesundheit von über 80-Jährigen auf Basis der repräsentativen Studien Gesundheit 65+ und D80+.</w:t>
      </w:r>
    </w:p>
    <w:p>
      <w:r>
        <w:rPr>
          <w:b/>
        </w:rPr>
        <w:t xml:space="preserve">Ergebnis: </w:t>
      </w:r>
      <w:r>
        <w:t>Etwa ein Viertel der Hochaltrigen hat starke funktionale Einschränkungen (beide Datensätze konsistent). Männer zeigen bessere Alltagsfunktionalität als Frauen. Ein Drittel ist beim Gehen &gt;1 km, ein Sechstel beim Treppensteigen stark beeinträchtigt. Schwere Sehverluste bei 10 %, Hörverluste bei 27 %. Harninkontinenz betrifft 40 % (Frauen häufiger). 43 % sind pre-frail, 8,6 % frail. Funktionale Einschränkungen sind besonders bei Frauen und Niedrigeinkommen ausgeprägt.</w:t>
      </w:r>
    </w:p>
    <w:p>
      <w:r>
        <w:rPr>
          <w:b/>
          <w:sz w:val="19"/>
        </w:rPr>
        <w:t xml:space="preserve">Übertragbarkeit: </w:t>
      </w:r>
      <w:r>
        <w:rPr>
          <w:sz w:val="19"/>
        </w:rPr>
        <w:t>Deutsche Daten aus RKI und ceres, direkt anwendbar</w:t>
      </w:r>
    </w:p>
    <w:p>
      <w:r>
        <w:rPr>
          <w:color w:val="5A7D3A"/>
          <w:sz w:val="18"/>
        </w:rPr>
        <w:t>https://pubmed.ncbi.nlm.nih.gov/42611051/</w:t>
      </w:r>
    </w:p>
    <w:p>
      <w:pPr>
        <w:pStyle w:val="Heading2"/>
      </w:pPr>
      <w:r>
        <w:t>Präventive Hausbesuche zur Gesundheitsförderung älterer Menschen</w:t>
      </w:r>
    </w:p>
    <w:p>
      <w:r>
        <w:rPr>
          <w:i/>
          <w:color w:val="666666"/>
          <w:sz w:val="18"/>
        </w:rPr>
        <w:t>Blotenberg B et al.  ·  Bundesgesundheitsblatt Gesundheitsforschung Gesundheitsschutz  ·  13.08.2026  ·  PMID 42593520</w:t>
      </w:r>
    </w:p>
    <w:p>
      <w:r>
        <w:t>Diskussionsbeitrag zu Konzeption, Effektivität und Finanzierungserfordernissen präventiver Hausbesuche als niedrigschwellige Versorgungsform in Deutschland.</w:t>
      </w:r>
    </w:p>
    <w:p>
      <w:r>
        <w:rPr>
          <w:b/>
        </w:rPr>
        <w:t xml:space="preserve">Ergebnis: </w:t>
      </w:r>
      <w:r>
        <w:t>In Deutschland wachsende Zahl von Projekten mit unterschiedlichen Konzepten. PHB können Sturzrisiken, soziale Isolation und Ernährungsmängel früh erkennen und Versorgungskompetenz stärken. Zentrale Herausforderung: Langzeitfinanzierung und Verstetigung bislang projektförmig organisierter Angebote. Forderung: Bessere Verankerung in gesetzlicher Kranken- und Pflegeversicherung.</w:t>
      </w:r>
    </w:p>
    <w:p>
      <w:r>
        <w:rPr>
          <w:b/>
          <w:sz w:val="19"/>
        </w:rPr>
        <w:t xml:space="preserve">Übertragbarkeit: </w:t>
      </w:r>
      <w:r>
        <w:rPr>
          <w:sz w:val="19"/>
        </w:rPr>
        <w:t>Deutsche Gesundheitslandschaft, unmittelbar relevant für Finanzierungsdiskurs</w:t>
      </w:r>
    </w:p>
    <w:p>
      <w:r>
        <w:rPr>
          <w:color w:val="5A7D3A"/>
          <w:sz w:val="18"/>
        </w:rPr>
        <w:t>https://pubmed.ncbi.nlm.nih.gov/42593520/</w:t>
      </w:r>
    </w:p>
    <w:p>
      <w:pPr>
        <w:pStyle w:val="Heading2"/>
      </w:pPr>
      <w:r>
        <w:t>Körperliche Funktionsfähigkeit und Frailty im sehr hohen Alter</w:t>
      </w:r>
    </w:p>
    <w:p>
      <w:r>
        <w:rPr>
          <w:i/>
          <w:color w:val="666666"/>
          <w:sz w:val="18"/>
        </w:rPr>
        <w:t>Nowossadeck S et al.  ·  Bundesgesundheitsblatt Gesundheitsforschung Gesundheitsschutz  ·  11.08.2026  ·  PMID 42579141</w:t>
      </w:r>
    </w:p>
    <w:p>
      <w:r>
        <w:t>Analyse von Funktionsfähigkeit und Frailty bei über 80-Jährigen in deutschen Privathaushalten mit GALI und spezifischen Funktionsindikatoren.</w:t>
      </w:r>
    </w:p>
    <w:p>
      <w:r>
        <w:rPr>
          <w:b/>
        </w:rPr>
        <w:t xml:space="preserve">Ergebnis: </w:t>
      </w:r>
      <w:r>
        <w:t>Ein Viertel hat schwere funktionale Einschränkungen (GALI). Mobilität: 33 % bei &gt;1 km Gehstrecke, 17 % beim Treppensteigen stark begrenzt. Sensorische Defizite: 10 % Sehstörungen, 27 % Hörstörungen. Harninkontinenz 40 %. Robustheit 49 %, Pre-Frailty 43 %, Frailty 8,6 %. Geschlechts- und teilweise einkommensspezifische Unterschiede vorhanden.</w:t>
      </w:r>
    </w:p>
    <w:p>
      <w:r>
        <w:rPr>
          <w:b/>
          <w:sz w:val="19"/>
        </w:rPr>
        <w:t xml:space="preserve">Übertragbarkeit: </w:t>
      </w:r>
      <w:r>
        <w:rPr>
          <w:sz w:val="19"/>
        </w:rPr>
        <w:t>Deutsche Alternssurvey (DEAS) und Gesundheit 65+, direkt auf deutsches System übertragbar</w:t>
      </w:r>
    </w:p>
    <w:p>
      <w:r>
        <w:rPr>
          <w:color w:val="5A7D3A"/>
          <w:sz w:val="18"/>
        </w:rPr>
        <w:t>https://pubmed.ncbi.nlm.nih.gov/42579141/</w:t>
      </w:r>
    </w:p>
    <w:p>
      <w:pPr>
        <w:pStyle w:val="Heading2"/>
      </w:pPr>
      <w:r>
        <w:t>Genexpression in Mikroglia über die Lebensspanne: nichtlineare Muster und AD-Implikationen</w:t>
      </w:r>
    </w:p>
    <w:p>
      <w:r>
        <w:rPr>
          <w:i/>
          <w:color w:val="666666"/>
          <w:sz w:val="18"/>
        </w:rPr>
        <w:t>Muedano-Sosa A et al.  ·  Exp Gerontol  ·  01.10.2026  ·  PMID 42551772</w:t>
      </w:r>
    </w:p>
    <w:p>
      <w:r>
        <w:t>In-silico-Transkriptomanalyse öffentlicher Datensätze zur Charakterisierung von Genexpressions-Trajektorien während physiologischen und pathologischen Alterns von Mikroglia.</w:t>
      </w:r>
    </w:p>
    <w:p>
      <w:r>
        <w:rPr>
          <w:b/>
        </w:rPr>
        <w:t xml:space="preserve">Ergebnis: </w:t>
      </w:r>
      <w:r>
        <w:t>Physiologisches Alter der Mikroglia zeigt nichtlineare, spiegelsymmetrische Expressionsmuster bei Genen der Mitochondrienfunktion, lysosomalen Degradation und Immunantwort. Dieses Muster ist in humanen Daten konserviert. Bei pathologischem Altern (APP/PS1 transgene Mäuse) wird dieses adaptive Muster gestört – anhaltende Entzündungs- und Mitochondriendysfunktion. Mittleres Alter könnte kritischer Übergangspunkt sein, bevor Neuroinflammation einsetzt. Gene, die in transgenen Mäusen dysreguliert sind, zeigen ähnliche Trends in AD-Patienten.</w:t>
      </w:r>
    </w:p>
    <w:p>
      <w:r>
        <w:rPr>
          <w:b/>
          <w:sz w:val="19"/>
        </w:rPr>
        <w:t xml:space="preserve">Übertragbarkeit: </w:t>
      </w:r>
      <w:r>
        <w:rPr>
          <w:sz w:val="19"/>
        </w:rPr>
        <w:t>Mausmodelle und humane Daten, grundlagenwissenschaftlich; translational zu AD</w:t>
      </w:r>
    </w:p>
    <w:p>
      <w:r>
        <w:rPr>
          <w:color w:val="5A7D3A"/>
          <w:sz w:val="18"/>
        </w:rPr>
        <w:t>https://pubmed.ncbi.nlm.nih.gov/42551772/</w:t>
      </w:r>
    </w:p>
    <w:p>
      <w:pPr>
        <w:pStyle w:val="Heading1"/>
      </w:pPr>
      <w:r>
        <w:t>Aufgenommen am 10.09.2026</w:t>
      </w:r>
    </w:p>
    <w:p>
      <w:pPr>
        <w:pStyle w:val="Heading2"/>
      </w:pPr>
      <w:r>
        <w:t>Altersgerechte Umgebungen reduzieren Motoric-Cognitive-Risk-Syndrom</w:t>
      </w:r>
    </w:p>
    <w:p>
      <w:r>
        <w:rPr>
          <w:i/>
          <w:color w:val="666666"/>
          <w:sz w:val="18"/>
        </w:rPr>
        <w:t>Zhang H et al.  ·  Alzheimers Dement  ·  Sept. 2026  ·  PMID 42712112</w:t>
      </w:r>
    </w:p>
    <w:p>
      <w:r>
        <w:t>Prospektive Kohortenstudie aus den USA, die den Zusammenhang zwischen altersgerechten Lebensumgebungen und Inzidenz des Motoric Cognitive Risk Syndrome (Prädemenzsyndrom) untersucht.</w:t>
      </w:r>
    </w:p>
    <w:p>
      <w:r>
        <w:rPr>
          <w:b/>
        </w:rPr>
        <w:t xml:space="preserve">Ergebnis: </w:t>
      </w:r>
      <w:r>
        <w:t>Über 4 Jahre Nachbeobachtung: 801 Neuerkrankungen bei 7.608 älteren Erwachsenen (Durchschnittsalter 76,8 Jahre). Mit höherem altersgerechten Umgebungsscore geringeres MCR-Risiko (Q3: HR 0,75; 95%-KI 0,61–0,91; Q4: HR 0,62; 95%-KI 0,50–0,78); Dosis-Wirkungs-Beziehung nachgewiesen (HR 0,96 pro Punkt; p&lt;0,01).</w:t>
      </w:r>
    </w:p>
    <w:p>
      <w:r>
        <w:rPr>
          <w:b/>
          <w:sz w:val="19"/>
        </w:rPr>
        <w:t xml:space="preserve">Übertragbarkeit: </w:t>
      </w:r>
      <w:r>
        <w:rPr>
          <w:sz w:val="19"/>
        </w:rPr>
        <w:t>USA-Daten – Umweltgestaltung ist länderübergreifend adaptierbar, Outcome-Messung jedoch populationsspezifisch.</w:t>
      </w:r>
    </w:p>
    <w:p>
      <w:r>
        <w:rPr>
          <w:color w:val="5A7D3A"/>
          <w:sz w:val="18"/>
        </w:rPr>
        <w:t>https://pubmed.ncbi.nlm.nih.gov/42712112/</w:t>
      </w:r>
    </w:p>
    <w:p>
      <w:pPr>
        <w:pStyle w:val="Heading2"/>
      </w:pPr>
      <w:r>
        <w:t>Mundgesundheit und Gebrechlichkeit bei Krebspatienten: Metaanalyse</w:t>
      </w:r>
    </w:p>
    <w:p>
      <w:r>
        <w:rPr>
          <w:i/>
          <w:color w:val="666666"/>
          <w:sz w:val="18"/>
        </w:rPr>
        <w:t>Liu W et al.  ·  Front Public Health  ·  24.08.2026  ·  PMID 42707137</w:t>
      </w:r>
    </w:p>
    <w:p>
      <w:r>
        <w:t>Systematische Übersicht und Metaanalyse von 13 Studien (n=3.524) zur Prävalenz und Einflussfaktoren von Mundgebrechlichkeit (oral frailty) bei Krebspatienten.</w:t>
      </w:r>
    </w:p>
    <w:p>
      <w:r>
        <w:rPr>
          <w:b/>
        </w:rPr>
        <w:t xml:space="preserve">Ergebnis: </w:t>
      </w:r>
      <w:r>
        <w:t>Mundgebrechlichkeit-Prävalenz 52 % (95%-KI: 46–59 %). Signifikante Assoziationen mit: Zahnersatz (OR 15,09; KI 6,78–33,58), schlechter Mundgesundheit (OR 4,70; KI 2,13–10,39), körperlicher Frailty (OR 3,63; KI 2,40–5,50), Rauchen (OR 3,53; KI 2,34–5,31), Mangelernährung (OR 3,40; KI 2,01–5,75), Xerostomie (OR 3,46; KI 2,11–5,68) und Radiotherapie (OR 2,62; KI 1,67–4,11).</w:t>
      </w:r>
    </w:p>
    <w:p>
      <w:r>
        <w:rPr>
          <w:b/>
          <w:sz w:val="19"/>
        </w:rPr>
        <w:t xml:space="preserve">Übertragbarkeit: </w:t>
      </w:r>
      <w:r>
        <w:rPr>
          <w:sz w:val="19"/>
        </w:rPr>
        <w:t>Internationale Metaanalyse – risikofaktoren geriatrierelevant, aber Mundhygiene-Standards regional unterschiedlich.</w:t>
      </w:r>
    </w:p>
    <w:p>
      <w:r>
        <w:rPr>
          <w:color w:val="5A7D3A"/>
          <w:sz w:val="18"/>
        </w:rPr>
        <w:t>https://pubmed.ncbi.nlm.nih.gov/42707137/</w:t>
      </w:r>
    </w:p>
    <w:p>
      <w:pPr>
        <w:pStyle w:val="Heading2"/>
      </w:pPr>
      <w:r>
        <w:t>Demenzkonversion bei milder kognitiver Beeinträchtigung: Inzidenzraten in Brasilien</w:t>
      </w:r>
    </w:p>
    <w:p>
      <w:r>
        <w:rPr>
          <w:i/>
          <w:color w:val="666666"/>
          <w:sz w:val="18"/>
        </w:rPr>
        <w:t>Engelmann GTO et al.  ·  Alzheimers Dement  ·  Sept. 2026  ·  PMID 42706593</w:t>
      </w:r>
    </w:p>
    <w:p>
      <w:r>
        <w:t>15-Jahres-Kohortenstudie der kognitiven Entwicklung brasilianischer Älterer, die Übergangsraten von milder kognitiver Beeinträchtigung zu Demenz vom Alzheimer-Typ quantifiziert.</w:t>
      </w:r>
    </w:p>
    <w:p>
      <w:r>
        <w:rPr>
          <w:b/>
        </w:rPr>
        <w:t xml:space="preserve">Ergebnis: </w:t>
      </w:r>
      <w:r>
        <w:t>Jährliche Demenzkonversionsrate in der MCI-Gruppe 10,72 pro 100 Personenjahre (95%-KI: 8,54–13,29 %); kumulative Inzidenz nach 3 Jahren 29,85 % (95%-KI: 22,74–36,96 %), unter Berücksichtigung von Sterblichkeit als konkurrierende Ereignis. Die Studie belegt rasche Progression in Ländern mit mittlerem und niedrigem Einkommen.</w:t>
      </w:r>
    </w:p>
    <w:p>
      <w:r>
        <w:rPr>
          <w:b/>
          <w:sz w:val="19"/>
        </w:rPr>
        <w:t xml:space="preserve">Übertragbarkeit: </w:t>
      </w:r>
      <w:r>
        <w:rPr>
          <w:sz w:val="19"/>
        </w:rPr>
        <w:t>Brasilien - Daten für Länder mit niedrigerer Lebenserwartung; Übertragbarkeit auf Deutschland begrenzt.</w:t>
      </w:r>
    </w:p>
    <w:p>
      <w:r>
        <w:rPr>
          <w:color w:val="5A7D3A"/>
          <w:sz w:val="18"/>
        </w:rPr>
        <w:t>https://pubmed.ncbi.nlm.nih.gov/42706593/</w:t>
      </w:r>
    </w:p>
    <w:p>
      <w:pPr>
        <w:pStyle w:val="Heading2"/>
      </w:pPr>
      <w:r>
        <w:t>Lifestyle und Telomerlänge bei psychischen Erkrankungen</w:t>
      </w:r>
    </w:p>
    <w:p>
      <w:r>
        <w:rPr>
          <w:i/>
          <w:color w:val="666666"/>
          <w:sz w:val="18"/>
        </w:rPr>
        <w:t>Mlakar V et al.  ·  Transl Psychiatry  ·  02.09.2026  ·  PMID 42706234</w:t>
      </w:r>
    </w:p>
    <w:p>
      <w:r>
        <w:t>Querschnittstudie, die den Zusammenhang zwischen Lebensstilfaktoren und biologischem Alterungsmarker (Telomerlänge) bei 410 Personen mit schweren psychischen Störungen untersucht.</w:t>
      </w:r>
    </w:p>
    <w:p>
      <w:r>
        <w:rPr>
          <w:b/>
        </w:rPr>
        <w:t xml:space="preserve">Ergebnis: </w:t>
      </w:r>
      <w:r>
        <w:t>Personen mit ungesundem Lebensstil hatten kürzere Telomere als solche mit gesundem Lebensstil (Cohens d = 0,58, F = 8,62, p = 0,004). Mit zunehmender Anzahl ungesunder Verhaltensweisen kürzere Telomere (F = 2,69, p = 0,02, adjustiert für Alter, Geschlecht, Ethnizität, Trauma, Medikation, Bildung, Diagnose). Gesunder Lebensstil assoziiert mit etwa 6 Jahren niedrigerem biologischem Alter.</w:t>
      </w:r>
    </w:p>
    <w:p>
      <w:r>
        <w:rPr>
          <w:b/>
          <w:sz w:val="19"/>
        </w:rPr>
        <w:t xml:space="preserve">Übertragbarkeit: </w:t>
      </w:r>
      <w:r>
        <w:rPr>
          <w:sz w:val="19"/>
        </w:rPr>
        <w:t>Norwegen-England – psychische Grundpopulation, methodisch solid; Übertragbarkeit auf deutsches Versorgungssystem moderat.</w:t>
      </w:r>
    </w:p>
    <w:p>
      <w:r>
        <w:rPr>
          <w:color w:val="5A7D3A"/>
          <w:sz w:val="18"/>
        </w:rPr>
        <w:t>https://pubmed.ncbi.nlm.nih.gov/42706234/</w:t>
      </w:r>
    </w:p>
    <w:p>
      <w:pPr>
        <w:pStyle w:val="Heading2"/>
      </w:pPr>
      <w:r>
        <w:t>Perspektivenübernahme reduziert Altersstereotypen bei Onlineinterventionen</w:t>
      </w:r>
    </w:p>
    <w:p>
      <w:r>
        <w:rPr>
          <w:i/>
          <w:color w:val="666666"/>
          <w:sz w:val="18"/>
        </w:rPr>
        <w:t>Stecker L et al.  ·  J Aging Stud  ·  08.08.2026  ·  PMID 42705830</w:t>
      </w:r>
    </w:p>
    <w:p>
      <w:r>
        <w:t>Experimentelle Studie, welche von drei Kurzzeitinterventionen gegen Altersdiskriminierung und Hassrede im Internet die Wirksamkeit vergleicht.</w:t>
      </w:r>
    </w:p>
    <w:p>
      <w:r>
        <w:rPr>
          <w:b/>
        </w:rPr>
        <w:t xml:space="preserve">Ergebnis: </w:t>
      </w:r>
      <w:r>
        <w:t>Perspektivenübernahme war die einzige Intervention, die explizite Stereotype signifikant reduzierte (zwischen den Gruppen gemessen mit IAT und Likert-Skalen); implizite Ageism-Verzerrung wurde durch keine der drei kurzen Interventionen verschoben. Altersangst moderierte die Effektivität nicht, sagte aber explizite Altersdiskriminierung voraus.</w:t>
      </w:r>
    </w:p>
    <w:p>
      <w:r>
        <w:rPr>
          <w:b/>
          <w:sz w:val="19"/>
        </w:rPr>
        <w:t xml:space="preserve">Übertragbarkeit: </w:t>
      </w:r>
      <w:r>
        <w:rPr>
          <w:sz w:val="19"/>
        </w:rPr>
        <w:t>Deutschland - universitäre Stichprobe, aber Onlineformat länderübergreifend einsetzbar.</w:t>
      </w:r>
    </w:p>
    <w:p>
      <w:r>
        <w:rPr>
          <w:color w:val="5A7D3A"/>
          <w:sz w:val="18"/>
        </w:rPr>
        <w:t>https://pubmed.ncbi.nlm.nih.gov/42705830/</w:t>
      </w:r>
    </w:p>
    <w:p>
      <w:pPr>
        <w:pStyle w:val="Heading2"/>
      </w:pPr>
      <w:r>
        <w:t>Schichtarbeit, biologische Altersbeschleunigung und Sterblichkeit</w:t>
      </w:r>
    </w:p>
    <w:p>
      <w:r>
        <w:rPr>
          <w:i/>
          <w:color w:val="666666"/>
          <w:sz w:val="18"/>
        </w:rPr>
        <w:t>Wang R et al.  ·  Int Arch Occup Environ Health  ·  06.09.2026  ·  PMID 42701914</w:t>
      </w:r>
    </w:p>
    <w:p>
      <w:r>
        <w:t>Prospektive Kohortenstudie von 7.548 US-Erwachsenen mit Mortality-Follow-up, die Assoziationen zwischen Schichtarbeit und All-cause-Mortalität sowie die Rolle biologischer Altersbeschleunigung untersucht.</w:t>
      </w:r>
    </w:p>
    <w:p>
      <w:r>
        <w:rPr>
          <w:b/>
        </w:rPr>
        <w:t xml:space="preserve">Ergebnis: </w:t>
      </w:r>
      <w:r>
        <w:t>Schichtarbeit assoziiert mit erhöhter Gesamtsterblichkeit (HR 1,52; 95%-KI 1,09–2,13). Schichtarbeiter zeigten stärkere PhenoAge-Beschleunigung (β = 0,39 Jahre). PhenoAge-Beschleunigung statistisch verantwortlich für 6,18 % der Assoziation zwischen Schichtarbeit und Sterblichkeit (kausale Mediation nicht inferierbar).</w:t>
      </w:r>
    </w:p>
    <w:p>
      <w:r>
        <w:rPr>
          <w:b/>
          <w:sz w:val="19"/>
        </w:rPr>
        <w:t xml:space="preserve">Übertragbarkeit: </w:t>
      </w:r>
      <w:r>
        <w:rPr>
          <w:sz w:val="19"/>
        </w:rPr>
        <w:t>USA-NHANES-Daten – Schichtarbeit-Definition international vergleichbar, aber Arbeitsmarkt und Sozialversicherung unterscheiden sich erheblich.</w:t>
      </w:r>
    </w:p>
    <w:p>
      <w:r>
        <w:rPr>
          <w:color w:val="5A7D3A"/>
          <w:sz w:val="18"/>
        </w:rPr>
        <w:t>https://pubmed.ncbi.nlm.nih.gov/42701914/</w:t>
      </w:r>
    </w:p>
    <w:p>
      <w:pPr>
        <w:pStyle w:val="Heading1"/>
      </w:pPr>
      <w:r>
        <w:t>Aufgenommen am 09.09.2026</w:t>
      </w:r>
    </w:p>
    <w:p>
      <w:pPr>
        <w:pStyle w:val="Heading2"/>
      </w:pPr>
      <w:r>
        <w:t>Sozioökonomische Ungleichheiten in der Lebenserwartung nach Diagnose: Dänemark 64 Erkrankungen</w:t>
      </w:r>
    </w:p>
    <w:p>
      <w:r>
        <w:rPr>
          <w:i/>
          <w:color w:val="666666"/>
          <w:sz w:val="18"/>
        </w:rPr>
        <w:t>Pallesen AVJ et al.  ·  Eur J Public Health  ·  04.08.2026  ·  PMID 42709676</w:t>
      </w:r>
    </w:p>
    <w:p>
      <w:r>
        <w:t>Bevölkerungsregister-Studie (4,4 Mio. Dänen) mit Multistate-Modellen zur Abbildung von Bildungs- und Einkommensungleichheiten in der Lebenserwartung nach Diagnose von 64 nichtübertragbaren Erkrankungen.</w:t>
      </w:r>
    </w:p>
    <w:p>
      <w:r>
        <w:rPr>
          <w:b/>
        </w:rPr>
        <w:t xml:space="preserve">Ergebnis: </w:t>
      </w:r>
      <w:r>
        <w:t>Bildungs- und Einkommensungleichheiten in der Lebenserwartung nach Diagnosestellung waren konsistent über alle 64 Erkrankungen hinweg vorhanden. Beispiel Leberzirrhose: Hochgebildete 50-Jährige mit Diagnose lebten 17 Jahre (Frauen) bzw. 13 Jahre (Männer) länger als Niedriggebildete (14 bzw. 10 Jahre). Befund zeigt universelles Muster: Sozioökonomische Position beeinflusst Krankheitsverlauf und Mortalität unabhängig von der Erkrankung.</w:t>
      </w:r>
    </w:p>
    <w:p>
      <w:r>
        <w:rPr>
          <w:b/>
          <w:sz w:val="19"/>
        </w:rPr>
        <w:t xml:space="preserve">Übertragbarkeit: </w:t>
      </w:r>
      <w:r>
        <w:rPr>
          <w:sz w:val="19"/>
        </w:rPr>
        <w:t>Dänische Vollpopulationsdaten, Sozialversicherungssystem vergleichbar mit Deutschland.</w:t>
      </w:r>
    </w:p>
    <w:p>
      <w:r>
        <w:rPr>
          <w:color w:val="5A7D3A"/>
          <w:sz w:val="18"/>
        </w:rPr>
        <w:t>https://pubmed.ncbi.nlm.nih.gov/42709676/</w:t>
      </w:r>
    </w:p>
    <w:p>
      <w:pPr>
        <w:pStyle w:val="Heading2"/>
      </w:pPr>
      <w:r>
        <w:t>Allostatic Load vorhersagt Frailty-Entwicklung: 12-Jahres-Längsschnittstudie</w:t>
      </w:r>
    </w:p>
    <w:p>
      <w:r>
        <w:rPr>
          <w:i/>
          <w:color w:val="666666"/>
          <w:sz w:val="18"/>
        </w:rPr>
        <w:t>Arkesteijn M et al.  ·  Stress Health  ·  Okt. 2026  ·  PMID 42708507</w:t>
      </w:r>
    </w:p>
    <w:p>
      <w:r>
        <w:t>English Longitudinal Survey on Ageing (ELSA): 3248 Personen 50–89 Jahre über 12 Jahre; Analyse, ob Allostatic Load (Multimarkerbiomarker chronischen Stresses) die Neuonset von Prä-Frailty oder Frailty vorhersagt.</w:t>
      </w:r>
    </w:p>
    <w:p>
      <w:r>
        <w:rPr>
          <w:b/>
        </w:rPr>
        <w:t xml:space="preserve">Ergebnis: </w:t>
      </w:r>
      <w:r>
        <w:t>Erhöhte Allostatic Load war signifikanter Prädiktor für Onset von Prä-Frailty und Frailty (Hazard Ratio nicht in Abstract beziffert). Soziale Unterstützung modifizierte diesen Effekt modifizierbar. Alter und Geschlecht interagierten nicht mit Allostatic Load und Frailty-Vorhersage. Allostatic Load könnte als Screening-Instrument für Frailty-Risiko bei aktuell nicht-frailem Individuen dienen.</w:t>
      </w:r>
    </w:p>
    <w:p>
      <w:r>
        <w:rPr>
          <w:b/>
          <w:sz w:val="19"/>
        </w:rPr>
        <w:t xml:space="preserve">Übertragbarkeit: </w:t>
      </w:r>
      <w:r>
        <w:rPr>
          <w:sz w:val="19"/>
        </w:rPr>
        <w:t>Großbritannien, NHS-System, nationale Surveydaten vergleichbar mit deutschem Setting.</w:t>
      </w:r>
    </w:p>
    <w:p>
      <w:r>
        <w:rPr>
          <w:color w:val="5A7D3A"/>
          <w:sz w:val="18"/>
        </w:rPr>
        <w:t>https://pubmed.ncbi.nlm.nih.gov/42708507/</w:t>
      </w:r>
    </w:p>
    <w:p>
      <w:pPr>
        <w:pStyle w:val="Heading2"/>
      </w:pPr>
      <w:r>
        <w:t>Zivilgesellschaftliche Beteiligung älterer Menschen und wahrgenommene Gesundheit</w:t>
      </w:r>
    </w:p>
    <w:p>
      <w:r>
        <w:rPr>
          <w:i/>
          <w:color w:val="666666"/>
          <w:sz w:val="18"/>
        </w:rPr>
        <w:t>Cantore M et al.  ·  Front Public Health  ·  24.08.2026  ·  PMID 42707366</w:t>
      </w:r>
    </w:p>
    <w:p>
      <w:r>
        <w:t>Qualitative Studie (Italien, 2025): 12 ältere Erwachsene (≥70 Jahre) zu Erfahrungen mit zivilgesellschaftlicher und politischer Partizipation und deren Auswirkungen auf Gesundheit und Wohlbefinden.</w:t>
      </w:r>
    </w:p>
    <w:p>
      <w:r>
        <w:rPr>
          <w:b/>
        </w:rPr>
        <w:t xml:space="preserve">Ergebnis: </w:t>
      </w:r>
      <w:r>
        <w:t>Freiwilliges Engagement fördert körperliche Mobilität, Handlungsfähigkeit und Selbstwirksamkeit. Politische Partizipation wirkt kognitiv stimulierend, führt aber häufig zu emotionaler Erschöpfung, Entfremdung und Frustration. Intergenerationale Lernprozesse und Dialog gelten als zentral für nachhaltiges Engagement. Befund belegt, dass emotionale Belastung durch politische Enttäuschung zu beachten ist.</w:t>
      </w:r>
    </w:p>
    <w:p>
      <w:r>
        <w:rPr>
          <w:b/>
          <w:sz w:val="19"/>
        </w:rPr>
        <w:t xml:space="preserve">Übertragbarkeit: </w:t>
      </w:r>
      <w:r>
        <w:rPr>
          <w:sz w:val="19"/>
        </w:rPr>
        <w:t>Italien, Südeuropa; Gesundheitssystem und zivilgesellschaftliche Strukturen unterscheiden sich von Deutschland.</w:t>
      </w:r>
    </w:p>
    <w:p>
      <w:r>
        <w:rPr>
          <w:color w:val="5A7D3A"/>
          <w:sz w:val="18"/>
        </w:rPr>
        <w:t>https://pubmed.ncbi.nlm.nih.gov/42707366/</w:t>
      </w:r>
    </w:p>
    <w:p>
      <w:pPr>
        <w:pStyle w:val="Heading2"/>
      </w:pPr>
      <w:r>
        <w:t>Altern ohne Verwandte: Transnigration, Sehnsucht und Desillusionierung</w:t>
      </w:r>
    </w:p>
    <w:p>
      <w:r>
        <w:rPr>
          <w:i/>
          <w:color w:val="666666"/>
          <w:sz w:val="18"/>
        </w:rPr>
        <w:t>Mishra J et al.  ·  J Aging Stud  ·  26.06.2026  ·  PMID 42705826</w:t>
      </w:r>
    </w:p>
    <w:p>
      <w:r>
        <w:t>Ethnografische Studie in Patiala (Nordindien) mit älteren Erwachsenen: Erfahrungen mit transnationaler Migration ihrer Familienangehörigen und deren Auswirkungen auf Wahrnehmung von Sorge, Zugehörigkeit und Familienrekonfiguration im Alter.</w:t>
      </w:r>
    </w:p>
    <w:p>
      <w:r>
        <w:rPr>
          <w:b/>
        </w:rPr>
        <w:t xml:space="preserve">Ergebnis: </w:t>
      </w:r>
      <w:r>
        <w:t>Ältere Ermöglichen Emigration ihrer Kinder durch Ressourcen-Pooling; erleben aber Abwesenheit emigrierter Kinder in paradoxer Liminalität. Zunehmende Desillusionierung mit Staat (Arbeitslosigkeit, Agrarkrise, Korruption), komplexe Beziehungen zu internen Migranten aus anderen Bundesstaaten. Migration produziert mehrschichtige affektive, soziale und politische Verflechtungen, die Alterserfahrung prägen.</w:t>
      </w:r>
    </w:p>
    <w:p>
      <w:r>
        <w:rPr>
          <w:b/>
          <w:sz w:val="19"/>
        </w:rPr>
        <w:t xml:space="preserve">Übertragbarkeit: </w:t>
      </w:r>
      <w:r>
        <w:rPr>
          <w:sz w:val="19"/>
        </w:rPr>
        <w:t>Indien, nicht übertragbar; dokumentiert Mechanismen familiärer und sozialer Strukturen beim Altern unter Migrationsdruck.</w:t>
      </w:r>
    </w:p>
    <w:p>
      <w:r>
        <w:rPr>
          <w:color w:val="5A7D3A"/>
          <w:sz w:val="18"/>
        </w:rPr>
        <w:t>https://pubmed.ncbi.nlm.nih.gov/42705826/</w:t>
      </w:r>
    </w:p>
    <w:p>
      <w:pPr>
        <w:pStyle w:val="Heading2"/>
      </w:pPr>
      <w:r>
        <w:t>Kognitives Frailty bei hospitalisierten älteren Patienten mit Herzinsuffizienz</w:t>
      </w:r>
    </w:p>
    <w:p>
      <w:r>
        <w:rPr>
          <w:i/>
          <w:color w:val="666666"/>
          <w:sz w:val="18"/>
        </w:rPr>
        <w:t>Mou Y et al.  ·  Front Public Health  ·  21.08.2026  ·  PMID 42698449</w:t>
      </w:r>
    </w:p>
    <w:p>
      <w:r>
        <w:t>Systematischer Review (8 Querschnittsstudien, 20 Modelle zur Identifikation von kognitiver Frailty bei hospitalisierten älteren Patienten mit chronischer Herzinsuffizienz in China).</w:t>
      </w:r>
    </w:p>
    <w:p>
      <w:r>
        <w:rPr>
          <w:b/>
        </w:rPr>
        <w:t xml:space="preserve">Ergebnis: </w:t>
      </w:r>
      <w:r>
        <w:t>Alle Modelle waren Screening-/Diagnosemodelle für prävalentes kognitives Frailty (nicht prognostisch). Externe Validierung zeigte AUC 0,770–0,852. Häufigste Prädiktoren: Alter, NYHA-Klassifikation, Depression, Ernährungsstatus und Schlaf-Faktoren. Alle Studien mit hohem Bias-Risiko; Modelle nicht reif für klinische Routineentscheidungen. Prospektive Modellentwicklung, Multicenter-Validierung und klinische Effektivitätsanalysen erforderlich.</w:t>
      </w:r>
    </w:p>
    <w:p>
      <w:r>
        <w:rPr>
          <w:b/>
          <w:sz w:val="19"/>
        </w:rPr>
        <w:t xml:space="preserve">Übertragbarkeit: </w:t>
      </w:r>
      <w:r>
        <w:rPr>
          <w:sz w:val="19"/>
        </w:rPr>
        <w:t>China, andere Strukturen; Befund zeigt, welche Faktoren kognitives Frailty bestimmen – relevant für deutsches geriatrisches Assessment.</w:t>
      </w:r>
    </w:p>
    <w:p>
      <w:r>
        <w:rPr>
          <w:color w:val="5A7D3A"/>
          <w:sz w:val="18"/>
        </w:rPr>
        <w:t>https://pubmed.ncbi.nlm.nih.gov/42698449/</w:t>
      </w:r>
    </w:p>
    <w:p>
      <w:pPr>
        <w:pStyle w:val="Heading2"/>
      </w:pPr>
      <w:r>
        <w:t>SFRP2 und FSTL1 regulieren DHT-induzierte Seneszenz in Haarfollikeln</w:t>
      </w:r>
    </w:p>
    <w:p>
      <w:r>
        <w:rPr>
          <w:i/>
          <w:color w:val="666666"/>
          <w:sz w:val="18"/>
        </w:rPr>
        <w:t>Huang Y et al.  ·  Aging Cell  ·  Sept. 2026  ·  PMID 42698274</w:t>
      </w:r>
    </w:p>
    <w:p>
      <w:r>
        <w:t>Mechanistische Studie zu androgenetischer Alopezie (AGA): Knock-down-Experimente und Mausmodell zur Rolle der SFRP2-FSTL1-Achse bei DHT-induzierten mitochondrialen Dysfunktionen und Seneszenz von Dermalapilla-Zellen.</w:t>
      </w:r>
    </w:p>
    <w:p>
      <w:r>
        <w:rPr>
          <w:b/>
        </w:rPr>
        <w:t xml:space="preserve">Ergebnis: </w:t>
      </w:r>
      <w:r>
        <w:t>SFRP2 hochexprimiert in AGA-Dermalapilla-Zellen. SFRP2-Knockdown verbesserte Haaregeneration und Follikel-Morphologie in vivo, förderte DPC-Proliferation/Migration in vitro. SFRP2 beeinflusst FSTL1-Proteinstabilität. Knockdown von FSTL1 hob negative Effekte von SFRP2-Überexpression auf. SFRP2-FSTL1-Achse als neuer therapeutischer Ansatzpunkt für AGA-Verlangsamung identifiziert.</w:t>
      </w:r>
    </w:p>
    <w:p>
      <w:r>
        <w:rPr>
          <w:b/>
          <w:sz w:val="19"/>
        </w:rPr>
        <w:t xml:space="preserve">Übertragbarkeit: </w:t>
      </w:r>
      <w:r>
        <w:rPr>
          <w:sz w:val="19"/>
        </w:rPr>
        <w:t>Grundlagenforschung mit klinischem Ansatz (AGA-Behandlung); zelluläre Seneszenz-Mechanismen relevant für Aging-Verständnis.</w:t>
      </w:r>
    </w:p>
    <w:p>
      <w:r>
        <w:rPr>
          <w:color w:val="5A7D3A"/>
          <w:sz w:val="18"/>
        </w:rPr>
        <w:t>https://pubmed.ncbi.nlm.nih.gov/42698274/</w:t>
      </w:r>
    </w:p>
    <w:p>
      <w:pPr>
        <w:pStyle w:val="Heading2"/>
      </w:pPr>
      <w:r>
        <w:t>Körperliche Aktivität moderiert psychische Belastung im Alter unterschiedlich</w:t>
      </w:r>
    </w:p>
    <w:p>
      <w:r>
        <w:rPr>
          <w:i/>
          <w:color w:val="666666"/>
          <w:sz w:val="18"/>
        </w:rPr>
        <w:t>Järvensivu L et al.  ·  J Psychiatr Res  ·  07.08.2026  ·  PMID 42585821</w:t>
      </w:r>
    </w:p>
    <w:p>
      <w:r>
        <w:t>Finnische Kohortenstudie (Helsinki Health Study 2017–2022): Zwei Altersgruppen (19–39 Jahre und 55–75 Jahre) zur Assoziation zwischen Intensität der Freizeit-Bewegungsaktivität und psychischer Belastung nach 5 Jahren.</w:t>
      </w:r>
    </w:p>
    <w:p>
      <w:r>
        <w:rPr>
          <w:b/>
        </w:rPr>
        <w:t xml:space="preserve">Ergebnis: </w:t>
      </w:r>
      <w:r>
        <w:t>Höhere moderate Aktivität assoziiert mit weniger psychischer Belastung nur in der älteren Kohorte (β = −0,163; p &lt; 0,001). Vigorous Activity zeigte altersunabhängig protektive Wirkung (β = −0,053 für beide; p &lt; 0,001). Effekt blieb nach Anpassung für Soziodemografika und Gesundheitsfaktoren signifikant.</w:t>
      </w:r>
    </w:p>
    <w:p>
      <w:r>
        <w:rPr>
          <w:b/>
          <w:sz w:val="19"/>
        </w:rPr>
        <w:t xml:space="preserve">Übertragbarkeit: </w:t>
      </w:r>
      <w:r>
        <w:rPr>
          <w:sz w:val="19"/>
        </w:rPr>
        <w:t>Finnland, skandinavisches Versicherungssystem, vergleichbare Erfassungsstandards.</w:t>
      </w:r>
    </w:p>
    <w:p>
      <w:r>
        <w:rPr>
          <w:color w:val="5A7D3A"/>
          <w:sz w:val="18"/>
        </w:rPr>
        <w:t>https://pubmed.ncbi.nlm.nih.gov/42585821/</w:t>
      </w:r>
    </w:p>
    <w:p>
      <w:pPr>
        <w:pStyle w:val="Heading1"/>
      </w:pPr>
      <w:r>
        <w:t>Aufgenommen am 08.09.2026</w:t>
      </w:r>
    </w:p>
    <w:p>
      <w:pPr>
        <w:pStyle w:val="Heading2"/>
      </w:pPr>
      <w:r>
        <w:t>Langzeitpflege für Ältere in Südostasien: Verfügbarkeit, Qualität und Lücken</w:t>
      </w:r>
    </w:p>
    <w:p>
      <w:r>
        <w:rPr>
          <w:i/>
          <w:color w:val="666666"/>
          <w:sz w:val="18"/>
        </w:rPr>
        <w:t>Sasaki Y et al.  ·  Geriatr Gerontol Int  ·  Sept. 2026  ·  PMID 42705630</w:t>
      </w:r>
    </w:p>
    <w:p>
      <w:r>
        <w:t>Mixed-Methods-Studie (Sekundärdaten zu UHC, demografische Trends, Expertinneninterviews, 7 Evaluationsdomänen) zur Organisation und Qualität der Langzeitpflege in Kambodscha, Thailand, Philippinen, Malaysia und Myanmar während des demographischen Wandels.</w:t>
      </w:r>
    </w:p>
    <w:p>
      <w:r>
        <w:rPr>
          <w:b/>
        </w:rPr>
        <w:t xml:space="preserve">Ergebnis: </w:t>
      </w:r>
      <w:r>
        <w:t>Positive Assoziation zwischen UHC-Fortschritt und Altersstruktur. Langzeitpflege-Organisation und -Versorgung variieren stark; Heimbasierte Pflege dominiert, Verfügbarkeit und Integration öffentlicher Dienste inkonsistent. Demenzbetreuung weitgehend unerkannt, haushaltszentriert. Informations- und Kommunikationstechnologien minimal/absent. Thailand zeigt Fortschritt bei Rehabilitations-UHC-Verknüpfung, aber Personalengpässe und Zugangsbarrieren. Präventivversorgung, einschließlich Frailty-Prävention, unterentwickelt.</w:t>
      </w:r>
    </w:p>
    <w:p>
      <w:r>
        <w:rPr>
          <w:b/>
          <w:sz w:val="19"/>
        </w:rPr>
        <w:t xml:space="preserve">Übertragbarkeit: </w:t>
      </w:r>
      <w:r>
        <w:rPr>
          <w:sz w:val="19"/>
        </w:rPr>
        <w:t>Südostasien, unterschiedliche Finanzierungssysteme und Entwicklungslagen; Befunde zeigen regionale Unterschiede, Übertragung auf Deutschland begrenzt, aber Policy-Implikationen relevant</w:t>
      </w:r>
    </w:p>
    <w:p>
      <w:r>
        <w:rPr>
          <w:color w:val="5A7D3A"/>
          <w:sz w:val="18"/>
        </w:rPr>
        <w:t>https://pubmed.ncbi.nlm.nih.gov/42705630/</w:t>
      </w:r>
    </w:p>
    <w:p>
      <w:pPr>
        <w:pStyle w:val="Heading2"/>
      </w:pPr>
      <w:r>
        <w:t>Gezieltes Kraft- und Balancetraining verbessert Mobilität älterer Aboriginal-Menschen</w:t>
      </w:r>
    </w:p>
    <w:p>
      <w:r>
        <w:rPr>
          <w:i/>
          <w:color w:val="666666"/>
          <w:sz w:val="18"/>
        </w:rPr>
        <w:t>Ivers R et al.  ·  Age Ageing  ·  04.09.2026  ·  PMID 42704260</w:t>
      </w:r>
    </w:p>
    <w:p>
      <w:r>
        <w:t>Kontrollierte Vorher-nachher-Studie (n=19 Standorte Australien, Ironbark-Programm) zum Effekt eines Co-Design-Sturzvorsorgeprogramms mit Übungen und Yarning Circles auf funktionelle Mobilität und Stürze bei Aboriginal-Älteren (≥45 Jahre, n=vor allem Intervention).</w:t>
      </w:r>
    </w:p>
    <w:p>
      <w:r>
        <w:rPr>
          <w:b/>
        </w:rPr>
        <w:t xml:space="preserve">Ergebnis: </w:t>
      </w:r>
      <w:r>
        <w:t>Signifikante Verbesserung der primären Outcome funktionelle Mobilität (SPPB-Veränderung +0,8 Punkte, 95 % CI 0,4–1,1), kürzere Schrittzeiten, bessere Beinstabilität, mehr geplante und beiläufige Bewegung. Keine signifikanten Änderungen bei Stürzen, Lebensqualität oder psychischer Belastung. Kontrollgruppe (Healthy Community) zeigte Verschlechterungen.</w:t>
      </w:r>
    </w:p>
    <w:p>
      <w:r>
        <w:rPr>
          <w:b/>
          <w:sz w:val="19"/>
        </w:rPr>
        <w:t xml:space="preserve">Übertragbarkeit: </w:t>
      </w:r>
      <w:r>
        <w:rPr>
          <w:sz w:val="19"/>
        </w:rPr>
        <w:t>Australien, Kontrollstudie mit funktionellem Endpunkt, Design übertragbar auf andere First-Nations-Settings</w:t>
      </w:r>
    </w:p>
    <w:p>
      <w:r>
        <w:rPr>
          <w:color w:val="5A7D3A"/>
          <w:sz w:val="18"/>
        </w:rPr>
        <w:t>https://pubmed.ncbi.nlm.nih.gov/42704260/</w:t>
      </w:r>
    </w:p>
    <w:p>
      <w:pPr>
        <w:pStyle w:val="Heading2"/>
      </w:pPr>
      <w:r>
        <w:t>Individuelle Ernährungsintervention mit Krafttraining verbessert Frailty bei hospitalisierten Älteren</w:t>
      </w:r>
    </w:p>
    <w:p>
      <w:r>
        <w:rPr>
          <w:i/>
          <w:color w:val="666666"/>
          <w:sz w:val="18"/>
        </w:rPr>
        <w:t>Chen L et al.  ·  J Int Med Res  ·  07.09.2026  ·  PMID 42704222</w:t>
      </w:r>
    </w:p>
    <w:p>
      <w:r>
        <w:t>Prospektive Pilotkohorte ohne Kontrolle (n=120, Durchschnittsalter 87 Jahre) zur Wirkung von Screening-gesteuerter individualisierter Ernährungsunterstützung (bei MNA-SF ≤11) kombiniert mit dosiertem Theraband-Krafttraining 3x wöchentlich über 12 Wochen.</w:t>
      </w:r>
    </w:p>
    <w:p>
      <w:r>
        <w:rPr>
          <w:b/>
        </w:rPr>
        <w:t xml:space="preserve">Ergebnis: </w:t>
      </w:r>
      <w:r>
        <w:t>Signifikante Verbesserungen: Serum-Transferrin, Präalbumin und Albumin (alle p&lt;0,05), MNA-SF-Scores, SPPB-Scores, Mobilität, ADL/IADL-Funktionen, Griffstärke und Gehgeschwindigkeit (alle p&lt;0,05). SPPB-Mindesteffekt erreicht bei höherem Bildungsniveau (aOR=1,96) und niedrigerem Ausgangs-Mobilitätswert (aOR=1,81). Ohne externe Validierung; Ergebnisse vorläufig.</w:t>
      </w:r>
    </w:p>
    <w:p>
      <w:r>
        <w:rPr>
          <w:b/>
          <w:sz w:val="19"/>
        </w:rPr>
        <w:t xml:space="preserve">Übertragbarkeit: </w:t>
      </w:r>
      <w:r>
        <w:rPr>
          <w:sz w:val="19"/>
        </w:rPr>
        <w:t>China (Klinikdaten), Struktur auf deutsche Geriatrie übertragbar (Assessment, Ernährung, Rehabilitation), klinische Dosierung dokumentiert</w:t>
      </w:r>
    </w:p>
    <w:p>
      <w:r>
        <w:rPr>
          <w:color w:val="5A7D3A"/>
          <w:sz w:val="18"/>
        </w:rPr>
        <w:t>https://pubmed.ncbi.nlm.nih.gov/42704222/</w:t>
      </w:r>
    </w:p>
    <w:p>
      <w:pPr>
        <w:pStyle w:val="Heading2"/>
      </w:pPr>
      <w:r>
        <w:t>Gestaffelte Auswahl von Frailty-Assessment-Instrumenten für die klinische Praxis</w:t>
      </w:r>
    </w:p>
    <w:p>
      <w:r>
        <w:rPr>
          <w:i/>
          <w:color w:val="666666"/>
          <w:sz w:val="18"/>
        </w:rPr>
        <w:t>Sládeček S et al.  ·  Clin Interv Aging  ·  02.09.2026  ·  PMID 42703386</w:t>
      </w:r>
    </w:p>
    <w:p>
      <w:r>
        <w:t>Narrative Übersicht über zehn validierte Frailty-Assessments (FRAIL, SOF, CFS, PRISMA-7, VES-13, Fried phenotype, TFI, GFI, EFS, FI-CGA) mit Analyse ihrer konzeptionellen Grundlagen, Einsatzdomänen und praktischen Anforderungen.</w:t>
      </w:r>
    </w:p>
    <w:p>
      <w:r>
        <w:rPr>
          <w:b/>
        </w:rPr>
        <w:t xml:space="preserve">Ergebnis: </w:t>
      </w:r>
      <w:r>
        <w:t>Gegenüberstellung zeigt: Kurze Screening-Tools (PRISMA-7, FRAIL) für erste Kontakte in Ambulanz/Gemeinde; CFS für schnelle klinische Stratifizierung in Akutaufnahme/Notfall; mehrdimensionale Instrumente (EFS) wenn breiterer Überblick nötig, aber keine vollständige geriatrische Diagnostik; CGA+FI-CGA für spezialisierte geriatrische Versorgung. Instrumentwahl hängt von Versorgungskontext, Zweck und Kapazität ab – keine Austauschbarkeit.</w:t>
      </w:r>
    </w:p>
    <w:p>
      <w:r>
        <w:rPr>
          <w:b/>
          <w:sz w:val="19"/>
        </w:rPr>
        <w:t xml:space="preserve">Übertragbarkeit: </w:t>
      </w:r>
      <w:r>
        <w:rPr>
          <w:sz w:val="19"/>
        </w:rPr>
        <w:t>Mehrsprachig validiert (europäischer und nordamerikanischer Raum), klinische Empfehlungen universell anwendbar, deutschsprachige Literatur einbezogen</w:t>
      </w:r>
    </w:p>
    <w:p>
      <w:r>
        <w:rPr>
          <w:color w:val="5A7D3A"/>
          <w:sz w:val="18"/>
        </w:rPr>
        <w:t>https://pubmed.ncbi.nlm.nih.gov/42703386/</w:t>
      </w:r>
    </w:p>
    <w:p>
      <w:pPr>
        <w:pStyle w:val="Heading2"/>
      </w:pPr>
      <w:r>
        <w:t>Digitale Technologien für aktives Altern: Bibliometrie und Forschungslandkarte</w:t>
      </w:r>
    </w:p>
    <w:p>
      <w:r>
        <w:rPr>
          <w:i/>
          <w:color w:val="666666"/>
          <w:sz w:val="18"/>
        </w:rPr>
        <w:t>Wang Y et al.  ·  Inquiry  ·  04.09.2026  ·  PMID 42695810</w:t>
      </w:r>
    </w:p>
    <w:p>
      <w:r>
        <w:t>Bibliometrische Analyse (n=837 Publikationen 2006–2025, Web of Science) zur Kartierung der Forschungslandschaft digitaler Technologien für aktives Altern, Identifikation von Clustern, Trends und thematischen Strukturen.</w:t>
      </w:r>
    </w:p>
    <w:p>
      <w:r>
        <w:rPr>
          <w:b/>
        </w:rPr>
        <w:t xml:space="preserve">Ergebnis: </w:t>
      </w:r>
      <w:r>
        <w:t>Publikationen steigen ab 2018 deutlich an. Fünf Forschungscluster: Technologieakzeptanz und Befähigung, digitale Lifestyle-Interventionen, digitale Partizipation und Smart Environments, eHealth-gestützte Verhaltensänderung, Machine-Learning-basierte Altersassessments. Schlüsselthemen: digitale Inklusion, körperliche Aktivität, Gesundheitsrisiko-Analytik, Lebensqualität. Verschiebung hin zu Funktionsfähigkeit und personalisierter Unterstützung; KI-basierte Assessments noch früh, sollten vorsichtig interpretiert werden.</w:t>
      </w:r>
    </w:p>
    <w:p>
      <w:r>
        <w:rPr>
          <w:b/>
          <w:sz w:val="19"/>
        </w:rPr>
        <w:t xml:space="preserve">Übertragbarkeit: </w:t>
      </w:r>
      <w:r>
        <w:rPr>
          <w:sz w:val="19"/>
        </w:rPr>
        <w:t>Globale Analyse, beschreibend (keine Wirksamkeitsdaten), Anwendbarkeit hängt von lokalen Systemen ab</w:t>
      </w:r>
    </w:p>
    <w:p>
      <w:r>
        <w:rPr>
          <w:color w:val="5A7D3A"/>
          <w:sz w:val="18"/>
        </w:rPr>
        <w:t>https://pubmed.ncbi.nlm.nih.gov/42695810/</w:t>
      </w:r>
    </w:p>
    <w:p>
      <w:pPr>
        <w:pStyle w:val="Heading2"/>
      </w:pPr>
      <w:r>
        <w:t>Körperliche Aktivität mindert Frailty-Risiko trotz belastender Kindheitserfahrungen</w:t>
      </w:r>
    </w:p>
    <w:p>
      <w:r>
        <w:rPr>
          <w:i/>
          <w:color w:val="666666"/>
          <w:sz w:val="18"/>
        </w:rPr>
        <w:t>Dong X et al.  ·  Gen Hosp Psychiatry  ·  15.08.2026  ·  PMID 42660041</w:t>
      </w:r>
    </w:p>
    <w:p>
      <w:r>
        <w:t>Prospektive Kohortenstudie (SHARE-Daten, n=23.385) zur Frage, ob ausreichende körperliche Aktivität die negativen Auswirkungen ungünstiger Kindheitserfahrungen (Adverse Childhood Experiences) auf kognitives Frailty im mittleren und höheren Alter abpuffert.</w:t>
      </w:r>
    </w:p>
    <w:p>
      <w:r>
        <w:rPr>
          <w:b/>
        </w:rPr>
        <w:t xml:space="preserve">Ergebnis: </w:t>
      </w:r>
      <w:r>
        <w:t>Jede zusätzliche ungünstige Kindheitserfahrung erhöhte das Frailty-Risiko um 9 % (HR=1,09). Ein Jahr ausreichende körperliche Aktivität senkte das Risiko um 25 % (HR=0,75). Langfristige Aufrechterhaltung (≥6 Jahre) reduzierte das Frailty-Risiko bei ungünstigen Erfahrungen um 54 % (HR=0,46); die Assoziation wurde zu 23 % durch erhaltene körperliche Aktivität vermittelt. Effekt war stärksten bei schlechtem Kindheitseinkommen (HR=0,59) und schlechter Nachbarschaftsqualität (HR=0,45).</w:t>
      </w:r>
    </w:p>
    <w:p>
      <w:r>
        <w:rPr>
          <w:b/>
          <w:sz w:val="19"/>
        </w:rPr>
        <w:t xml:space="preserve">Übertragbarkeit: </w:t>
      </w:r>
      <w:r>
        <w:rPr>
          <w:sz w:val="19"/>
        </w:rPr>
        <w:t>Europa (SHARE-Daten, deutschsprachige Länder einbezogen), sozialversicherungsbasierte Systeme vergleichbar</w:t>
      </w:r>
    </w:p>
    <w:p>
      <w:r>
        <w:rPr>
          <w:color w:val="5A7D3A"/>
          <w:sz w:val="18"/>
        </w:rPr>
        <w:t>https://pubmed.ncbi.nlm.nih.gov/42660041/</w:t>
      </w:r>
    </w:p>
    <w:p>
      <w:pPr>
        <w:pStyle w:val="Heading1"/>
      </w:pPr>
      <w:r>
        <w:t>Aufgenommen am 07.09.2026</w:t>
      </w:r>
    </w:p>
    <w:p>
      <w:pPr>
        <w:pStyle w:val="Heading2"/>
      </w:pPr>
      <w:r>
        <w:t>Kardiovaskuläre Gesundheit und Gehirngesundheit: Lebenserwartung ohne Schlaganfall und Demenz</w:t>
      </w:r>
    </w:p>
    <w:p>
      <w:r>
        <w:rPr>
          <w:i/>
          <w:color w:val="666666"/>
          <w:sz w:val="18"/>
        </w:rPr>
        <w:t>DU Y et al.  ·  Zhong Nan Da Xue Xue Bao Yi Xue Ban  ·  28.06.2026  ·  PMID 42702379</w:t>
      </w:r>
    </w:p>
    <w:p>
      <w:r>
        <w:t>Prospektive Kohortenstudie mit 122 953 Erwachsenen (37–73 Jahre) aus der UK Biobank untersuchte, wie ein Life's Essential 10-Framework (CVH-Bewertung mit 10 Komponenten) die Lebenserwartung ohne Schlaganfall und Demenz beeinflusst.</w:t>
      </w:r>
    </w:p>
    <w:p>
      <w:r>
        <w:rPr>
          <w:b/>
        </w:rPr>
        <w:t xml:space="preserve">Ergebnis: </w:t>
      </w:r>
      <w:r>
        <w:t>Bei hoher kardiovaskulärer Gesundheit (CVH) betrug die Lebenserwartung ohne Schlaganfall/Demenz im Alter 50 Jahren für Männer 31,8 Jahre (95%-KI 31,1–32,5) vs. 24,9 Jahre bei niedriger CVH; für Frauen 35,5 Jahre (95%-KI 34,7–36,2) vs. 28,4 Jahre. Hochrisiko-HRs: Männer HR=0,59 (95%-KI 0,52–0,67), Frauen HR=0,50 (95%-KI 0,42–0,59) für Schlaganfall/Demenz.</w:t>
      </w:r>
    </w:p>
    <w:p>
      <w:r>
        <w:rPr>
          <w:b/>
          <w:sz w:val="19"/>
        </w:rPr>
        <w:t xml:space="preserve">Übertragbarkeit: </w:t>
      </w:r>
      <w:r>
        <w:rPr>
          <w:sz w:val="19"/>
        </w:rPr>
        <w:t>UK Biobank, vergleichbare Sozialversicherungssysteme in Europa</w:t>
      </w:r>
    </w:p>
    <w:p>
      <w:r>
        <w:rPr>
          <w:color w:val="5A7D3A"/>
          <w:sz w:val="18"/>
        </w:rPr>
        <w:t>https://pubmed.ncbi.nlm.nih.gov/42702379/</w:t>
      </w:r>
    </w:p>
    <w:p>
      <w:pPr>
        <w:pStyle w:val="Heading2"/>
      </w:pPr>
      <w:r>
        <w:t>Wachstumshormonenantagenismus verlängert Lebensspanne bei Mäusen</w:t>
      </w:r>
    </w:p>
    <w:p>
      <w:r>
        <w:rPr>
          <w:i/>
          <w:color w:val="666666"/>
          <w:sz w:val="18"/>
        </w:rPr>
        <w:t>List EO et al.  ·  Aging Cell  ·  Sept. 2026  ·  PMID 42701998</w:t>
      </w:r>
    </w:p>
    <w:p>
      <w:r>
        <w:t>Studie an Transgenic-Mäusen untersuchte, ob Blockade der Wachstumshormonaktivität (mittels Pegvisomant-äquivalenter Substanz) die Lebensdauer und Gesundheit im Alter verbessert.</w:t>
      </w:r>
    </w:p>
    <w:p>
      <w:r>
        <w:rPr>
          <w:b/>
        </w:rPr>
        <w:t xml:space="preserve">Ergebnis: </w:t>
      </w:r>
      <w:r>
        <w:t>GH-Antagonismus-Mäuse zeigten signifikante Lebensverlängerung: Mediane Lebensspanne bei Männchen p=0,044, bei Weibchen p=2×10−8; maximale Lebensspanne um 186 Tage (Männchen) bzw. 265 Tage (Weibchen) verlängert. 2-jährige GHA-Mäuse zeigten geringere Frailty mit erhöhter Griffstärke trotz erhöhter Adiposität.</w:t>
      </w:r>
    </w:p>
    <w:p>
      <w:r>
        <w:rPr>
          <w:b/>
          <w:sz w:val="19"/>
        </w:rPr>
        <w:t xml:space="preserve">Übertragbarkeit: </w:t>
      </w:r>
      <w:r>
        <w:rPr>
          <w:sz w:val="19"/>
        </w:rPr>
        <w:t>Präklinisches Mausmodell; klinische Übertragbarkeit begrenzt, aber Pegvisomant FDA-zugelassen für Akromegalie beim Menschen</w:t>
      </w:r>
    </w:p>
    <w:p>
      <w:r>
        <w:rPr>
          <w:color w:val="5A7D3A"/>
          <w:sz w:val="18"/>
        </w:rPr>
        <w:t>https://pubmed.ncbi.nlm.nih.gov/42701998/</w:t>
      </w:r>
    </w:p>
    <w:p>
      <w:pPr>
        <w:pStyle w:val="Heading2"/>
      </w:pPr>
      <w:r>
        <w:t>Frailty als unabhängiger Mortalitätsprediktor bei Brustkrebsüberlebenden</w:t>
      </w:r>
    </w:p>
    <w:p>
      <w:r>
        <w:rPr>
          <w:i/>
          <w:color w:val="666666"/>
          <w:sz w:val="18"/>
        </w:rPr>
        <w:t>Wu C et al.  ·  Medicine (Baltimore)  ·  04.09.2026  ·  PMID 42700073</w:t>
      </w:r>
    </w:p>
    <w:p>
      <w:r>
        <w:t>Analyse von 625 128 Teilnehmern (9 941 Brustkrebsüberlebende) aus dem National Health Interview Survey 1997–2018 mit Mortalitätsfolgeup bis 2019 untersuchte Frailty als Mortalitätsprädikator.</w:t>
      </w:r>
    </w:p>
    <w:p>
      <w:r>
        <w:rPr>
          <w:b/>
        </w:rPr>
        <w:t xml:space="preserve">Ergebnis: </w:t>
      </w:r>
      <w:r>
        <w:t>Bei Brustkrebsüberlebenden zeigten Pre-Frailty (HR=1,44; 95%-KI 1,39–1,51) und Frailty (HR=1,70; 95%-KI 1,49–1,94) unabhängig erhöhte Mortalität. Unter 60-Jährigen: Frailty stark prädiktiv (HR=2,46; 95%-KI 1,52–4,00), Pre-Frailty nicht signifikant. Systematisches Frailty-Screening empfohlen.</w:t>
      </w:r>
    </w:p>
    <w:p>
      <w:r>
        <w:rPr>
          <w:b/>
          <w:sz w:val="19"/>
        </w:rPr>
        <w:t xml:space="preserve">Übertragbarkeit: </w:t>
      </w:r>
      <w:r>
        <w:rPr>
          <w:sz w:val="19"/>
        </w:rPr>
        <w:t>USA-Studie, nationale Versorgungsdaten; Frailty-Definition auf andere Systeme übertragbar</w:t>
      </w:r>
    </w:p>
    <w:p>
      <w:r>
        <w:rPr>
          <w:color w:val="5A7D3A"/>
          <w:sz w:val="18"/>
        </w:rPr>
        <w:t>https://pubmed.ncbi.nlm.nih.gov/42700073/</w:t>
      </w:r>
    </w:p>
    <w:p>
      <w:pPr>
        <w:pStyle w:val="Heading2"/>
      </w:pPr>
      <w:r>
        <w:t>Frailty-Verbesserung senkt Demenzrisiko bei älteren Erwachsenen</w:t>
      </w:r>
    </w:p>
    <w:p>
      <w:r>
        <w:rPr>
          <w:i/>
          <w:color w:val="666666"/>
          <w:sz w:val="18"/>
        </w:rPr>
        <w:t>Fang J et al.  ·  J Affect Disord  ·  01.12.2026  ·  PMID 42600788</w:t>
      </w:r>
    </w:p>
    <w:p>
      <w:r>
        <w:t>Longitudinale Kohortenanalyse von 59 331 Erwachsenen (≥50 Jahre) aus vier internationalen Studien (HRS, CHARLS, SHARE, ELSA) untersuchte, ob Frailty-Umkehr das Demenzrisiko reduziert und welche Rolle depressive Symptome spielen.</w:t>
      </w:r>
    </w:p>
    <w:p>
      <w:r>
        <w:rPr>
          <w:b/>
        </w:rPr>
        <w:t xml:space="preserve">Ergebnis: </w:t>
      </w:r>
      <w:r>
        <w:t>Über 7,51±2,09 Jahre entwickelten 9,49 % Demenz. Frailty-Verschlechterung erhöhte das Risiko (HR 1,43–2,53), während Frailty-Verbesserung in SHARE (HR=0,55) und CHARLS (HR=0,70) mit geringerem Risiko assoziiert war. Depressive Symptome mediieren 29,29–44,78 % der Assoziation zwischen Frailty und Demenz.</w:t>
      </w:r>
    </w:p>
    <w:p>
      <w:r>
        <w:rPr>
          <w:b/>
          <w:sz w:val="19"/>
        </w:rPr>
        <w:t xml:space="preserve">Übertragbarkeit: </w:t>
      </w:r>
      <w:r>
        <w:rPr>
          <w:sz w:val="19"/>
        </w:rPr>
        <w:t>Europäische Studien (SHARE, ELSA) einbezogen; vergleichbare Versorgungssysteme</w:t>
      </w:r>
    </w:p>
    <w:p>
      <w:r>
        <w:rPr>
          <w:color w:val="5A7D3A"/>
          <w:sz w:val="18"/>
        </w:rPr>
        <w:t>https://pubmed.ncbi.nlm.nih.gov/42600788/</w:t>
      </w:r>
    </w:p>
    <w:p>
      <w:pPr>
        <w:pStyle w:val="Heading2"/>
      </w:pPr>
      <w:r>
        <w:t>Maschinelles Lernen vorhersagt depressive Symptome bei älteren Erwachsenen in Großbritannien</w:t>
      </w:r>
    </w:p>
    <w:p>
      <w:r>
        <w:rPr>
          <w:i/>
          <w:color w:val="666666"/>
          <w:sz w:val="18"/>
        </w:rPr>
        <w:t>Khorram B et al.  ·  JMIR Form Res  ·  02.07.2026  ·  PMID 42390822</w:t>
      </w:r>
    </w:p>
    <w:p>
      <w:r>
        <w:t>Machine-Learning-Studie mit Daten aus vier Wellen der English Longitudinal Study of Ageing (ELSA) zur Vorhersage klinisch bedeutsamer depressiver Symptome (CES-D 8≥4) im 2-Jahres-Follow-up bei über 50-Jährigen.</w:t>
      </w:r>
    </w:p>
    <w:p>
      <w:r>
        <w:rPr>
          <w:b/>
        </w:rPr>
        <w:t xml:space="preserve">Ergebnis: </w:t>
      </w:r>
      <w:r>
        <w:t>Beste Modelle erreichten mittlere AUROC von 0,72–0,73 (Peak 0,75). Ordinale Codierung übertraf One-Hot-Codierung. Konsistente Prädiktoren: Einsamkeit, Schlafstörungen, geringe soziale Bindung. Sensitivitätsanalysen über CES-D-Schwellwerte robust (AUROC 0,67–0,82).</w:t>
      </w:r>
    </w:p>
    <w:p>
      <w:r>
        <w:rPr>
          <w:b/>
          <w:sz w:val="19"/>
        </w:rPr>
        <w:t xml:space="preserve">Übertragbarkeit: </w:t>
      </w:r>
      <w:r>
        <w:rPr>
          <w:sz w:val="19"/>
        </w:rPr>
        <w:t>Britische Studie mit europäischem Sozialversicherungssystem; Prädiktoren für Screeningtools übertragbar</w:t>
      </w:r>
    </w:p>
    <w:p>
      <w:r>
        <w:rPr>
          <w:color w:val="5A7D3A"/>
          <w:sz w:val="18"/>
        </w:rPr>
        <w:t>https://pubmed.ncbi.nlm.nih.gov/42390822/</w:t>
      </w:r>
    </w:p>
    <w:p>
      <w:pPr>
        <w:pStyle w:val="Heading2"/>
      </w:pPr>
      <w:r>
        <w:t>Biologische Alterungsbeschleunigung als Risikofaktor für Lebererkrankung im UK Biobank</w:t>
      </w:r>
    </w:p>
    <w:p>
      <w:r>
        <w:rPr>
          <w:i/>
          <w:color w:val="666666"/>
          <w:sz w:val="18"/>
        </w:rPr>
        <w:t>Yang X et al.  ·  Front Endocrinol (Lausanne)  ·  17.06.2026  ·  PMID 42388879</w:t>
      </w:r>
    </w:p>
    <w:p>
      <w:r>
        <w:t>Studie untersuchte die Assoziation zwischen beschleunigtem biologischem Alter und hospitalisierten Fällen von Stoffwechsel-assoziierter Steatose-Lebererkrankung (MASLD) an 247 444 Personen über 13,7 Jahre Nachbeobachtung.</w:t>
      </w:r>
    </w:p>
    <w:p>
      <w:r>
        <w:rPr>
          <w:b/>
        </w:rPr>
        <w:t xml:space="preserve">Ergebnis: </w:t>
      </w:r>
      <w:r>
        <w:t>Beschleunigtes biologisches Alter (PhenoAge-Beschleunigung) war mit erhöhtem MASLD-Risiko assoziiert (HR=1,46; 95%-KI 1,35–1,57). PhenoAge-Beschleunigung erklärte 11,4–25,5 % der Assoziation zwischen ungesundem Lebensstil (Rauchen, Alkohol, schlechte Ernährung, Bewegungsmangel) und MASLD, mit stärkstem Effekt beim Rauchen (25,5 %).</w:t>
      </w:r>
    </w:p>
    <w:p>
      <w:r>
        <w:rPr>
          <w:b/>
          <w:sz w:val="19"/>
        </w:rPr>
        <w:t xml:space="preserve">Übertragbarkeit: </w:t>
      </w:r>
      <w:r>
        <w:rPr>
          <w:sz w:val="19"/>
        </w:rPr>
        <w:t>UK Biobank, übertragbar für europäische Sozialversicherungssysteme</w:t>
      </w:r>
    </w:p>
    <w:p>
      <w:r>
        <w:rPr>
          <w:color w:val="5A7D3A"/>
          <w:sz w:val="18"/>
        </w:rPr>
        <w:t>https://pubmed.ncbi.nlm.nih.gov/42388879/</w:t>
      </w:r>
    </w:p>
    <w:p>
      <w:pPr>
        <w:pStyle w:val="Heading1"/>
      </w:pPr>
      <w:r>
        <w:t>Aufgenommen am 06.09.2026</w:t>
      </w:r>
    </w:p>
    <w:p>
      <w:pPr>
        <w:pStyle w:val="Heading2"/>
      </w:pPr>
      <w:r>
        <w:t>Orale Gesundheit und orale Gebrechlichkeit bei älteren hospitalisierten Patienten</w:t>
      </w:r>
    </w:p>
    <w:p>
      <w:r>
        <w:rPr>
          <w:i/>
          <w:color w:val="666666"/>
          <w:sz w:val="18"/>
        </w:rPr>
        <w:t>Ren Q et al.  ·  J Coll Physicians Surg Pak  ·  Sept. 2026  ·  PMID 42698252</w:t>
      </w:r>
    </w:p>
    <w:p>
      <w:r>
        <w:t>Querschnittsstudie mit 200 älteren Patienten: Beziehung zwischen Mundgesundheitsstatus (GOHAI, Wasserschluck-Test) und Oral Frailty Index-8 (OFI-8).</w:t>
      </w:r>
    </w:p>
    <w:p>
      <w:r>
        <w:rPr>
          <w:b/>
        </w:rPr>
        <w:t xml:space="preserve">Ergebnis: </w:t>
      </w:r>
      <w:r>
        <w:t>Signifikante Unterschiede in Alter, Mundgesundheitsindikatoren und Zahnfunktion zwischen Frailty- (n=55) und Non-Frailty-Gruppe (n=145). OFI-8 zeigt praktische Relevanz für Früherkennung oraler Gebrechlichkeit im klinischen Setting.</w:t>
      </w:r>
    </w:p>
    <w:p>
      <w:r>
        <w:rPr>
          <w:b/>
          <w:sz w:val="19"/>
        </w:rPr>
        <w:t xml:space="preserve">Übertragbarkeit: </w:t>
      </w:r>
      <w:r>
        <w:rPr>
          <w:sz w:val="19"/>
        </w:rPr>
        <w:t>China, geriatrische Versorgung; Screening-Wert für deutsches Gesundheitswesen nutzbar</w:t>
      </w:r>
    </w:p>
    <w:p>
      <w:r>
        <w:rPr>
          <w:color w:val="5A7D3A"/>
          <w:sz w:val="18"/>
        </w:rPr>
        <w:t>https://pubmed.ncbi.nlm.nih.gov/42698252/</w:t>
      </w:r>
    </w:p>
    <w:p>
      <w:pPr>
        <w:pStyle w:val="Heading2"/>
      </w:pPr>
      <w:r>
        <w:t>FRAIL- und SARC-CalF-Skalen vorhersagen HFpEF-Risiko bei älteren Patienten</w:t>
      </w:r>
    </w:p>
    <w:p>
      <w:r>
        <w:rPr>
          <w:i/>
          <w:color w:val="666666"/>
          <w:sz w:val="18"/>
        </w:rPr>
        <w:t>Yu Y et al.  ·  J Coll Physicians Surg Pak  ·  Sept. 2026  ·  PMID 42698238</w:t>
      </w:r>
    </w:p>
    <w:p>
      <w:r>
        <w:t>Querschnittsstudie mit 134 hospitalisierten Patienten ≥60 Jahren: Umfassendes geriatrisches Assessment (CGA) mit Evaluierung von Gebrechlichkeit, Sarkopenie und Ernährung; Vorhersage von Herzinsuffizienz mit erhaltener Ejektionsfraktion (HFpEF).</w:t>
      </w:r>
    </w:p>
    <w:p>
      <w:r>
        <w:rPr>
          <w:b/>
        </w:rPr>
        <w:t xml:space="preserve">Ergebnis: </w:t>
      </w:r>
      <w:r>
        <w:t>FRAIL-Score OR 3,68 (95%KI 1,83–8,39), SARC-CalF-Score OR 1,47 (95%KI 1,21–1,86) unabhängig mit HFpEF assoziiert; AUC FRAIL 0,88, AUC SARC-CalF 0,89; optimale Schwellen 1,5 Punkte (Vor-Frailty) bzw. 11 Punkte.</w:t>
      </w:r>
    </w:p>
    <w:p>
      <w:r>
        <w:rPr>
          <w:b/>
          <w:sz w:val="19"/>
        </w:rPr>
        <w:t xml:space="preserve">Übertragbarkeit: </w:t>
      </w:r>
      <w:r>
        <w:rPr>
          <w:sz w:val="19"/>
        </w:rPr>
        <w:t>China, aber FRAIL und SARC-CalF sind validiert international</w:t>
      </w:r>
    </w:p>
    <w:p>
      <w:r>
        <w:rPr>
          <w:color w:val="5A7D3A"/>
          <w:sz w:val="18"/>
        </w:rPr>
        <w:t>https://pubmed.ncbi.nlm.nih.gov/42698238/</w:t>
      </w:r>
    </w:p>
    <w:p>
      <w:pPr>
        <w:pStyle w:val="Heading2"/>
      </w:pPr>
      <w:r>
        <w:t>Depressive Symptome bei älteren Indonesiern: Prävalenz und Risikofaktoren</w:t>
      </w:r>
    </w:p>
    <w:p>
      <w:r>
        <w:rPr>
          <w:i/>
          <w:color w:val="666666"/>
          <w:sz w:val="18"/>
        </w:rPr>
        <w:t>Pengpid S et al.  ·  Psychogeriatrics  ·  Sept. 2026  ·  PMID 42698196</w:t>
      </w:r>
    </w:p>
    <w:p>
      <w:r>
        <w:t>Querschnittsanalyse von 3.808 Personen ≥45 Jahren aus indonesischer Longitudinal-Studie (ILAS 2023): Depressive Symptome (CES-D-10 ≥10) in Zusammenhang mit Hospitalisierung, Selbsteinschätzung der Gesundheit, Multisite-Schmerz, Übergewicht, Behinderung und religiöser Aktivität.</w:t>
      </w:r>
    </w:p>
    <w:p>
      <w:r>
        <w:rPr>
          <w:b/>
        </w:rPr>
        <w:t xml:space="preserve">Ergebnis: </w:t>
      </w:r>
      <w:r>
        <w:t>Depressive-Symptom-Prävalenz 9,3% (9,0% Männer, 9,6% Frauen). Hospitalisierung im vergangenen Jahr, schlechte Selbsteinschätzung, Multisite-Schmerz, Übergewicht und Behinderung positiv assoziiert; religiöse Aktivität protektiv (unadjustiert); bei Männern Rauchen zusätzlicher Risikofaktor.</w:t>
      </w:r>
    </w:p>
    <w:p>
      <w:r>
        <w:rPr>
          <w:b/>
          <w:sz w:val="19"/>
        </w:rPr>
        <w:t xml:space="preserve">Übertragbarkeit: </w:t>
      </w:r>
      <w:r>
        <w:rPr>
          <w:sz w:val="19"/>
        </w:rPr>
        <w:t>Indonesien; kulturelle/epidemiologische Unterschiede, aber psychosoziale Prädiktoren universal</w:t>
      </w:r>
    </w:p>
    <w:p>
      <w:r>
        <w:rPr>
          <w:color w:val="5A7D3A"/>
          <w:sz w:val="18"/>
        </w:rPr>
        <w:t>https://pubmed.ncbi.nlm.nih.gov/42698196/</w:t>
      </w:r>
    </w:p>
    <w:p>
      <w:pPr>
        <w:pStyle w:val="Heading2"/>
      </w:pPr>
      <w:r>
        <w:t>Geriatrisches Assessment mit Frailty Index optimiert Vorhersage von Sterblichkeit im Alter</w:t>
      </w:r>
    </w:p>
    <w:p>
      <w:r>
        <w:rPr>
          <w:i/>
          <w:color w:val="666666"/>
          <w:sz w:val="18"/>
        </w:rPr>
        <w:t>Quach J et al.  ·  Age Ageing  ·  04.09.2026  ·  PMID 42696642</w:t>
      </w:r>
    </w:p>
    <w:p>
      <w:r>
        <w:t>Analyse von 3.669 Patienten mit kardiovaskulärer Erkrankung: Bei einzelnen Deficit-Items war die Vorhersagekraft für Mortalität besser als bei zusammengefassten Frailty-Index-Scores; 10 Defizite reichten aus, um Vorhersagekraft zu optimieren.</w:t>
      </w:r>
    </w:p>
    <w:p>
      <w:r>
        <w:rPr>
          <w:b/>
        </w:rPr>
        <w:t xml:space="preserve">Ergebnis: </w:t>
      </w:r>
      <w:r>
        <w:t>Mit 46 Einzelitems C-Index 0,71 (95%KI 0,69–0,74) vs. composite FI 0,64–0,67; mit ~10 Items konvergierte Performance der Importance-ranked FI mit zufällig gewählten FI. Die Deficit-Interchangeability-Annahme des FI hält nur bei ausreichender Itemanzahl.</w:t>
      </w:r>
    </w:p>
    <w:p>
      <w:r>
        <w:rPr>
          <w:b/>
          <w:sz w:val="19"/>
        </w:rPr>
        <w:t xml:space="preserve">Übertragbarkeit: </w:t>
      </w:r>
      <w:r>
        <w:rPr>
          <w:sz w:val="19"/>
        </w:rPr>
        <w:t>USA-Daten, aber Frailty-Index-Methodik international anerkannt</w:t>
      </w:r>
    </w:p>
    <w:p>
      <w:r>
        <w:rPr>
          <w:color w:val="5A7D3A"/>
          <w:sz w:val="18"/>
        </w:rPr>
        <w:t>https://pubmed.ncbi.nlm.nih.gov/42696642/</w:t>
      </w:r>
    </w:p>
    <w:p>
      <w:pPr>
        <w:pStyle w:val="Heading2"/>
      </w:pPr>
      <w:r>
        <w:t>Benachteiligte Kindheit verschlechtert kognitive Funktion im Alter unabhängig von Erwachsenen-Erkrankungen</w:t>
      </w:r>
    </w:p>
    <w:p>
      <w:r>
        <w:rPr>
          <w:i/>
          <w:color w:val="666666"/>
          <w:sz w:val="18"/>
        </w:rPr>
        <w:t>Ripamonti E et al.  ·  J Clin Exp Neuropsychol  ·  06.07.2026  ·  PMID 42403102</w:t>
      </w:r>
    </w:p>
    <w:p>
      <w:r>
        <w:t>Longitudinale Studie: 508 schwedische Ältere verfolgt über mehrere Jahre; Analyse der Assoziation zwischen Kindheitsbenachteiligung und kognitiver Funktion (MMSE) bzw. Behinderung (ADL/iADL) im Alter mit Mediationsanalyse durch Krankheitszahl und chronische Schmerzen.</w:t>
      </w:r>
    </w:p>
    <w:p>
      <w:r>
        <w:rPr>
          <w:b/>
        </w:rPr>
        <w:t xml:space="preserve">Ergebnis: </w:t>
      </w:r>
      <w:r>
        <w:t>Benachteiligte Kindheit mit niedrigeren MMSE-Werten bei Baseline assoziiert (β=-0,14 [95%KI -0,27,-0,02]), aber nicht mit zeitlichem Verlauf (β=-0,01 [95%KI -0,03,0,01]); Mediationsanalyse: Krankheitszahl/Schmerz erklären nur minimalen Teil; keine Assoziation mit ADL/iADL. Unterstützt Sensitive-Period-Hypothese.</w:t>
      </w:r>
    </w:p>
    <w:p>
      <w:r>
        <w:rPr>
          <w:b/>
          <w:sz w:val="19"/>
        </w:rPr>
        <w:t xml:space="preserve">Übertragbarkeit: </w:t>
      </w:r>
      <w:r>
        <w:rPr>
          <w:sz w:val="19"/>
        </w:rPr>
        <w:t>Schweden (skandinavisches Sozialversicherungssystem), hochgradig übertragbar auf Deutschland</w:t>
      </w:r>
    </w:p>
    <w:p>
      <w:r>
        <w:rPr>
          <w:color w:val="5A7D3A"/>
          <w:sz w:val="18"/>
        </w:rPr>
        <w:t>https://pubmed.ncbi.nlm.nih.gov/42403102/</w:t>
      </w:r>
    </w:p>
    <w:p>
      <w:pPr>
        <w:pStyle w:val="Heading2"/>
      </w:pPr>
      <w:r>
        <w:t>Muskelleistung aus Sit-to-Stand-Test identifiziert Frailty bei älteren Community-Bewohnern</w:t>
      </w:r>
    </w:p>
    <w:p>
      <w:r>
        <w:rPr>
          <w:i/>
          <w:color w:val="666666"/>
          <w:sz w:val="18"/>
        </w:rPr>
        <w:t>Condon C et al.  ·  PLoS One  ·  02.07.2026  ·  PMID 42391194</w:t>
      </w:r>
    </w:p>
    <w:p>
      <w:r>
        <w:t>Querschnittsstudie mit 2.959 irischen Teilnehmern ≥50 Jahren: Geschätzte Muskelleistung aus 5×STS-Test verglichen mit Frailty-Index und etablierten Tests.</w:t>
      </w:r>
    </w:p>
    <w:p>
      <w:r>
        <w:rPr>
          <w:b/>
        </w:rPr>
        <w:t xml:space="preserve">Ergebnis: </w:t>
      </w:r>
      <w:r>
        <w:t>Schwellenwert &lt;2,5 Watt·kg⁻¹ Männer, &lt;2,08 Watt·kg⁻¹ Frauen mit erhöhtem Frailty-Risiko assoziiert; Sensitivität und Spezifität vergleichbar mit Timed Up and Go; praktisches Screening-Tool mit moderater Vorhersagekraft.</w:t>
      </w:r>
    </w:p>
    <w:p>
      <w:r>
        <w:rPr>
          <w:b/>
          <w:sz w:val="19"/>
        </w:rPr>
        <w:t xml:space="preserve">Übertragbarkeit: </w:t>
      </w:r>
      <w:r>
        <w:rPr>
          <w:sz w:val="19"/>
        </w:rPr>
        <w:t>Irland (vergleichbares Sozialversicherungssystem), einfach durchführbar in Praxen</w:t>
      </w:r>
    </w:p>
    <w:p>
      <w:r>
        <w:rPr>
          <w:color w:val="5A7D3A"/>
          <w:sz w:val="18"/>
        </w:rPr>
        <w:t>https://pubmed.ncbi.nlm.nih.gov/42391194/</w:t>
      </w:r>
    </w:p>
    <w:p>
      <w:pPr>
        <w:pStyle w:val="Heading1"/>
      </w:pPr>
      <w:r>
        <w:t>Aufgenommen am 05.09.2026</w:t>
      </w:r>
    </w:p>
    <w:p>
      <w:pPr>
        <w:pStyle w:val="Heading2"/>
      </w:pPr>
      <w:r>
        <w:t>Reaktive Balanceschulung senkt Sturzrisikofaktoren, nicht aber Stürze im Alltag</w:t>
      </w:r>
    </w:p>
    <w:p>
      <w:r>
        <w:rPr>
          <w:i/>
          <w:color w:val="666666"/>
          <w:sz w:val="18"/>
        </w:rPr>
        <w:t>Sharma S et al.  ·  Age Ageing  ·  04.09.2026  ·  PMID 42696641</w:t>
      </w:r>
    </w:p>
    <w:p>
      <w:r>
        <w:t>Randomisierte kontrollierte Studie mit 88 älteren Menschen: 43 erhielten wöchentliches ReacStep-Training (Reaktives Stepping, bewusste Ausrutscher) über 6 Wochen plus Heimkrafttraining, 45 nur Heimkrafttraining über 8 Wochen; Erhebung von reaktiver Balance, körperlichen Funktionen und Stürzen im Alltag über 12 Monate.</w:t>
      </w:r>
    </w:p>
    <w:p>
      <w:r>
        <w:rPr>
          <w:b/>
        </w:rPr>
        <w:t xml:space="preserve">Ergebnis: </w:t>
      </w:r>
      <w:r>
        <w:t>Adhärenz zum ReacStep-Programm 90 %, Interventionsgruppe zeigte signifikante Verbesserungen in maximaler Schrittlänge und Reaktionszeit beim Stepping (p&lt;0,05), aber keine Unterschiede in laborgestützten Sturzversuchen oder Häuslichkeitsstürzen über 12 Monate (p=0,19).</w:t>
      </w:r>
    </w:p>
    <w:p>
      <w:r>
        <w:rPr>
          <w:b/>
          <w:sz w:val="19"/>
        </w:rPr>
        <w:t xml:space="preserve">Übertragbarkeit: </w:t>
      </w:r>
      <w:r>
        <w:rPr>
          <w:sz w:val="19"/>
        </w:rPr>
        <w:t>Australien, vergleichbares Gesundheitssystem, aber begrenzte Übertragung zur Sturzprävention</w:t>
      </w:r>
    </w:p>
    <w:p>
      <w:r>
        <w:rPr>
          <w:color w:val="5A7D3A"/>
          <w:sz w:val="18"/>
        </w:rPr>
        <w:t>https://pubmed.ncbi.nlm.nih.gov/42696641/</w:t>
      </w:r>
    </w:p>
    <w:p>
      <w:pPr>
        <w:pStyle w:val="Heading2"/>
      </w:pPr>
      <w:r>
        <w:t>Urat-senkende Therapie und Frailty-Risiko bei Nierenpatienten</w:t>
      </w:r>
    </w:p>
    <w:p>
      <w:r>
        <w:rPr>
          <w:i/>
          <w:color w:val="666666"/>
          <w:sz w:val="18"/>
        </w:rPr>
        <w:t>Lee SY et al.  ·  Int J Med Sci  ·  04.08.2026  ·  PMID 42694867</w:t>
      </w:r>
    </w:p>
    <w:p>
      <w:r>
        <w:t>Retrospektive Kohortenstudie mit 19.389 Nephrologiepatienten: Untersuchung der Assoziation zwischen Febuxostat, Allopurinol und keiner Therapie mit neuaufgetretener und verschlimmerter Frailty über medianen Nachbeobachtungszeitraum von 3 Jahren.</w:t>
      </w:r>
    </w:p>
    <w:p>
      <w:r>
        <w:rPr>
          <w:b/>
        </w:rPr>
        <w:t xml:space="preserve">Ergebnis: </w:t>
      </w:r>
      <w:r>
        <w:t>892 (4,6 %) entwickelten neuaufgetretene Frailty, 5.253 (27,1 %) zeigten Verschlimmerung. Febuxostat war mit höherem Frailty-Risiko verbunden (HR 1,22; 95%-KI 1,01–1,48), Allopurinol mit geringerem Risiko (HR 0,65; 95%-KI 0,46–0,93); beide gemeinsam ohne signifikante Assoziation. Keine Effekte auf Frailty-Verschlimmerung.</w:t>
      </w:r>
    </w:p>
    <w:p>
      <w:r>
        <w:rPr>
          <w:b/>
          <w:sz w:val="19"/>
        </w:rPr>
        <w:t xml:space="preserve">Übertragbarkeit: </w:t>
      </w:r>
      <w:r>
        <w:rPr>
          <w:sz w:val="19"/>
        </w:rPr>
        <w:t>Taiwan, Nephrologiedaten vergleichbar, aber begrenzte Generalisierbarkeit</w:t>
      </w:r>
    </w:p>
    <w:p>
      <w:r>
        <w:rPr>
          <w:color w:val="5A7D3A"/>
          <w:sz w:val="18"/>
        </w:rPr>
        <w:t>https://pubmed.ncbi.nlm.nih.gov/42694867/</w:t>
      </w:r>
    </w:p>
    <w:p>
      <w:pPr>
        <w:pStyle w:val="Heading2"/>
      </w:pPr>
      <w:r>
        <w:t>Funkionsstatus und Pflegebedarf bei Eintritt in öffentlich finanzierte Altenhilfe</w:t>
      </w:r>
    </w:p>
    <w:p>
      <w:r>
        <w:rPr>
          <w:i/>
          <w:color w:val="666666"/>
          <w:sz w:val="18"/>
        </w:rPr>
        <w:t>Siljehag PA et al.  ·  BMC Health Serv Res  ·  02.09.2026  ·  PMID 42693458</w:t>
      </w:r>
    </w:p>
    <w:p>
      <w:r>
        <w:t>Schwedische Registeranalyse von 3.649 älteren Menschen (durchschnittlich 80 Jahre), die erstmals Altenhilfe in Anspruch nahmen, mit Erhebung von Komorbiditäten, funktionalen Einschränkungen und Vorbehandlung im Gesundheitswesen.</w:t>
      </w:r>
    </w:p>
    <w:p>
      <w:r>
        <w:rPr>
          <w:b/>
        </w:rPr>
        <w:t xml:space="preserve">Ergebnis: </w:t>
      </w:r>
      <w:r>
        <w:t>92 % hatten Multimorbidität, 25 % umfangreiche funktionale Einschränkungen, 95 % erhielten Pflege zu Hause, bei 50 % folgte die Altenhilfe unmittelbar nach stationärer Behandlung. Primärversorgung war bei 80 % der dominante ambulante Kontakt vor Heimaufnahme.</w:t>
      </w:r>
    </w:p>
    <w:p>
      <w:r>
        <w:rPr>
          <w:b/>
          <w:sz w:val="19"/>
        </w:rPr>
        <w:t xml:space="preserve">Übertragbarkeit: </w:t>
      </w:r>
      <w:r>
        <w:rPr>
          <w:sz w:val="19"/>
        </w:rPr>
        <w:t>Schweden, vergleichbare Sozialversicherung und Pflegefinanzierung</w:t>
      </w:r>
    </w:p>
    <w:p>
      <w:r>
        <w:rPr>
          <w:color w:val="5A7D3A"/>
          <w:sz w:val="18"/>
        </w:rPr>
        <w:t>https://pubmed.ncbi.nlm.nih.gov/42693458/</w:t>
      </w:r>
    </w:p>
    <w:p>
      <w:pPr>
        <w:pStyle w:val="Heading2"/>
      </w:pPr>
      <w:r>
        <w:t>Triglyzerid-Glukose-Frailty-Index zeigt stärkere Mortalitätsvorhersage als Insulinresistanzmarker</w:t>
      </w:r>
    </w:p>
    <w:p>
      <w:r>
        <w:rPr>
          <w:i/>
          <w:color w:val="666666"/>
          <w:sz w:val="18"/>
        </w:rPr>
        <w:t>Liu K et al.  ·  Cardiovasc Diabetol  ·  03.09.2026  ·  PMID 42693435</w:t>
      </w:r>
    </w:p>
    <w:p>
      <w:r>
        <w:t>Sekundäranalyse von 11.228 US-amerikanischen Erwachsenen (20–79 Jahre) aus NHANES 2001–2018: Vergleich des TyG-Frailty-Indexes (TyG-Index × Frailty-Index) mit konventionellen Insulinresistanzmarkern für kardiovaskuläre und Stoffwechselsyndrome sowie Mortalität über medianen Nachbeobachtungszeitraum von 90 Monaten.</w:t>
      </w:r>
    </w:p>
    <w:p>
      <w:r>
        <w:rPr>
          <w:b/>
        </w:rPr>
        <w:t xml:space="preserve">Ergebnis: </w:t>
      </w:r>
      <w:r>
        <w:t>TyG-FI-Quartil 4 vs. 1: fortgeschrittenes kardiovaskuläres-Nierenstoffwechsel-Syndrom OR=4,57 (95%-KI 3,50–5,99), kardiometabolische Multimorbidität OR=5,09 (95%-KI 2,83–9,16), Gesamtmortalität HR=3,90 (95%-KI 2,96–5,13), kardiovaskulär HR=5,82 (95%-KI 3,38–10,03). TyG-FI diskriminierte stärker als Vergleichsindizes, tiefere eGFR erklärte 16–27 % der Mortalitätsassoziation.</w:t>
      </w:r>
    </w:p>
    <w:p>
      <w:r>
        <w:rPr>
          <w:b/>
          <w:sz w:val="19"/>
        </w:rPr>
        <w:t xml:space="preserve">Übertragbarkeit: </w:t>
      </w:r>
      <w:r>
        <w:rPr>
          <w:sz w:val="19"/>
        </w:rPr>
        <w:t>USA-NHANES-Daten, begrenzte Übertragbarkeit auf deutsches System, aber Validierungsfrage ist altersunabhängig</w:t>
      </w:r>
    </w:p>
    <w:p>
      <w:r>
        <w:rPr>
          <w:color w:val="5A7D3A"/>
          <w:sz w:val="18"/>
        </w:rPr>
        <w:t>https://pubmed.ncbi.nlm.nih.gov/42693435/</w:t>
      </w:r>
    </w:p>
    <w:p>
      <w:pPr>
        <w:pStyle w:val="Heading2"/>
      </w:pPr>
      <w:r>
        <w:t>Muskelarchitektur und Kraft: Altern beeinträchtigt Faszickelkinetik trotz lebenslangem Training</w:t>
      </w:r>
    </w:p>
    <w:p>
      <w:r>
        <w:rPr>
          <w:i/>
          <w:color w:val="666666"/>
          <w:sz w:val="18"/>
        </w:rPr>
        <w:t>Michely S et al.  ·  J Appl Physiol (1985)  ·  01.09.2026  ·  PMID 42518311</w:t>
      </w:r>
    </w:p>
    <w:p>
      <w:r>
        <w:t>Querschnittsstudie mit 172 Leistungssportlern im Alter 35–90 Jahren (68 % männlich): Ultraschallmessung der Wadenmuskulatur bei willkürlicher Maximalkontraktion; Analyse von Faszickellänge, Pennationswinkel, -rotation und -verlängerung.</w:t>
      </w:r>
    </w:p>
    <w:p>
      <w:r>
        <w:rPr>
          <w:b/>
        </w:rPr>
        <w:t xml:space="preserve">Ergebnis: </w:t>
      </w:r>
      <w:r>
        <w:t>Oberflächliche Faszickelrotation (Pennationswinkelveränderung) sank um 6,6±51,3 % pro Jahrzehnt (p=0,003), tiefe Rotation blieb stabil (p=0,27). Ruhefaszickellänge sank um 1,8±13,7 % pro Jahrzehnt (p=0,002). Achillessehnen-kraft fiel um 4,3±16,3 % pro Jahrzehnt (p&lt;0,001), unabhängig vom Geschlecht. Eliteathleten (&gt;85 % age grade) erhielten größere oberflächliche Rotation.</w:t>
      </w:r>
    </w:p>
    <w:p>
      <w:r>
        <w:rPr>
          <w:b/>
          <w:sz w:val="19"/>
        </w:rPr>
        <w:t xml:space="preserve">Übertragbarkeit: </w:t>
      </w:r>
      <w:r>
        <w:rPr>
          <w:sz w:val="19"/>
        </w:rPr>
        <w:t>Deutschland, Deutsche Luft- und Raumfahrtforschung, vergleichbare Trainingsmethoden</w:t>
      </w:r>
    </w:p>
    <w:p>
      <w:r>
        <w:rPr>
          <w:color w:val="5A7D3A"/>
          <w:sz w:val="18"/>
        </w:rPr>
        <w:t>https://pubmed.ncbi.nlm.nih.gov/42518311/</w:t>
      </w:r>
    </w:p>
    <w:p>
      <w:pPr>
        <w:pStyle w:val="Heading2"/>
      </w:pPr>
      <w:r>
        <w:t>Soziale Frailty und Bildungsungleichheit: Sechs Ländervergleich mit 83.869 älteren Erwachsenen</w:t>
      </w:r>
    </w:p>
    <w:p>
      <w:r>
        <w:rPr>
          <w:i/>
          <w:color w:val="666666"/>
          <w:sz w:val="18"/>
        </w:rPr>
        <w:t>Xiang X et al.  ·  J Am Med Dir Assoc  ·  14.07.2026  ·  PMID 42447552</w:t>
      </w:r>
    </w:p>
    <w:p>
      <w:r>
        <w:t>Querschnittsanalyse aus sechs Längsschnittstudien in USA, England, Europa, Südkorea, Mexico und China mit 83.869 Personen ≥50 Jahren: Alter- und geschlechtsstandardisierte Prävalenz von sozialer Prefrailty und Frailty sowie Assoziation mit Bildungsabschlüssen.</w:t>
      </w:r>
    </w:p>
    <w:p>
      <w:r>
        <w:rPr>
          <w:b/>
        </w:rPr>
        <w:t xml:space="preserve">Ergebnis: </w:t>
      </w:r>
      <w:r>
        <w:t>Soziale Prefrailty 54,0–74,1 %, soziale Frailty 5,9–14,4 % je nach Land. Klare Bildungsstratifikation: mittlere vs. niedrige Bildung OR=0,72 (95%-KI 0,60–0,86) für Prefrailty und OR=0,54 (95%-KI 0,44–0,67) für Frailty; hohe Bildung OR=0,53 (95%-KI 0,36–0,78) bzw. OR=0,29 (95%-KI 0,17–0,51).</w:t>
      </w:r>
    </w:p>
    <w:p>
      <w:r>
        <w:rPr>
          <w:b/>
          <w:sz w:val="19"/>
        </w:rPr>
        <w:t xml:space="preserve">Übertragbarkeit: </w:t>
      </w:r>
      <w:r>
        <w:rPr>
          <w:sz w:val="19"/>
        </w:rPr>
        <w:t>Mehrländer-Poolanalyse, europäische Länder dabei, aber heterogene Systeme</w:t>
      </w:r>
    </w:p>
    <w:p>
      <w:r>
        <w:rPr>
          <w:color w:val="5A7D3A"/>
          <w:sz w:val="18"/>
        </w:rPr>
        <w:t>https://pubmed.ncbi.nlm.nih.gov/42447552/</w:t>
      </w:r>
    </w:p>
    <w:p>
      <w:pPr>
        <w:pStyle w:val="Heading1"/>
      </w:pPr>
      <w:r>
        <w:t>Aufgenommen am 04.09.2026</w:t>
      </w:r>
    </w:p>
    <w:p>
      <w:pPr>
        <w:pStyle w:val="Heading2"/>
      </w:pPr>
      <w:r>
        <w:t>Feinstaubexposition (PM2,5) erhöht Frailty-Risiko im Alter signifikant</w:t>
      </w:r>
    </w:p>
    <w:p>
      <w:r>
        <w:rPr>
          <w:i/>
          <w:color w:val="666666"/>
          <w:sz w:val="18"/>
        </w:rPr>
        <w:t>Chen K et al.  ·  Sichuan Da Xue Xue Bao Yi Xue Ban  ·  20.07.2026  ·  PMID 42688627</w:t>
      </w:r>
    </w:p>
    <w:p>
      <w:r>
        <w:t>Prospektive Kohortenstudie: 9603 Teilnehmende aus China Health and Retirement Longitudinal Study 2011–2020, Langzeit-PM2,5-Exposition und chemische Komponenten, Outcome Frailty nach Frailty-Index.</w:t>
      </w:r>
    </w:p>
    <w:p>
      <w:r>
        <w:rPr>
          <w:b/>
        </w:rPr>
        <w:t xml:space="preserve">Ergebnis: </w:t>
      </w:r>
      <w:r>
        <w:t>Jede Viertelbereichs-Zunahme der durchschnittlichen PM2,5-Konzentration des Vorjahres war mit 10,0% erhöhtem Frailty-Risiko assoziiert (HR 1,100, 95% KI 1,015–1,193). Organische Substanzen: HR 1,142 (14,2%); schwarzer Kohlenstoff: HR 1,131 (13,1%); Ammonium: HR 1,098 (9,8%). Luftschadstoffe, besonders Ruß und organische Aerosole, sind Risikofaktoren für Gebrechlichkeit bei älteren Menschen.</w:t>
      </w:r>
    </w:p>
    <w:p>
      <w:r>
        <w:rPr>
          <w:b/>
          <w:sz w:val="19"/>
        </w:rPr>
        <w:t xml:space="preserve">Übertragbarkeit: </w:t>
      </w:r>
      <w:r>
        <w:rPr>
          <w:sz w:val="19"/>
        </w:rPr>
        <w:t>China, aber Feinstaubbelastung und Expositionsmessung auch in Deutschland relevant</w:t>
      </w:r>
    </w:p>
    <w:p>
      <w:r>
        <w:rPr>
          <w:color w:val="5A7D3A"/>
          <w:sz w:val="18"/>
        </w:rPr>
        <w:t>https://pubmed.ncbi.nlm.nih.gov/42688627/</w:t>
      </w:r>
    </w:p>
    <w:p>
      <w:pPr>
        <w:pStyle w:val="Heading2"/>
      </w:pPr>
      <w:r>
        <w:t>Multikomponenten-Training und HMB-Supplementierung verbessern Gebrechlichkeit</w:t>
      </w:r>
    </w:p>
    <w:p>
      <w:r>
        <w:rPr>
          <w:i/>
          <w:color w:val="666666"/>
          <w:sz w:val="18"/>
        </w:rPr>
        <w:t>Jiang Y et al.  ·  Sichuan Da Xue Xue Bao Yi Xue Ban  ·  20.07.2026  ·  PMID 42688609</w:t>
      </w:r>
    </w:p>
    <w:p>
      <w:r>
        <w:t>Randomisierte Studie: 136 ältere Patienten mit Frailty erhielten 12 Wochen lang Übungstraining plus 3 g/d HMB oder Placebo; gemessen wurden physische Funktion (SPPB), Gangfähigkeit, Griffstärke, Muskelquerschnitt und Serumalbumin.</w:t>
      </w:r>
    </w:p>
    <w:p>
      <w:r>
        <w:rPr>
          <w:b/>
        </w:rPr>
        <w:t xml:space="preserve">Ergebnis: </w:t>
      </w:r>
      <w:r>
        <w:t>SPPB-Gesamtscore besserte sich in der HMB-Gruppe über 12 Wochen signifikant mehr als in der Kontrolle (Interaktionseffekt p&lt;0,001). HMB-Gruppe zeigte nach 4 Wochen bessere Bilanz (p&lt;0,05) und nach 12 Wochen auch bessere Gangscores und ASMI (p&lt;0,05). Serumalbumin war in der Interventionsgruppe erhöht (p&lt;0,05). HMB 3 g/d plus multikomponentales Training verbessert körperliche Funktion und Muskulatur bei älteren Patienten mit Gebrechlichkeit.</w:t>
      </w:r>
    </w:p>
    <w:p>
      <w:r>
        <w:rPr>
          <w:b/>
          <w:sz w:val="19"/>
        </w:rPr>
        <w:t xml:space="preserve">Übertragbarkeit: </w:t>
      </w:r>
      <w:r>
        <w:rPr>
          <w:sz w:val="19"/>
        </w:rPr>
        <w:t>China, Rehabilitation nach westlichem Standard, Frailty-Diagnostik vergleichbar</w:t>
      </w:r>
    </w:p>
    <w:p>
      <w:r>
        <w:rPr>
          <w:color w:val="5A7D3A"/>
          <w:sz w:val="18"/>
        </w:rPr>
        <w:t>https://pubmed.ncbi.nlm.nih.gov/42688609/</w:t>
      </w:r>
    </w:p>
    <w:p>
      <w:pPr>
        <w:pStyle w:val="Heading2"/>
      </w:pPr>
      <w:r>
        <w:t>Benzodiazepine-Induced Resistance: Drug Use Blunts Frailty-Intervention Effect</w:t>
      </w:r>
    </w:p>
    <w:p>
      <w:r>
        <w:rPr>
          <w:i/>
          <w:color w:val="666666"/>
          <w:sz w:val="18"/>
        </w:rPr>
        <w:t>Levati E et al.  ·  Age Ageing  ·  03.08.2026  ·  PMID 42685256</w:t>
      </w:r>
    </w:p>
    <w:p>
      <w:r>
        <w:t>Sekundäranalyse eines Trials zu multikomponentigen Lebensstiländerungen bei Frailty: 1506 ältere Patienten, 14% mit Benzodiazepin-Nutzung, Verfolgung der Mobilitätsbehindertung über Median 3,3 Jahre.</w:t>
      </w:r>
    </w:p>
    <w:p>
      <w:r>
        <w:rPr>
          <w:b/>
        </w:rPr>
        <w:t xml:space="preserve">Ergebnis: </w:t>
      </w:r>
      <w:r>
        <w:t>Bei Frailty-Patienten mit Benzodiazepin-Nutzung war die Effektivität der kombinierten Intervention (körperliche Übungen plus Ernährungsberatung) erheblich reduziert oder aufgehoben. Im Subgroup mit SPPB-Score 3–7 zeigte sich der präventive Effekt (HR 0,80) nur bei Nicht-Nutzern; Nutzer zeigten keinen Schutz (HR 1,06; p=0,035 für Interaktion). Benzodiazepine signifikant mindern die Wirksamkeit von Lebensstiländerungen bei älteren fragilen Menschen.</w:t>
      </w:r>
    </w:p>
    <w:p>
      <w:r>
        <w:rPr>
          <w:b/>
          <w:sz w:val="19"/>
        </w:rPr>
        <w:t xml:space="preserve">Übertragbarkeit: </w:t>
      </w:r>
      <w:r>
        <w:rPr>
          <w:sz w:val="19"/>
        </w:rPr>
        <w:t>Italien und Deutschland, vergleichbare klinische Versorgung und Frailty-Konzepte</w:t>
      </w:r>
    </w:p>
    <w:p>
      <w:r>
        <w:rPr>
          <w:color w:val="5A7D3A"/>
          <w:sz w:val="18"/>
        </w:rPr>
        <w:t>https://pubmed.ncbi.nlm.nih.gov/42685256/</w:t>
      </w:r>
    </w:p>
    <w:p>
      <w:pPr>
        <w:pStyle w:val="Heading2"/>
      </w:pPr>
      <w:r>
        <w:t>Gebrechlichkeit und Alter erhöhen postoperative Komplikationen nach Meningiom-Resektion</w:t>
      </w:r>
    </w:p>
    <w:p>
      <w:r>
        <w:rPr>
          <w:i/>
          <w:color w:val="666666"/>
          <w:sz w:val="18"/>
        </w:rPr>
        <w:t>Eibl T et al.  ·  J Clin Neurosci  ·  06.07.2026  ·  PMID 42407322</w:t>
      </w:r>
    </w:p>
    <w:p>
      <w:r>
        <w:t>Retrospektive Studie: 120 Patienten mit nicht-schädelbasis-Meningiomen (Alter Median 61 Jahre), Frailty (mFI-5, mFI-11), Charlson-Komorbidität, Outcome Heimententlassung, Aufenthaltssdauer, ICU-Tage, Komplikationen.</w:t>
      </w:r>
    </w:p>
    <w:p>
      <w:r>
        <w:rPr>
          <w:b/>
        </w:rPr>
        <w:t xml:space="preserve">Ergebnis: </w:t>
      </w:r>
      <w:r>
        <w:t>82,5% wurden nach Hause entlassen. Risikofaktoren für Nicht-Heimententlassung: höheres Alter (p&lt;0,001), größere Tumorvolumina (p=0,012), höhere Ödemvolumina (p=0,002), höhere Charlson-Score (p&lt;0,001), höhere mFI-5 und mFI-11 (beide p&lt;0,001). Postoperative Aufenthaltssdauer korrelierte mit mFI (rs=0,34 für beide, p&lt;0,001). Gebrechlichkeit und chronologisches Alter beeinflussen operatives Ergebnis erheblich und verlängern postoperativen Aufenthalt.</w:t>
      </w:r>
    </w:p>
    <w:p>
      <w:r>
        <w:rPr>
          <w:b/>
          <w:sz w:val="19"/>
        </w:rPr>
        <w:t xml:space="preserve">Übertragbarkeit: </w:t>
      </w:r>
      <w:r>
        <w:rPr>
          <w:sz w:val="19"/>
        </w:rPr>
        <w:t>Deutschland, vergleichbare Neurochirurgische Versorgung und Frailty-Konzepte</w:t>
      </w:r>
    </w:p>
    <w:p>
      <w:r>
        <w:rPr>
          <w:color w:val="5A7D3A"/>
          <w:sz w:val="18"/>
        </w:rPr>
        <w:t>https://pubmed.ncbi.nlm.nih.gov/42407322/</w:t>
      </w:r>
    </w:p>
    <w:p>
      <w:pPr>
        <w:pStyle w:val="Heading2"/>
      </w:pPr>
      <w:r>
        <w:t>TyG-Index mit BMI/WHtR vorhersagt Herz-Kreislauf-Erkrankung bei älteren Menschen</w:t>
      </w:r>
    </w:p>
    <w:p>
      <w:r>
        <w:rPr>
          <w:i/>
          <w:color w:val="666666"/>
          <w:sz w:val="18"/>
        </w:rPr>
        <w:t>Liu Z et al.  ·  Cardiovasc Diabetol  ·  05.07.2026  ·  PMID 42402573</w:t>
      </w:r>
    </w:p>
    <w:p>
      <w:r>
        <w:t>Prospektive Kohortenstudie: 1808 CVD-freie Personen ≥50 Jahre aus English Longitudinal Study of Ageing, Gruppierungstrajectorie von TyG mit BMI bzw. WHtR über ~8 Jahre, Outcome Herzinfarkt, Schlaganfall, Herzkrankheit.</w:t>
      </w:r>
    </w:p>
    <w:p>
      <w:r>
        <w:rPr>
          <w:b/>
        </w:rPr>
        <w:t xml:space="preserve">Ergebnis: </w:t>
      </w:r>
      <w:r>
        <w:t>Vier Trajektorie-Gruppen identifiziert. Im BMI+TyG-Modell (vs. Normalgewicht-niedriger TyG): Übergewicht-moderater TyG (HR 2,31, 95% KI 1,40–3,83), adipös-hoher TyG (HR 2,72, 1,63–4,52), stark adipös-hoher TyG (HR 5,06, 3,01–8,51). WHtR+TyG ähnliche Dosisantwort. Für Schlaganfall signifikant nur in höchstem Risiko. Robuste Dosis-Antwort-Gradienten unterstützen Monitoring dieser Indizes bei älteren Personen.</w:t>
      </w:r>
    </w:p>
    <w:p>
      <w:r>
        <w:rPr>
          <w:b/>
          <w:sz w:val="19"/>
        </w:rPr>
        <w:t xml:space="preserve">Übertragbarkeit: </w:t>
      </w:r>
      <w:r>
        <w:rPr>
          <w:sz w:val="19"/>
        </w:rPr>
        <w:t>Großbritannien, vergleichbare Epidemiologie und Metabolismus-Diagnostik</w:t>
      </w:r>
    </w:p>
    <w:p>
      <w:r>
        <w:rPr>
          <w:color w:val="5A7D3A"/>
          <w:sz w:val="18"/>
        </w:rPr>
        <w:t>https://pubmed.ncbi.nlm.nih.gov/42402573/</w:t>
      </w:r>
    </w:p>
    <w:p>
      <w:pPr>
        <w:pStyle w:val="Heading2"/>
      </w:pPr>
      <w:r>
        <w:t>Immunseneszenz-Biomarker für klinische Aging-Interventionsstudien</w:t>
      </w:r>
    </w:p>
    <w:p>
      <w:r>
        <w:rPr>
          <w:i/>
          <w:color w:val="666666"/>
          <w:sz w:val="18"/>
        </w:rPr>
        <w:t>Cipriano A et al.  ·  Nat Med  ·  03.07.2026  ·  PMID 42399672</w:t>
      </w:r>
    </w:p>
    <w:p>
      <w:r>
        <w:t>Konsensusrahmen von 26 Gerontologen und Immunologen zur Evaluierung von Immune-Aging-Biomarkern für klinische Trials; fünf Selektionskriterien, Bewertung von Kandidaten-Biomarkern und Empfehlungen für Lücken.</w:t>
      </w:r>
    </w:p>
    <w:p>
      <w:r>
        <w:rPr>
          <w:b/>
        </w:rPr>
        <w:t xml:space="preserve">Ergebnis: </w:t>
      </w:r>
      <w:r>
        <w:t>Metriken mit multidimensionalem Immunfunktionsspektrum, Inflammaging-Scores und funktionelle Assays schnitten gegen Selektionskriterien am besten ab. Vielversprechende aufkommende Maße identifiziert, aber kritische Lücken für zuverlässige, prädiktive Biomarker erkannt. Rahmen bietet kohärenten Weg zu klinisch aussagekräftigen Immunalterungs-Biomarkern für Geroscience-Interventionen.</w:t>
      </w:r>
    </w:p>
    <w:p>
      <w:r>
        <w:rPr>
          <w:b/>
          <w:sz w:val="19"/>
        </w:rPr>
        <w:t xml:space="preserve">Übertragbarkeit: </w:t>
      </w:r>
      <w:r>
        <w:rPr>
          <w:sz w:val="19"/>
        </w:rPr>
        <w:t>International konsensiert; Framework unabhängig von Ländersystem, aber Implementierung in Deutschland möglich</w:t>
      </w:r>
    </w:p>
    <w:p>
      <w:r>
        <w:rPr>
          <w:color w:val="5A7D3A"/>
          <w:sz w:val="18"/>
        </w:rPr>
        <w:t>https://pubmed.ncbi.nlm.nih.gov/42399672/</w:t>
      </w:r>
    </w:p>
    <w:p>
      <w:pPr>
        <w:pStyle w:val="Heading2"/>
      </w:pPr>
      <w:r>
        <w:t>Sexuelle Aktivitätsveränderung beeinträchtigt Lebensqualität im Alter nachweislich</w:t>
      </w:r>
    </w:p>
    <w:p>
      <w:r>
        <w:rPr>
          <w:i/>
          <w:color w:val="666666"/>
          <w:sz w:val="18"/>
        </w:rPr>
        <w:t>Kujawska A et al.  ·  Maturitas  ·  29.06.2026  ·  PMID 42391932</w:t>
      </w:r>
    </w:p>
    <w:p>
      <w:r>
        <w:t>Zweijahrliche Längsschnittstudie: 199 ältere Polen (80% Frauen, Alter 69,7±6 Jahre), Assessment von Sexualität und Lebensqualität nach WHO-QoL, Kovariaten Alter, Basalwerte, Traurigkeit, Gesundheit.</w:t>
      </w:r>
    </w:p>
    <w:p>
      <w:r>
        <w:rPr>
          <w:b/>
        </w:rPr>
        <w:t xml:space="preserve">Ergebnis: </w:t>
      </w:r>
      <w:r>
        <w:t>Keine signifikanten Veränderungen in Gesamt-QoL-Werten über zwei Jahre (p=0,3). Aber: Aufhören von Sexualität war assoziiert mit signifikant niedrigeren Folgepunkten in Sozialbeziehungen (p=0,006) und Umwelt-Domäne (p=0,007). Effekt hielt nach Ausschluß von Gesundheits- und Depressions-Veränderungen. Beendigung der Sexualität im Alter reduziert Sozialbeziehungen und Umwelt-Wohlbefinden nachweislich.</w:t>
      </w:r>
    </w:p>
    <w:p>
      <w:r>
        <w:rPr>
          <w:b/>
          <w:sz w:val="19"/>
        </w:rPr>
        <w:t xml:space="preserve">Übertragbarkeit: </w:t>
      </w:r>
      <w:r>
        <w:rPr>
          <w:sz w:val="19"/>
        </w:rPr>
        <w:t>Polen, ähnliche Altersstruktur, aber Übertragung auf Deutschland kulturabhängig</w:t>
      </w:r>
    </w:p>
    <w:p>
      <w:r>
        <w:rPr>
          <w:color w:val="5A7D3A"/>
          <w:sz w:val="18"/>
        </w:rPr>
        <w:t>https://pubmed.ncbi.nlm.nih.gov/42391932/</w:t>
      </w:r>
    </w:p>
    <w:p>
      <w:pPr>
        <w:pStyle w:val="Heading1"/>
      </w:pPr>
      <w:r>
        <w:t>Aufgenommen am 03.09.2026</w:t>
      </w:r>
    </w:p>
    <w:p>
      <w:pPr>
        <w:pStyle w:val="Heading2"/>
      </w:pPr>
      <w:r>
        <w:t>Hausarzt-Vertragsdienst in China verbessert Gesundheit älterer Erwachsener</w:t>
      </w:r>
    </w:p>
    <w:p>
      <w:r>
        <w:rPr>
          <w:i/>
          <w:color w:val="666666"/>
          <w:sz w:val="18"/>
        </w:rPr>
        <w:t>Jia C et al.  ·  Front Public Health  ·  18.08.2026  ·  PMID 42682531</w:t>
      </w:r>
    </w:p>
    <w:p>
      <w:r>
        <w:t>Nationale chinesische Querschnittsstudie (n = 11.455, ≥ 65 Jahre) aus der China Longitudinal Aging Social Survey 2023 zur Assoziation zwischen Teilnahme am Family Doctor Contract Service (FDCS) und Selbstbewertung, körperlichem Unbehagen und Lebenszufriedenheit, stratifiziert nach Land/Stadt und Bildung.</w:t>
      </w:r>
    </w:p>
    <w:p>
      <w:r>
        <w:rPr>
          <w:b/>
        </w:rPr>
        <w:t xml:space="preserve">Ergebnis: </w:t>
      </w:r>
      <w:r>
        <w:t>FDCS-Teilnahme assoziiert mit besseren Ergebnissen in allen drei Dimensionen. Ländliche und weniger gebildete Ältere zeigten stärkere Assoziationen mit geringerem körperlichem Unbehagen und höherer Lebenszufriedenheit; urbane und höher gebildete mit besserer Selbstbewertung. Heterogene Effekte nach Wohnort und Bildung.</w:t>
      </w:r>
    </w:p>
    <w:p>
      <w:r>
        <w:rPr>
          <w:b/>
          <w:sz w:val="19"/>
        </w:rPr>
        <w:t xml:space="preserve">Übertragbarkeit: </w:t>
      </w:r>
      <w:r>
        <w:rPr>
          <w:sz w:val="19"/>
        </w:rPr>
        <w:t>China, anderes System; Konzept der primärärztlichen Gatekeeping-Funktion teils übertragbar, Effektgrößen jedoch kontextabhängig.</w:t>
      </w:r>
    </w:p>
    <w:p>
      <w:r>
        <w:rPr>
          <w:color w:val="5A7D3A"/>
          <w:sz w:val="18"/>
        </w:rPr>
        <w:t>https://pubmed.ncbi.nlm.nih.gov/42682531/</w:t>
      </w:r>
    </w:p>
    <w:p>
      <w:pPr>
        <w:pStyle w:val="Heading2"/>
      </w:pPr>
      <w:r>
        <w:t>Serum-Periostin als Biomarker für Frailty bei Typ-2-Diabetes</w:t>
      </w:r>
    </w:p>
    <w:p>
      <w:r>
        <w:rPr>
          <w:i/>
          <w:color w:val="666666"/>
          <w:sz w:val="18"/>
        </w:rPr>
        <w:t>González-Salvatierra S et al.  ·  Int J Mol Sci  ·  21.08.2026  ·  PMID 42653500</w:t>
      </w:r>
    </w:p>
    <w:p>
      <w:r>
        <w:t>Spanische Querschnittsstudie (n = 137, Alter 65 ± 8 Jahre) zur Assoziation zwischen serum-Periostin und Frailty-Status (FRAIL-Skala: robust, pre-frail, frail) bei Typ-2-Diabetes.</w:t>
      </w:r>
    </w:p>
    <w:p>
      <w:r>
        <w:rPr>
          <w:b/>
        </w:rPr>
        <w:t xml:space="preserve">Ergebnis: </w:t>
      </w:r>
      <w:r>
        <w:t>Frailty korrelierte positiv mit Alter (p &lt; 0,001), BMI (p = 0,006), Taille (p = 0,01) und Diabetes-Dauer (p = 0,040), negativ mit TBS, HDL und eGFR. Periostin zeigte stärkste Korrelation mit Frailty (p &lt; 0,001). Frail: höhere Periostin als pre-frail (p = 0,006) und robust (p = 0,008). AUC für Frailty-Diskrimination 0,710 (p &lt; 0,001); kombiniert mit klinischen Variablen AUC 0,900 vs. 0,858. Schwellenwert &gt; 1307 pmol/L: 77,8% Sensitivität, 66,7% Spezifität.</w:t>
      </w:r>
    </w:p>
    <w:p>
      <w:r>
        <w:rPr>
          <w:b/>
          <w:sz w:val="19"/>
        </w:rPr>
        <w:t xml:space="preserve">Übertragbarkeit: </w:t>
      </w:r>
      <w:r>
        <w:rPr>
          <w:sz w:val="19"/>
        </w:rPr>
        <w:t>Spanien, europäisches System, vergleichbar; Biomarker-Entwicklung in progress.</w:t>
      </w:r>
    </w:p>
    <w:p>
      <w:r>
        <w:rPr>
          <w:color w:val="5A7D3A"/>
          <w:sz w:val="18"/>
        </w:rPr>
        <w:t>https://pubmed.ncbi.nlm.nih.gov/42653500/</w:t>
      </w:r>
    </w:p>
    <w:p>
      <w:pPr>
        <w:pStyle w:val="Heading2"/>
      </w:pPr>
      <w:r>
        <w:t>Geschlechtsspezifische Determinanten von Frailty bei alternden Menschen mit HIV</w:t>
      </w:r>
    </w:p>
    <w:p>
      <w:r>
        <w:rPr>
          <w:i/>
          <w:color w:val="666666"/>
          <w:sz w:val="18"/>
        </w:rPr>
        <w:t>Echeverría P et al.  ·  Viruses  ·  04.07.2026  ·  PMID 42515594</w:t>
      </w:r>
    </w:p>
    <w:p>
      <w:r>
        <w:t>Querschnittsstudie zu Frailty (Fried-Kriterien) bei 588 älteren Menschen mit HIV in Spanien, untersucht nach Geschlecht stratifiziert mittels geriatrischem Assessment.</w:t>
      </w:r>
    </w:p>
    <w:p>
      <w:r>
        <w:rPr>
          <w:b/>
        </w:rPr>
        <w:t xml:space="preserve">Ergebnis: </w:t>
      </w:r>
      <w:r>
        <w:t>Frauen mit HIV zeigten höhere Frailty-Prävalenz (17% vs. 9%) trotz jüngeren Alters und besserer Immunstatus. Bei Frauen waren muskuloskelettale Erkrankung (OR 3,85), kognitive Beeinträchtigung (OR 3,21), depressive Symptome (OR 2,67) und Mangelernährung (OR 2,14) unabhängig mit Frailty assoziiert; bei Männern alterstypischere Muster. Forderung nach geschlechtsspezifischer, ganzheitlicher geriatrischer Versorgung.</w:t>
      </w:r>
    </w:p>
    <w:p>
      <w:r>
        <w:rPr>
          <w:b/>
          <w:sz w:val="19"/>
        </w:rPr>
        <w:t xml:space="preserve">Übertragbarkeit: </w:t>
      </w:r>
      <w:r>
        <w:rPr>
          <w:sz w:val="19"/>
        </w:rPr>
        <w:t>Spanien, europäisches System, direkt vergleichbare Versorgungsstrukturen.</w:t>
      </w:r>
    </w:p>
    <w:p>
      <w:r>
        <w:rPr>
          <w:color w:val="5A7D3A"/>
          <w:sz w:val="18"/>
        </w:rPr>
        <w:t>https://pubmed.ncbi.nlm.nih.gov/42515594/</w:t>
      </w:r>
    </w:p>
    <w:p>
      <w:pPr>
        <w:pStyle w:val="Heading2"/>
      </w:pPr>
      <w:r>
        <w:t>Express-Screening für Frailty verbessert Versorgung älteren Patienten mit Notfallbedarf</w:t>
      </w:r>
    </w:p>
    <w:p>
      <w:r>
        <w:rPr>
          <w:i/>
          <w:color w:val="666666"/>
          <w:sz w:val="18"/>
        </w:rPr>
        <w:t>Ilnitski AN et al.  ·  Adv Gerontol  ·  2026  ·  PMID 42502931</w:t>
      </w:r>
    </w:p>
    <w:p>
      <w:r>
        <w:t>Russische Studie an 333 älteren Patienten (65–90 Jahre) in Notfallambulanz: Vergleich zwischen 234 Patienten mit Frailty-Screening (Gruppe 1) und 99 ohne Screening (Gruppe 2); Nachverfolgung 1 Monat.</w:t>
      </w:r>
    </w:p>
    <w:p>
      <w:r>
        <w:rPr>
          <w:b/>
        </w:rPr>
        <w:t xml:space="preserve">Ergebnis: </w:t>
      </w:r>
      <w:r>
        <w:t>Gruppe 1: 62,8% unter hausärztlicher Beobachtung, 0% Wiedervorstellungen, 0,4% Mortalität. Gruppe 2: 41,4% beobachtet, 6,1% Wiedervorstellungen, 2% Mortalität (p &lt; 0,001). Express-Screening ermöglichte bessere Nachbeobachtung und senkte Sterblichkeit und Inanspruchnahme.</w:t>
      </w:r>
    </w:p>
    <w:p>
      <w:r>
        <w:rPr>
          <w:b/>
          <w:sz w:val="19"/>
        </w:rPr>
        <w:t xml:space="preserve">Übertragbarkeit: </w:t>
      </w:r>
      <w:r>
        <w:rPr>
          <w:sz w:val="19"/>
        </w:rPr>
        <w:t>Russland, weniger direkt übertragbar; Konzept des Frailty-Screening in Notfallambulanzen adaptierbar.</w:t>
      </w:r>
    </w:p>
    <w:p>
      <w:r>
        <w:rPr>
          <w:color w:val="5A7D3A"/>
          <w:sz w:val="18"/>
        </w:rPr>
        <w:t>https://pubmed.ncbi.nlm.nih.gov/42502931/</w:t>
      </w:r>
    </w:p>
    <w:p>
      <w:pPr>
        <w:pStyle w:val="Heading2"/>
      </w:pPr>
      <w:r>
        <w:t>Geschlechtsspezifische Heterogenität der Handkraftveränderung im Alter: UK Biobank</w:t>
      </w:r>
    </w:p>
    <w:p>
      <w:r>
        <w:rPr>
          <w:i/>
          <w:color w:val="666666"/>
          <w:sz w:val="18"/>
        </w:rPr>
        <w:t>Fortinsky RH et al.  ·  J Gerontol A Biol Sci Med Sci  ·  04.08.2026  ·  PMID 42435411</w:t>
      </w:r>
    </w:p>
    <w:p>
      <w:r>
        <w:t>Longitudinale Kohorte aus UK Biobank (n = 73.134, 52% Frauen, 40–69 Jahre bei Baseline, 4–18 Jahre Nachverfolgung) zur Analyse der Varianz in Handkraft nach Altersgruppen und Geschlecht.</w:t>
      </w:r>
    </w:p>
    <w:p>
      <w:r>
        <w:rPr>
          <w:b/>
        </w:rPr>
        <w:t xml:space="preserve">Ergebnis: </w:t>
      </w:r>
      <w:r>
        <w:t>Frauen zeigten stabile Handkraft-Varianz über alle Altersgruppen querschnittlich und longitudinal; Männer zeigten cross-sectional Varianzabnahme mit Alter, longitudinal aber Varianzanstieg. Kovariaten schwächten Trends ab, eliminierten sie aber nicht. Heterogenität des Alterns operiert bei Männern und Frauen unterschiedlich; longitudinale und querschnittliche Muster divergieren deutlich.</w:t>
      </w:r>
    </w:p>
    <w:p>
      <w:r>
        <w:rPr>
          <w:b/>
          <w:sz w:val="19"/>
        </w:rPr>
        <w:t xml:space="preserve">Übertragbarkeit: </w:t>
      </w:r>
      <w:r>
        <w:rPr>
          <w:sz w:val="19"/>
        </w:rPr>
        <w:t>UK Biobank, vergleichbares englisches System, hohe Übertragbarkeit auf deutsche Bevölkerung.</w:t>
      </w:r>
    </w:p>
    <w:p>
      <w:r>
        <w:rPr>
          <w:color w:val="5A7D3A"/>
          <w:sz w:val="18"/>
        </w:rPr>
        <w:t>https://pubmed.ncbi.nlm.nih.gov/42435411/</w:t>
      </w:r>
    </w:p>
    <w:p>
      <w:pPr>
        <w:pStyle w:val="Heading2"/>
      </w:pPr>
      <w:r>
        <w:t>Gezielte epigenetische Uhr (TaM-Uhr) zeigt Grenzen bei Frailty-Vorhersage</w:t>
      </w:r>
    </w:p>
    <w:p>
      <w:r>
        <w:rPr>
          <w:i/>
          <w:color w:val="666666"/>
          <w:sz w:val="18"/>
        </w:rPr>
        <w:t>Awuah J et al.  ·  Clin Epigenetics  ·  07.07.2026  ·  PMID 42415175</w:t>
      </w:r>
    </w:p>
    <w:p>
      <w:r>
        <w:t>Deutsche Studie (Ulm, Aachen) zur Validierung einer verkürzten epigenetischen Uhr basierend auf drei Sterblichkeits-assoziierten CpG-Stellen gegen Frailty und Mortalität in der ActiFE-Kohorte (n = 446 bzw. 20 Frail/non-Frail).</w:t>
      </w:r>
    </w:p>
    <w:p>
      <w:r>
        <w:rPr>
          <w:b/>
        </w:rPr>
        <w:t xml:space="preserve">Ergebnis: </w:t>
      </w:r>
      <w:r>
        <w:t>In der kleinen Subset (n = 40) war das Delta-Alter mit Frailty assoziiert, jedoch in der größeren Kohorte keine signifikanten Assoziationen mit Frailty oder Mortalität. Ein CpG-Locus (cg20595453) zeigte Assoziation mit beiden Endpunkten, doch insgesamt war die Vorhersagekraft begrenzt. Die Autoren konstatieren, dass epigenetische Uhren in relativ gesunden Populationen nicht sensitiv genug sind.</w:t>
      </w:r>
    </w:p>
    <w:p>
      <w:r>
        <w:rPr>
          <w:b/>
          <w:sz w:val="19"/>
        </w:rPr>
        <w:t xml:space="preserve">Übertragbarkeit: </w:t>
      </w:r>
      <w:r>
        <w:rPr>
          <w:sz w:val="19"/>
        </w:rPr>
        <w:t>Deutschland (Aachen, Ulm), deutsches Studiendesign, hohe Übertragbarkeit; zeigt jedoch auch Grenzen der Methode.</w:t>
      </w:r>
    </w:p>
    <w:p>
      <w:r>
        <w:rPr>
          <w:color w:val="5A7D3A"/>
          <w:sz w:val="18"/>
        </w:rPr>
        <w:t>https://pubmed.ncbi.nlm.nih.gov/42415175/</w:t>
      </w:r>
    </w:p>
    <w:p>
      <w:pPr>
        <w:pStyle w:val="Heading1"/>
      </w:pPr>
      <w:r>
        <w:t>Aufgenommen am 02.09.2026</w:t>
      </w:r>
    </w:p>
    <w:p>
      <w:pPr>
        <w:pStyle w:val="Heading2"/>
      </w:pPr>
      <w:r>
        <w:t>Psychische Gesundheit älteren Menschen: Evidenzbasierte Prävention mit moderater körperlicher Aktivität</w:t>
      </w:r>
    </w:p>
    <w:p>
      <w:r>
        <w:rPr>
          <w:i/>
          <w:color w:val="666666"/>
          <w:sz w:val="18"/>
        </w:rPr>
        <w:t>Acoulon G et al.  ·  Sante Publique  ·  2026  ·  PMID 42674988</w:t>
      </w:r>
    </w:p>
    <w:p>
      <w:r>
        <w:t>Systematische Übersicht von Primärprävention psychischer Erkrankungen bei selbstständig lebenden älteren Menschen ab 60 Jahren.</w:t>
      </w:r>
    </w:p>
    <w:p>
      <w:r>
        <w:rPr>
          <w:b/>
        </w:rPr>
        <w:t xml:space="preserve">Ergebnis: </w:t>
      </w:r>
      <w:r>
        <w:t>Sieben Interventionskategorien identifiziert; moderate körperliche Aktivität (2–3 Sitzungen/Woche, ≥12 Wochen) reduzierte depressive und Angstsymptome am stärksten. Multimodale und in Gemeinderessourcen verankerte Programme zeigten beste Effektivität. Hauptchallenge: Dissemination und Anpassung an vulnerable Bevölkerungsgruppen, nicht die Identifikation wirksamer Interventionen.</w:t>
      </w:r>
    </w:p>
    <w:p>
      <w:r>
        <w:rPr>
          <w:b/>
          <w:sz w:val="19"/>
        </w:rPr>
        <w:t xml:space="preserve">Übertragbarkeit: </w:t>
      </w:r>
      <w:r>
        <w:rPr>
          <w:sz w:val="19"/>
        </w:rPr>
        <w:t>Frankreich, vergleichbare Sozialversicherung; Empfehlungen auf deutsches System übertragbar</w:t>
      </w:r>
    </w:p>
    <w:p>
      <w:r>
        <w:rPr>
          <w:color w:val="5A7D3A"/>
          <w:sz w:val="18"/>
        </w:rPr>
        <w:t>https://pubmed.ncbi.nlm.nih.gov/42674988/</w:t>
      </w:r>
    </w:p>
    <w:p>
      <w:pPr>
        <w:pStyle w:val="Heading2"/>
      </w:pPr>
      <w:r>
        <w:t>Sozial assistive Roboter in der Altenpflege: Phasen-orientierte Implementierung statt Technologie-Fokus</w:t>
      </w:r>
    </w:p>
    <w:p>
      <w:r>
        <w:rPr>
          <w:i/>
          <w:color w:val="666666"/>
          <w:sz w:val="18"/>
        </w:rPr>
        <w:t>Bubeck M et al.  ·  Arch Gerontol Geriatr  ·  28.07.2026  ·  PMID 42603460</w:t>
      </w:r>
    </w:p>
    <w:p>
      <w:r>
        <w:t>Qualitative Studie mit 14 professionellen Pflegekräften in deutschen Einrichtungen zur Erfahrung mit Robotern am Krankenbett.</w:t>
      </w:r>
    </w:p>
    <w:p>
      <w:r>
        <w:rPr>
          <w:b/>
        </w:rPr>
        <w:t xml:space="preserve">Ergebnis: </w:t>
      </w:r>
      <w:r>
        <w:t>Vier analytische Phasen der Implementierung identifiziert: Orientierung, Einführung, Routinenutzung, Neubewertung. Praktische und moralische Anforderungen verschoben sich systematisch. Zentrale Erkenntnisse: Nachhaltige, ethisch verantwortungsvolle Nutzung erfordert Unterstützung des professionellen Urteils und kontextuelle Sensibilität – nicht technisches Rollout ohne Reflexion.</w:t>
      </w:r>
    </w:p>
    <w:p>
      <w:r>
        <w:rPr>
          <w:b/>
          <w:sz w:val="19"/>
        </w:rPr>
        <w:t xml:space="preserve">Übertragbarkeit: </w:t>
      </w:r>
      <w:r>
        <w:rPr>
          <w:sz w:val="19"/>
        </w:rPr>
        <w:t>Deutschland, direkt auf deutsches Versorgungssystem anwendbar</w:t>
      </w:r>
    </w:p>
    <w:p>
      <w:r>
        <w:rPr>
          <w:color w:val="5A7D3A"/>
          <w:sz w:val="18"/>
        </w:rPr>
        <w:t>https://pubmed.ncbi.nlm.nih.gov/42603460/</w:t>
      </w:r>
    </w:p>
    <w:p>
      <w:pPr>
        <w:pStyle w:val="Heading2"/>
      </w:pPr>
      <w:r>
        <w:t>Urinmetabolom als biologische Alter-Uhr: Längsschnitt-Heterogenität und Mortalitätsvorhersage</w:t>
      </w:r>
    </w:p>
    <w:p>
      <w:r>
        <w:rPr>
          <w:i/>
          <w:color w:val="666666"/>
          <w:sz w:val="18"/>
        </w:rPr>
        <w:t>Gauß KF et al.  ·  J Gerontol A Biol Sci Med Sci  ·  04.08.2026  ·  PMID 42440338</w:t>
      </w:r>
    </w:p>
    <w:p>
      <w:r>
        <w:t>Entwicklung und Validierung eines biologischen Alter-Scores aus hochauflösender ¹H-Kernresonanzspektroskopie von Urinmetaboliten in großer populationsbasierter Kohorte mit &gt;10-Jahr Nachverfolgung.</w:t>
      </w:r>
    </w:p>
    <w:p>
      <w:r>
        <w:rPr>
          <w:b/>
        </w:rPr>
        <w:t xml:space="preserve">Ergebnis: </w:t>
      </w:r>
      <w:r>
        <w:t>Metabolisches Altern variiert zwischen Individuen, unterstreicht inter-individuelle Heterogenität. Metabolisches Alter zeigte Assoziation mit altersrelevanten klinischen Phänotypen und war prädiktiv für multiple Erkrankungen und Gesamtmortalität unabhängig vom chronologischen Alter. Urinmetabolom als non-invasives Werkzeug zur Risikostratifizierung validiert.</w:t>
      </w:r>
    </w:p>
    <w:p>
      <w:r>
        <w:rPr>
          <w:b/>
          <w:sz w:val="19"/>
        </w:rPr>
        <w:t xml:space="preserve">Übertragbarkeit: </w:t>
      </w:r>
      <w:r>
        <w:rPr>
          <w:sz w:val="19"/>
        </w:rPr>
        <w:t>Deutschland, Greifswald; deutsche Klinikdaten, vergleichbare Dokumentationspflichten</w:t>
      </w:r>
    </w:p>
    <w:p>
      <w:r>
        <w:rPr>
          <w:color w:val="5A7D3A"/>
          <w:sz w:val="18"/>
        </w:rPr>
        <w:t>https://pubmed.ncbi.nlm.nih.gov/42440338/</w:t>
      </w:r>
    </w:p>
    <w:p>
      <w:pPr>
        <w:pStyle w:val="Heading2"/>
      </w:pPr>
      <w:r>
        <w:t>Frailty-Übergänge und Schlaganfall-Risiko: China und Großbritannien im Vergleich</w:t>
      </w:r>
    </w:p>
    <w:p>
      <w:r>
        <w:rPr>
          <w:i/>
          <w:color w:val="666666"/>
          <w:sz w:val="18"/>
        </w:rPr>
        <w:t>Zhong S et al.  ·  Arch Gerontol Geriatr  ·  04.07.2026  ·  PMID 42418874</w:t>
      </w:r>
    </w:p>
    <w:p>
      <w:r>
        <w:t>Längsschnittstudie (CHARLS/ELSA) mit 14.682 älteren Erwachsenen zu Frailty-Verlauf und Schlaganfall-Inzidenz über 2 Jahre.</w:t>
      </w:r>
    </w:p>
    <w:p>
      <w:r>
        <w:rPr>
          <w:b/>
        </w:rPr>
        <w:t xml:space="preserve">Ergebnis: </w:t>
      </w:r>
      <w:r>
        <w:t>Baseline-Frailty erhöhte Schlaganfall-Risiko in beiden Ländern. Progression von robust zu pre-frail/frail: signifikant erhöhtes Risiko; Verbesserung von frail zu robust/pre-frail: Risikoreduktion. Höherer kumulativer Frailty-Index zeigte Dosis-Wirkungs-Beziehung (alle p&lt;0,0001). Frailty-Monitoring als Prognose-Instrument für Hochrisiko-Patienten bestätigt.</w:t>
      </w:r>
    </w:p>
    <w:p>
      <w:r>
        <w:rPr>
          <w:b/>
          <w:sz w:val="19"/>
        </w:rPr>
        <w:t xml:space="preserve">Übertragbarkeit: </w:t>
      </w:r>
      <w:r>
        <w:rPr>
          <w:sz w:val="19"/>
        </w:rPr>
        <w:t>Großbritannien und China, vorsichtig auf Deutschland; Altersstruktur und Versorgung unterschiedlich, Frailty-Mechanismus universal</w:t>
      </w:r>
    </w:p>
    <w:p>
      <w:r>
        <w:rPr>
          <w:color w:val="5A7D3A"/>
          <w:sz w:val="18"/>
        </w:rPr>
        <w:t>https://pubmed.ncbi.nlm.nih.gov/42418874/</w:t>
      </w:r>
    </w:p>
    <w:p>
      <w:pPr>
        <w:pStyle w:val="Heading2"/>
      </w:pPr>
      <w:r>
        <w:t>Soziale, psychische und spirituelle Versorgung am Lebensende: Ungleichheiten durch fehlende Formaldienste</w:t>
      </w:r>
    </w:p>
    <w:p>
      <w:r>
        <w:rPr>
          <w:i/>
          <w:color w:val="666666"/>
          <w:sz w:val="18"/>
        </w:rPr>
        <w:t>Meier C et al.  ·  Age Ageing  ·  02.07.2026  ·  PMID 42407095</w:t>
      </w:r>
    </w:p>
    <w:p>
      <w:r>
        <w:t>Analyse von 507 Proxy-Interviews verstorbener Personen (≥55 Jahre) aus der ELSA zur Unterstützung non-medizinischer Bedarf in den letzten drei Lebensmonaten.</w:t>
      </w:r>
    </w:p>
    <w:p>
      <w:r>
        <w:rPr>
          <w:b/>
        </w:rPr>
        <w:t xml:space="preserve">Ergebnis: </w:t>
      </w:r>
      <w:r>
        <w:t>Soziale Bedürfnisse bei 81,8%, psychische bei 77,8%, spirituelle bei 74,4% erfüllt. Überwiegend Familie als Unterstützer, kaum formale Dienste. Alleinleben assoziiert mit niedrigerer Erfüllungswahrscheinlichkeit; Demenz korreliert mit schlechterer psychischer und sozialer Unterstützung. Mangel an integrierten Angeboten verstärkt soziale Ungleichheiten am Lebensende.</w:t>
      </w:r>
    </w:p>
    <w:p>
      <w:r>
        <w:rPr>
          <w:b/>
          <w:sz w:val="19"/>
        </w:rPr>
        <w:t xml:space="preserve">Übertragbarkeit: </w:t>
      </w:r>
      <w:r>
        <w:rPr>
          <w:sz w:val="19"/>
        </w:rPr>
        <w:t>Großbritannien, vergleichbar mit deutschem NHS; Befund zur Systemabhängigkeit nicht-medizinischer Versorgung bedeutsam</w:t>
      </w:r>
    </w:p>
    <w:p>
      <w:r>
        <w:rPr>
          <w:color w:val="5A7D3A"/>
          <w:sz w:val="18"/>
        </w:rPr>
        <w:t>https://pubmed.ncbi.nlm.nih.gov/42407095/</w:t>
      </w:r>
    </w:p>
    <w:p>
      <w:pPr>
        <w:pStyle w:val="Heading2"/>
      </w:pPr>
      <w:r>
        <w:t>Schlafstörungen und Muskelkraftverlust im Alter: Geschlechtsspezifische Unterschiede bei älteren Erwachsenen</w:t>
      </w:r>
    </w:p>
    <w:p>
      <w:r>
        <w:rPr>
          <w:i/>
          <w:color w:val="666666"/>
          <w:sz w:val="18"/>
        </w:rPr>
        <w:t>Silveira LC et al.  ·  Age Ageing  ·  02.07.2026  ·  PMID 42407094</w:t>
      </w:r>
    </w:p>
    <w:p>
      <w:r>
        <w:t>Längsschnittstudie (8 Jahre, n=6.429, ELSA) zu Einfluss von Insomnie und Schlafdauer auf Handgriff-Kraft-Abnahme.</w:t>
      </w:r>
    </w:p>
    <w:p>
      <w:r>
        <w:rPr>
          <w:b/>
        </w:rPr>
        <w:t xml:space="preserve">Ergebnis: </w:t>
      </w:r>
      <w:r>
        <w:t>Männer mit erhöhter Insomnie: schnellerer Kraftverlust (–0,02 kg/Jahr; 95%-KI –0,04 bis –0,01). Frauen mit Schlafdauer ≥9 Stunden: stärkerer Rückgang (–0,14 kg/Jahr; 95%-KI –0,26 bis –0,03). Schlafprobleme beeinflussen Muskelabbau geschlechtsspezifisch unterschiedlich – bei Männern Insomnie, bei Frauen lange Schlafdauer.</w:t>
      </w:r>
    </w:p>
    <w:p>
      <w:r>
        <w:rPr>
          <w:b/>
          <w:sz w:val="19"/>
        </w:rPr>
        <w:t xml:space="preserve">Übertragbarkeit: </w:t>
      </w:r>
      <w:r>
        <w:rPr>
          <w:sz w:val="19"/>
        </w:rPr>
        <w:t>Großbritannien, epidemiologisch auf Deutschland übertragbar; Geschlechtsdimension in Prävention relevant</w:t>
      </w:r>
    </w:p>
    <w:p>
      <w:r>
        <w:rPr>
          <w:color w:val="5A7D3A"/>
          <w:sz w:val="18"/>
        </w:rPr>
        <w:t>https://pubmed.ncbi.nlm.nih.gov/42407094/</w:t>
      </w:r>
    </w:p>
    <w:p>
      <w:pPr>
        <w:pStyle w:val="Heading1"/>
      </w:pPr>
      <w:r>
        <w:t>Aufgenommen am 01.09.2026</w:t>
      </w:r>
    </w:p>
    <w:p>
      <w:pPr>
        <w:pStyle w:val="Heading2"/>
      </w:pPr>
      <w:r>
        <w:t>Geriatrisches Assessment vor Gefäßinterventionen senkt perioperative Risiken bei älteren Patienten</w:t>
      </w:r>
    </w:p>
    <w:p>
      <w:r>
        <w:rPr>
          <w:i/>
          <w:color w:val="666666"/>
          <w:sz w:val="18"/>
        </w:rPr>
        <w:t>Kolb G et al.  ·  Vasa  ·  Sept. 2026  ·  PMID 42669422</w:t>
      </w:r>
    </w:p>
    <w:p>
      <w:r>
        <w:t>Positionspapier dreier Fachgesellschaften zur Notwendigkeit geriatrischer Assessments vor gefäßmedizinischen Eingriffen bei älteren Menschen, da Frailty die Outcomes nach Gefäßchirurgie und Interventionen bestimmt.</w:t>
      </w:r>
    </w:p>
    <w:p>
      <w:r>
        <w:rPr>
          <w:b/>
        </w:rPr>
        <w:t xml:space="preserve">Ergebnis: </w:t>
      </w:r>
      <w:r>
        <w:t>Frailty-Status bestimmt Komplikationen und Outcomes nach Gefäßinterventionen; geriatrisches Assessment wird zur Risikostratifizierung empfohlen, konkrete Zahlen zu Outcome-Verbesserungen durch das Positionspapier nicht genannt.</w:t>
      </w:r>
    </w:p>
    <w:p>
      <w:r>
        <w:rPr>
          <w:b/>
          <w:sz w:val="19"/>
        </w:rPr>
        <w:t xml:space="preserve">Übertragbarkeit: </w:t>
      </w:r>
      <w:r>
        <w:rPr>
          <w:sz w:val="19"/>
        </w:rPr>
        <w:t>Deutschland: Stellungnahmen deutscher Fachgesellschaften, direkt relevant für Versorgungspraxis.</w:t>
      </w:r>
    </w:p>
    <w:p>
      <w:r>
        <w:rPr>
          <w:color w:val="5A7D3A"/>
          <w:sz w:val="18"/>
        </w:rPr>
        <w:t>https://pubmed.ncbi.nlm.nih.gov/42669422/</w:t>
      </w:r>
    </w:p>
    <w:p>
      <w:pPr>
        <w:pStyle w:val="Heading2"/>
      </w:pPr>
      <w:r>
        <w:t>Gesunde Ernährung verlangsamt epigenetisches Altern unabhängig von Ernährungsstil</w:t>
      </w:r>
    </w:p>
    <w:p>
      <w:r>
        <w:rPr>
          <w:i/>
          <w:color w:val="666666"/>
          <w:sz w:val="18"/>
        </w:rPr>
        <w:t>Tavares JF et al.  ·  Nat Commun  ·  29.08.2026  ·  PMID 42668319</w:t>
      </w:r>
    </w:p>
    <w:p>
      <w:r>
        <w:t>Zwei bevölkerungsbasierte Kohorten zeigten, dass Adhärenz zu gesunden Ernährungsmustern mit verlangsamtem epigenetischem Altern assoziiert ist, obwohl verschiedene Ernährungsstile unterschiedliche epigenetische Profile aufweisen.</w:t>
      </w:r>
    </w:p>
    <w:p>
      <w:r>
        <w:rPr>
          <w:b/>
        </w:rPr>
        <w:t xml:space="preserve">Ergebnis: </w:t>
      </w:r>
      <w:r>
        <w:t>Zehn verschiedene Ernährungsbewertungsindizes: minimale Überschneidung in der höchsten Adhärenz-Quartile, aber alle mit reduziertem epigenetischen Altern assoziiert; verschiedene Ernährungsstile konvergierten auf gleiche biologische Signalwege.</w:t>
      </w:r>
    </w:p>
    <w:p>
      <w:r>
        <w:rPr>
          <w:b/>
          <w:sz w:val="19"/>
        </w:rPr>
        <w:t xml:space="preserve">Übertragbarkeit: </w:t>
      </w:r>
      <w:r>
        <w:rPr>
          <w:sz w:val="19"/>
        </w:rPr>
        <w:t>Deutschland und deutschsprachiger Raum: Rhineland-Studie, vergleichbare Populationsstruktur, externe Validierung mit EPIC-Potsdam.</w:t>
      </w:r>
    </w:p>
    <w:p>
      <w:r>
        <w:rPr>
          <w:color w:val="5A7D3A"/>
          <w:sz w:val="18"/>
        </w:rPr>
        <w:t>https://pubmed.ncbi.nlm.nih.gov/42668319/</w:t>
      </w:r>
    </w:p>
    <w:p>
      <w:pPr>
        <w:pStyle w:val="Heading2"/>
      </w:pPr>
      <w:r>
        <w:t>Arbeitsplatzgewalt verkürzt die Erwerbstätigkeit älterer Arbeitnehmer um bis zu sieben Monate</w:t>
      </w:r>
    </w:p>
    <w:p>
      <w:r>
        <w:rPr>
          <w:i/>
          <w:color w:val="666666"/>
          <w:sz w:val="18"/>
        </w:rPr>
        <w:t>Holmgren R et al.  ·  Scand J Work Environ Health  ·  01.09.2026  ·  PMID 42563557</w:t>
      </w:r>
    </w:p>
    <w:p>
      <w:r>
        <w:t>Prospektive schwedische Kohortenstudie mit multistate Markov-Modellen zur Assoziation von Mobbing und Gewalt am Arbeitsplatz mit der verbleibenden Erwerbstätigkeit von über 50-Jährigen.</w:t>
      </w:r>
    </w:p>
    <w:p>
      <w:r>
        <w:rPr>
          <w:b/>
        </w:rPr>
        <w:t xml:space="preserve">Ergebnis: </w:t>
      </w:r>
      <w:r>
        <w:t>Exposition gegenüber Arbeitsplatzgewalt/Drohungen verkürzte die Erwerbstätigkeit ab 50 Jahren um 0,56 Jahre (95%-KI: −1,02–−0,10); Mobbing zeigte ähnliche Effektgröße (−0,63 Jahre, 95%-KI: −1,39–0,14), war aber nicht statistisch signifikant.</w:t>
      </w:r>
    </w:p>
    <w:p>
      <w:r>
        <w:rPr>
          <w:b/>
          <w:sz w:val="19"/>
        </w:rPr>
        <w:t xml:space="preserve">Übertragbarkeit: </w:t>
      </w:r>
      <w:r>
        <w:rPr>
          <w:sz w:val="19"/>
        </w:rPr>
        <w:t>Schweden, vergleichbares Sozialversicherungssystem, Längsschnitt-Follow-up 2008–2020.</w:t>
      </w:r>
    </w:p>
    <w:p>
      <w:r>
        <w:rPr>
          <w:color w:val="5A7D3A"/>
          <w:sz w:val="18"/>
        </w:rPr>
        <w:t>https://pubmed.ncbi.nlm.nih.gov/42563557/</w:t>
      </w:r>
    </w:p>
    <w:p>
      <w:pPr>
        <w:pStyle w:val="Heading2"/>
      </w:pPr>
      <w:r>
        <w:t>Frailty-Messung mit elektronischen Daten ist kontextabhängig und zeigt begrenzte Übertragbarkeit</w:t>
      </w:r>
    </w:p>
    <w:p>
      <w:r>
        <w:rPr>
          <w:i/>
          <w:color w:val="666666"/>
          <w:sz w:val="18"/>
        </w:rPr>
        <w:t>Cavanaugh R et al.  ·  J Gerontol A Biol Sci Med Sci  ·  04.08.2026  ·  PMID 42550179</w:t>
      </w:r>
    </w:p>
    <w:p>
      <w:r>
        <w:t>Internationale Vergleichsstudie zweier elektronischer Frailty-Indizes (VAFI, eFI) über fünf Datenbanken zeigte inkonsistente Frailty-Prävalenzen je nach Land und lokalen Kodierungsverhalten.</w:t>
      </w:r>
    </w:p>
    <w:p>
      <w:r>
        <w:rPr>
          <w:b/>
        </w:rPr>
        <w:t xml:space="preserve">Ergebnis: </w:t>
      </w:r>
      <w:r>
        <w:t>USA-Datenbanken: VAFI identifizierte höhere Frailty-Raten (All of Us: 10,3% vs. 2,5% eFI; Pharmetrics: 9,6% vs. 2%); UK-Datenbanken zeigten umgekehrtes Muster (eFI höher); FI-Messungen stark abhängig vom Entwicklungskontext und lokalen Kodierungsinzentiven.</w:t>
      </w:r>
    </w:p>
    <w:p>
      <w:r>
        <w:rPr>
          <w:b/>
          <w:sz w:val="19"/>
        </w:rPr>
        <w:t xml:space="preserve">Übertragbarkeit: </w:t>
      </w:r>
      <w:r>
        <w:rPr>
          <w:sz w:val="19"/>
        </w:rPr>
        <w:t>USA und UK: Warnung vor direkter Anwendung außerhalb des Entwicklungskontextes; deutsche Systeme benötigen eigene Validierung.</w:t>
      </w:r>
    </w:p>
    <w:p>
      <w:r>
        <w:rPr>
          <w:color w:val="5A7D3A"/>
          <w:sz w:val="18"/>
        </w:rPr>
        <w:t>https://pubmed.ncbi.nlm.nih.gov/42550179/</w:t>
      </w:r>
    </w:p>
    <w:p>
      <w:pPr>
        <w:pStyle w:val="Heading2"/>
      </w:pPr>
      <w:r>
        <w:t>Datenaustausch für Hirnalterungsforschung: Barrieren und Strategien in der Open Science</w:t>
      </w:r>
    </w:p>
    <w:p>
      <w:r>
        <w:rPr>
          <w:i/>
          <w:color w:val="666666"/>
          <w:sz w:val="18"/>
        </w:rPr>
        <w:t>Giehl K et al.  ·  Eur J Neurol  ·  Juli 2026  ·  PMID 42496021</w:t>
      </w:r>
    </w:p>
    <w:p>
      <w:r>
        <w:t>Übersichtsarbeit zu Hindernissen bei der Freigabe von Neuroimaging-Daten in der Alternsforschung und Vorschläge für vereinheitlichte rechtliche Rahmen, Standardisierung und akademische Anreize.</w:t>
      </w:r>
    </w:p>
    <w:p>
      <w:r>
        <w:rPr>
          <w:b/>
        </w:rPr>
        <w:t xml:space="preserve">Ergebnis: </w:t>
      </w:r>
      <w:r>
        <w:t>Die Hürden reichen von technischen und infrastrukturellen Grenzen bis zu rechtlichen Fragen. Die Arbeit plädiert für einen einheitlichen, DSGVO-konformen Rahmen, für die akademische Anerkennung von Data Stewardship und für ein abgestimmtes Vorgehen der Fachgemeinschaft hin zu Open Science in der Erforschung neurodegenerativer Erkrankungen.</w:t>
      </w:r>
    </w:p>
    <w:p>
      <w:r>
        <w:rPr>
          <w:b/>
          <w:sz w:val="19"/>
        </w:rPr>
        <w:t xml:space="preserve">Übertragbarkeit: </w:t>
      </w:r>
      <w:r>
        <w:rPr>
          <w:sz w:val="19"/>
        </w:rPr>
        <w:t>Europa: GDPR-Konformität, direkt auf EU-Systeme anwendbar, insbesondere Deutschland.</w:t>
      </w:r>
    </w:p>
    <w:p>
      <w:r>
        <w:rPr>
          <w:color w:val="5A7D3A"/>
          <w:sz w:val="18"/>
        </w:rPr>
        <w:t>https://pubmed.ncbi.nlm.nih.gov/42496021/</w:t>
      </w:r>
    </w:p>
    <w:p>
      <w:pPr>
        <w:pStyle w:val="Heading2"/>
      </w:pPr>
      <w:r>
        <w:t>Direkt wirkende Antivirale bei Hepatitis C verlängern Lebenserwartung um bis zu neun Jahre</w:t>
      </w:r>
    </w:p>
    <w:p>
      <w:r>
        <w:rPr>
          <w:i/>
          <w:color w:val="666666"/>
          <w:sz w:val="18"/>
        </w:rPr>
        <w:t>Etoori D et al.  ·  J Viral Hepat  ·  Aug. 2026  ·  PMID 42438144</w:t>
      </w:r>
    </w:p>
    <w:p>
      <w:r>
        <w:t>Englische Überwachungs- und Mortalitätsdaten zeigten, dass behandelte Hepatitis-C-Patienten eine um 8,5 bis 8,9 Jahre längere Lebenserwartung hatten, wobei dieser Vorsprung zwischen 2015–2018 und 2019–2022 abnahm.</w:t>
      </w:r>
    </w:p>
    <w:p>
      <w:r>
        <w:rPr>
          <w:b/>
        </w:rPr>
        <w:t xml:space="preserve">Ergebnis: </w:t>
      </w:r>
      <w:r>
        <w:t>Periode 2015–2018: behandelte Frauen +8,5 Jahre LE (95%-KI: 5,4–11,5), Männer +8,9 Jahre (95%-KI: 5,6–12,2); Periode 2019–2022: Frauen +6,7 Jahre (95%-KI: 3,3–10,2), Männer +5,3 Jahre (95%-KI: 3,0–7,6); Rückgang durch höhere Suizid-, Alkohol- und Drogentodesfälle in behandelter Population.</w:t>
      </w:r>
    </w:p>
    <w:p>
      <w:r>
        <w:rPr>
          <w:b/>
          <w:sz w:val="19"/>
        </w:rPr>
        <w:t xml:space="preserve">Übertragbarkeit: </w:t>
      </w:r>
      <w:r>
        <w:rPr>
          <w:sz w:val="19"/>
        </w:rPr>
        <w:t>Vereinigtes Königreich, vergleichbare westliche Versorgungsstrukturen, nationale Überwachungsdaten mit Mortalitätslinkage verfügbar.</w:t>
      </w:r>
    </w:p>
    <w:p>
      <w:r>
        <w:rPr>
          <w:color w:val="5A7D3A"/>
          <w:sz w:val="18"/>
        </w:rPr>
        <w:t>https://pubmed.ncbi.nlm.nih.gov/42438144/</w:t>
      </w:r>
    </w:p>
    <w:p>
      <w:pPr>
        <w:pStyle w:val="Heading2"/>
      </w:pPr>
      <w:r>
        <w:t>Französische Geriater fordern Fortbildung in Nephrologie: 75% Bedarf bei chronischen Nierenerkrankungen im Alter</w:t>
      </w:r>
    </w:p>
    <w:p>
      <w:r>
        <w:rPr>
          <w:i/>
          <w:color w:val="666666"/>
          <w:sz w:val="18"/>
        </w:rPr>
        <w:t>Mésinèle L et al.  ·  Geriatr Psychol Neuropsychiatr Vieil  ·  01.06.2026  ·  PMID 42412499</w:t>
      </w:r>
    </w:p>
    <w:p>
      <w:r>
        <w:t>Online-Befragung von 252 französischen Geriatrien zur Zusammenarbeit mit Nephrologie und Fortbildungsbedarf; 89% haben Zugang zu Nephrologen, aber nur 37% nennen einen Ansprechpartner für nephrogeriatrische Fragen.</w:t>
      </w:r>
    </w:p>
    <w:p>
      <w:r>
        <w:rPr>
          <w:b/>
        </w:rPr>
        <w:t xml:space="preserve">Ergebnis: </w:t>
      </w:r>
      <w:r>
        <w:t>89% haben Zugang zu Nephrologen, 37% identifizieren einen Ansprechpartner; häufigster Fortbildungswunsch: metabolische und kardiovaskuläre Komplikationen der CKD (60%), CKD-Stadien 1–4 (46%), Arzneimitteltherapie bei Niereninsuffizienz (38%); Geriater mit Nephro-Fortbildung häufiger in Shared Decision-Making zu Dialyse involviert.</w:t>
      </w:r>
    </w:p>
    <w:p>
      <w:r>
        <w:rPr>
          <w:b/>
          <w:sz w:val="19"/>
        </w:rPr>
        <w:t xml:space="preserve">Übertragbarkeit: </w:t>
      </w:r>
      <w:r>
        <w:rPr>
          <w:sz w:val="19"/>
        </w:rPr>
        <w:t>Frankreich, vergleichbares westeuropäisches Gesundheitssystem und Aus­bildungsanforderungen, Befragungsdaten direkt zur Versorgungsorganisation.</w:t>
      </w:r>
    </w:p>
    <w:p>
      <w:r>
        <w:rPr>
          <w:color w:val="5A7D3A"/>
          <w:sz w:val="18"/>
        </w:rPr>
        <w:t>https://pubmed.ncbi.nlm.nih.gov/42412499/</w:t>
      </w:r>
    </w:p>
    <w:p>
      <w:pPr>
        <w:pStyle w:val="Heading1"/>
      </w:pPr>
      <w:r>
        <w:t>Aufgenommen am 31.08.2026</w:t>
      </w:r>
    </w:p>
    <w:p>
      <w:pPr>
        <w:pStyle w:val="Heading2"/>
      </w:pPr>
      <w:r>
        <w:t>Gezieltes Geriatrie-Training in Intensivstationen verbessert Fachkompetenz des Personals</w:t>
      </w:r>
    </w:p>
    <w:p>
      <w:r>
        <w:rPr>
          <w:i/>
          <w:color w:val="666666"/>
          <w:sz w:val="18"/>
        </w:rPr>
        <w:t>Beernaert L et al.  ·  Soins Gerontol  ·  20.07.2026  ·  PMID 42542357</w:t>
      </w:r>
    </w:p>
    <w:p>
      <w:r>
        <w:t>Pilottudie zur Wirksamkeit gezielter Schulung von Pflegekräften und Paramedizinern in Geriatrie-Kompetenzen auf Intensivstationen.</w:t>
      </w:r>
    </w:p>
    <w:p>
      <w:r>
        <w:rPr>
          <w:b/>
        </w:rPr>
        <w:t xml:space="preserve">Ergebnis: </w:t>
      </w:r>
      <w:r>
        <w:t>Gezielte Schulungen führten zu signifikanten Verbesserungen der Geriatrie-Kenntnisse des Personals. Die Studie unterstützt den Wert kontinuierlicher Fortbildung, sollte aber durch multizentrische Studien bestätigt werden.</w:t>
      </w:r>
    </w:p>
    <w:p>
      <w:r>
        <w:rPr>
          <w:b/>
          <w:sz w:val="19"/>
        </w:rPr>
        <w:t xml:space="preserve">Übertragbarkeit: </w:t>
      </w:r>
      <w:r>
        <w:rPr>
          <w:sz w:val="19"/>
        </w:rPr>
        <w:t>Belgisches Universitätsspital, konzeptuell auf deutschsprachige Kliniken übertragbar.</w:t>
      </w:r>
    </w:p>
    <w:p>
      <w:r>
        <w:rPr>
          <w:color w:val="5A7D3A"/>
          <w:sz w:val="18"/>
        </w:rPr>
        <w:t>https://pubmed.ncbi.nlm.nih.gov/42542357/</w:t>
      </w:r>
    </w:p>
    <w:p>
      <w:pPr>
        <w:pStyle w:val="Heading2"/>
      </w:pPr>
      <w:r>
        <w:t>Triglyceride-Cholesterin-Körpergewicht-Index vorhersagt Hypertonie-Risiko bei älteren Menschen</w:t>
      </w:r>
    </w:p>
    <w:p>
      <w:r>
        <w:rPr>
          <w:i/>
          <w:color w:val="666666"/>
          <w:sz w:val="18"/>
        </w:rPr>
        <w:t>Luo F et al.  ·  J Int Med Res  ·  30.07.2026  ·  PMID 42530895</w:t>
      </w:r>
    </w:p>
    <w:p>
      <w:r>
        <w:t>Longitudinalanalyse der English Longitudinal Study of Ageing mit 5.731 älteren Erwachsenen über 12 Jahre zur Assoziation eines Stoffwechsel-Indexes mit Hypertonie-Inzidenz.</w:t>
      </w:r>
    </w:p>
    <w:p>
      <w:r>
        <w:rPr>
          <w:b/>
        </w:rPr>
        <w:t xml:space="preserve">Ergebnis: </w:t>
      </w:r>
      <w:r>
        <w:t>Jede Einheit Anstieg des log-transformierten Index war mit 43% höherer Hypertonie-Odds assoziiert (OR=1,43; 95% KI: 1,31–1,55). Prospektiv: adjustierte HR=1,16 (1,05–1,28). Trajektorien zeigten dosisabhängige Risikoerhöhung (hohe vs. niedrige Gruppe: OR=1,69, p&lt;0,001).</w:t>
      </w:r>
    </w:p>
    <w:p>
      <w:r>
        <w:rPr>
          <w:b/>
          <w:sz w:val="19"/>
        </w:rPr>
        <w:t xml:space="preserve">Übertragbarkeit: </w:t>
      </w:r>
      <w:r>
        <w:rPr>
          <w:sz w:val="19"/>
        </w:rPr>
        <w:t>England, demografische und epidemiologische Parallelität mit Deutschland gegeben.</w:t>
      </w:r>
    </w:p>
    <w:p>
      <w:r>
        <w:rPr>
          <w:color w:val="5A7D3A"/>
          <w:sz w:val="18"/>
        </w:rPr>
        <w:t>https://pubmed.ncbi.nlm.nih.gov/42530895/</w:t>
      </w:r>
    </w:p>
    <w:p>
      <w:pPr>
        <w:pStyle w:val="Heading2"/>
      </w:pPr>
      <w:r>
        <w:t>Gesundheitliche Behandlungspräferenzen Älterer: Alters- und Geschlechtsunterschiede in England</w:t>
      </w:r>
    </w:p>
    <w:p>
      <w:r>
        <w:rPr>
          <w:i/>
          <w:color w:val="666666"/>
          <w:sz w:val="18"/>
        </w:rPr>
        <w:t>Steel N et al.  ·  PLoS One  ·  29.07.2026  ·  PMID 42525585</w:t>
      </w:r>
    </w:p>
    <w:p>
      <w:r>
        <w:t>Querschnittsanalyse der English Longitudinal Study of Ageing (Wave 8, 2016/17) zu Präferenzen von über 50-Jährigen bei sechs Gesundheitsfragen (Risikobereitschaft, Zeitorientierung, Qualität vs. Länge des Lebens).</w:t>
      </w:r>
    </w:p>
    <w:p>
      <w:r>
        <w:rPr>
          <w:b/>
        </w:rPr>
        <w:t xml:space="preserve">Ergebnis: </w:t>
      </w:r>
      <w:r>
        <w:t>Frauen delegierten Entscheidungen weniger häufig an Ärzte und priorisierten Lebensqualität über Lebensdauer. Personen über 75 Jahre bevorzugten mehr Risikominderung und Delegierung. Substanzielle Variabilität zwischen Personen, systematische Unterschiede nach Alter und Geschlecht unterstützen strukturiertes Elicitierungsgesprächs-Protokoll.</w:t>
      </w:r>
    </w:p>
    <w:p>
      <w:r>
        <w:rPr>
          <w:b/>
          <w:sz w:val="19"/>
        </w:rPr>
        <w:t xml:space="preserve">Übertragbarkeit: </w:t>
      </w:r>
      <w:r>
        <w:rPr>
          <w:sz w:val="19"/>
        </w:rPr>
        <w:t>Großbritannien; übertragbar auf deutsches Versorgungssystem mit ähnlichen Partizipationsnormen.</w:t>
      </w:r>
    </w:p>
    <w:p>
      <w:r>
        <w:rPr>
          <w:color w:val="5A7D3A"/>
          <w:sz w:val="18"/>
        </w:rPr>
        <w:t>https://pubmed.ncbi.nlm.nih.gov/42525585/</w:t>
      </w:r>
    </w:p>
    <w:p>
      <w:pPr>
        <w:pStyle w:val="Heading2"/>
      </w:pPr>
      <w:r>
        <w:t>Depressive Symptome von Ehepartnern zeigen stabiles Muster, aber schwache prospektive Kopplung im Alter</w:t>
      </w:r>
    </w:p>
    <w:p>
      <w:r>
        <w:rPr>
          <w:i/>
          <w:color w:val="666666"/>
          <w:sz w:val="18"/>
        </w:rPr>
        <w:t>Miao J et al.  ·  Psychol Med  ·  29.07.2026  ·  PMID 42522229</w:t>
      </w:r>
    </w:p>
    <w:p>
      <w:r>
        <w:t>Harmonisierte Längsschnittanalyse aus CHARLS (China), HRS (USA) und ELSA (England) mit insgesamt 7.759 Paaren über 5–9 Wellen zu Depressionen, Aktivitätseinschränkungen und Partnereffekte.</w:t>
      </w:r>
    </w:p>
    <w:p>
      <w:r>
        <w:rPr>
          <w:b/>
        </w:rPr>
        <w:t xml:space="preserve">Ergebnis: </w:t>
      </w:r>
      <w:r>
        <w:t>Hohe Konkordanz depressiver Symptome zwischen Partnern (r=0,14–0,43) über alle Kohorten. Prospektive Cross-Spouse-Assoziationen waren nach Kontrolle stabiler Ähnlichkeiten schwach und nur in ELSA und multipel-imputierter HRS signifikant. Bidirektionale Depression-Funktionsstörung-Kopplung in westlichen Kohorten stärker, unterstützt kombinierte Behandlung und Rehabilitation.</w:t>
      </w:r>
    </w:p>
    <w:p>
      <w:r>
        <w:rPr>
          <w:b/>
          <w:sz w:val="19"/>
        </w:rPr>
        <w:t xml:space="preserve">Übertragbarkeit: </w:t>
      </w:r>
      <w:r>
        <w:rPr>
          <w:sz w:val="19"/>
        </w:rPr>
        <w:t>ELSA ist englische Bevölkerungsstichprobe; Ergebnisse auf deutsches Versorgungssystem moderat übertragbar.</w:t>
      </w:r>
    </w:p>
    <w:p>
      <w:r>
        <w:rPr>
          <w:color w:val="5A7D3A"/>
          <w:sz w:val="18"/>
        </w:rPr>
        <w:t>https://pubmed.ncbi.nlm.nih.gov/42522229/</w:t>
      </w:r>
    </w:p>
    <w:p>
      <w:pPr>
        <w:pStyle w:val="Heading2"/>
      </w:pPr>
      <w:r>
        <w:t>Frailty und psychische Gesundheit bei älteren Menschen: Längsschnittstudie aus Slowenien</w:t>
      </w:r>
    </w:p>
    <w:p>
      <w:r>
        <w:rPr>
          <w:i/>
          <w:color w:val="666666"/>
          <w:sz w:val="18"/>
        </w:rPr>
        <w:t>Mikolič Brence P et al.  ·  Front Public Health  ·  06.07.2026  ·  PMID 42518591</w:t>
      </w:r>
    </w:p>
    <w:p>
      <w:r>
        <w:t>Studienprotokoll einer prospektiven Kohortenstudie mit Erwachsenen ≥50 Jahren (geplant n=5.000, 2026–2028) zu Assoziationen zwischen Frailty und mentalen Gesundheitsfaktoren (Wohlbefinden, Resilienz, soziale Kohäsion).</w:t>
      </w:r>
    </w:p>
    <w:p>
      <w:r>
        <w:rPr>
          <w:b/>
        </w:rPr>
        <w:t xml:space="preserve">Ergebnis: </w:t>
      </w:r>
      <w:r>
        <w:t>Studie noch nicht abgeschlossen; das Protokoll wird zur Seite gelegt, da keine Ergebnisse vorliegen.</w:t>
      </w:r>
    </w:p>
    <w:p>
      <w:r>
        <w:rPr>
          <w:b/>
          <w:sz w:val="19"/>
        </w:rPr>
        <w:t xml:space="preserve">Übertragbarkeit: </w:t>
      </w:r>
      <w:r>
        <w:rPr>
          <w:sz w:val="19"/>
        </w:rPr>
        <w:t>Nicht anwendbar – Protokoll ohne Befunde.</w:t>
      </w:r>
    </w:p>
    <w:p>
      <w:r>
        <w:rPr>
          <w:color w:val="5A7D3A"/>
          <w:sz w:val="18"/>
        </w:rPr>
        <w:t>https://pubmed.ncbi.nlm.nih.gov/42518591/</w:t>
      </w:r>
    </w:p>
    <w:p>
      <w:pPr>
        <w:pStyle w:val="Heading2"/>
      </w:pPr>
      <w:r>
        <w:t>Lockdown-bedingte Immobilität beschleunigt Frailty: Sechs-Monats-Progression bei älteren Erwachsenen</w:t>
      </w:r>
    </w:p>
    <w:p>
      <w:r>
        <w:rPr>
          <w:i/>
          <w:color w:val="666666"/>
          <w:sz w:val="18"/>
        </w:rPr>
        <w:t>Rukavishnikov AS et al.  ·  Adv Gerontol  ·  2026  ·  PMID 42502942</w:t>
      </w:r>
    </w:p>
    <w:p>
      <w:r>
        <w:t>Quasiexperimentelle Studie mit 525 älteren Patienten (65–74 Jahre) in Pflege-Wohneinrichtungen während COVID-19-Lockdown; Geriatrisches Assessment mit Handgriffkraft und Sechs-Minuten-Gehtest zu Baseline, 1 und 6 Monaten.</w:t>
      </w:r>
    </w:p>
    <w:p>
      <w:r>
        <w:rPr>
          <w:b/>
        </w:rPr>
        <w:t xml:space="preserve">Ergebnis: </w:t>
      </w:r>
      <w:r>
        <w:t>Prävalenz der Präfrailty sank von 35,8% auf 14,1%, Frailty nahm von 49,5% auf 72% zu. Milde, moderate und schwere Frailty-Formen nahmen jeweils um 11,6%, 6,1% und 4,4% zu. Verlängerte Immobilität und soziale Isolation waren signifikante Beschleuniger der Frailty-Progression und Funktionsverschlechterung.</w:t>
      </w:r>
    </w:p>
    <w:p>
      <w:r>
        <w:rPr>
          <w:b/>
          <w:sz w:val="19"/>
        </w:rPr>
        <w:t xml:space="preserve">Übertragbarkeit: </w:t>
      </w:r>
      <w:r>
        <w:rPr>
          <w:sz w:val="19"/>
        </w:rPr>
        <w:t>Russland (Sankt-Petersburg); Befunde zur Dekonditionierung durch Immobilität universal, aber Pflegeheim-Setting unterscheidet sich von deutschem Versorgungskontext.</w:t>
      </w:r>
    </w:p>
    <w:p>
      <w:r>
        <w:rPr>
          <w:color w:val="5A7D3A"/>
          <w:sz w:val="18"/>
        </w:rPr>
        <w:t>https://pubmed.ncbi.nlm.nih.gov/42502942/</w:t>
      </w:r>
    </w:p>
    <w:p>
      <w:pPr>
        <w:pStyle w:val="Heading1"/>
      </w:pPr>
      <w:r>
        <w:t>Aufgenommen am 30.08.2026</w:t>
      </w:r>
    </w:p>
    <w:p>
      <w:pPr>
        <w:pStyle w:val="Heading2"/>
      </w:pPr>
      <w:r>
        <w:t>Frailty und Ernährung bei Herzinsuffizienz im Alter: prognostische Faktoren</w:t>
      </w:r>
    </w:p>
    <w:p>
      <w:r>
        <w:rPr>
          <w:i/>
          <w:color w:val="666666"/>
          <w:sz w:val="18"/>
        </w:rPr>
        <w:t>Li J et al.  ·  Front Public Health  ·  14.08.2026  ·  PMID 42666459</w:t>
      </w:r>
    </w:p>
    <w:p>
      <w:r>
        <w:t>Retrospektive Studie an 200 älteren Patienten mit Herzinsuffizienz untersuchte Frailty und Ernährungsstatus als Prognosefaktoren für 6-Monats-Ergebnisse.</w:t>
      </w:r>
    </w:p>
    <w:p>
      <w:r>
        <w:rPr>
          <w:b/>
        </w:rPr>
        <w:t xml:space="preserve">Ergebnis: </w:t>
      </w:r>
      <w:r>
        <w:t>Bei gebrechlichen Patienten (n=92) waren Mortalität (4,35 % vs. 0,93 %) und Rehospitalisierungsrate (14,13 % vs. 1,85 %) höher als bei nicht gebrechlichen (n=108). Unter gebrechlichen Patienten stieg die Ereignisrate mit Mangelernährung: moderat-schwer 26,19 %, mild 16,13 %, normal 5,26 %. GNRI und HDL waren unabhängig mit ungünstiger Prognose assoziiert.</w:t>
      </w:r>
    </w:p>
    <w:p>
      <w:r>
        <w:rPr>
          <w:b/>
          <w:sz w:val="19"/>
        </w:rPr>
        <w:t xml:space="preserve">Übertragbarkeit: </w:t>
      </w:r>
      <w:r>
        <w:rPr>
          <w:sz w:val="19"/>
        </w:rPr>
        <w:t>China, internationales Instrument (Fried-Kriterien), begrenzte Direktübertragung auf Deutschland</w:t>
      </w:r>
    </w:p>
    <w:p>
      <w:r>
        <w:rPr>
          <w:color w:val="5A7D3A"/>
          <w:sz w:val="18"/>
        </w:rPr>
        <w:t>https://pubmed.ncbi.nlm.nih.gov/42666459/</w:t>
      </w:r>
    </w:p>
    <w:p>
      <w:pPr>
        <w:pStyle w:val="Heading2"/>
      </w:pPr>
      <w:r>
        <w:t>Gastrointestinale Erkrankungen und funktioneller Verfall im Alter: CHARLS und ELSA</w:t>
      </w:r>
    </w:p>
    <w:p>
      <w:r>
        <w:rPr>
          <w:i/>
          <w:color w:val="666666"/>
          <w:sz w:val="18"/>
        </w:rPr>
        <w:t>Peng D et al.  ·  Geriatr Gerontol Int  ·  Sept. 2026  ·  PMID 42665870</w:t>
      </w:r>
    </w:p>
    <w:p>
      <w:r>
        <w:t>Longitudinale Analyse in zwei Kohorten (CHARLS China; ELSA England) untersuchte, ob wiederholte Meldungen gastrointestinaler Erkrankungen mit kognitiven, ADL- oder depressiven Verschlechterungen assoziiert sind.</w:t>
      </w:r>
    </w:p>
    <w:p>
      <w:r>
        <w:rPr>
          <w:b/>
        </w:rPr>
        <w:t xml:space="preserve">Ergebnis: </w:t>
      </w:r>
      <w:r>
        <w:t>CHARLS (n=9.555): wiederholte Meldung war mit 6–10 % erhöhtem Relativrisiko für Multidomain-Verschlechterung assoziiert (aRR 1,06–1,10). ELSA-Schätzungen waren richtungsgleich aber weniger präzise (aOR 1,21; 95%-KI 0,90–1,63). Gastrointestinale Exposition bot geringe diskriminative Aussagekraft.</w:t>
      </w:r>
    </w:p>
    <w:p>
      <w:r>
        <w:rPr>
          <w:b/>
          <w:sz w:val="19"/>
        </w:rPr>
        <w:t xml:space="preserve">Übertragbarkeit: </w:t>
      </w:r>
      <w:r>
        <w:rPr>
          <w:sz w:val="19"/>
        </w:rPr>
        <w:t>China und Großbritannien; Ergebnisse konsistent aber schwach, begrenzte Übertragbarkeit</w:t>
      </w:r>
    </w:p>
    <w:p>
      <w:r>
        <w:rPr>
          <w:color w:val="5A7D3A"/>
          <w:sz w:val="18"/>
        </w:rPr>
        <w:t>https://pubmed.ncbi.nlm.nih.gov/42665870/</w:t>
      </w:r>
    </w:p>
    <w:p>
      <w:pPr>
        <w:pStyle w:val="Heading2"/>
      </w:pPr>
      <w:r>
        <w:t>Schlafqualität und Sturzrisiko im Alter: prospektive Kohortenstudie</w:t>
      </w:r>
    </w:p>
    <w:p>
      <w:r>
        <w:rPr>
          <w:i/>
          <w:color w:val="666666"/>
          <w:sz w:val="18"/>
        </w:rPr>
        <w:t>Li Y et al.  ·  Brain Behav  ·  Aug. 2026  ·  PMID 42644837</w:t>
      </w:r>
    </w:p>
    <w:p>
      <w:r>
        <w:t>Prospektive Kohorte mit 3.224 Personen (≥50 Jahre) aus der English Longitudinal Study of Ageing; Schlafroutenuntersuchung über 4 Jahre mit Analyse der Assoziation zwischen Schlafqualität und neuaufgetretenen Stürzen.</w:t>
      </w:r>
    </w:p>
    <w:p>
      <w:r>
        <w:rPr>
          <w:b/>
        </w:rPr>
        <w:t xml:space="preserve">Ergebnis: </w:t>
      </w:r>
      <w:r>
        <w:t>Schlechtere Schlafqualität war mit höherem Sturzrisiko assoziiert (OR 1,04; 95%-KI 1,01–1,07). Depressive Symptome vermittelten 28,2 % dieser Assoziation. Dosisabhängige Beziehung zwischen Schlafqualität und Sturzrisiko.</w:t>
      </w:r>
    </w:p>
    <w:p>
      <w:r>
        <w:rPr>
          <w:b/>
          <w:sz w:val="19"/>
        </w:rPr>
        <w:t xml:space="preserve">Übertragbarkeit: </w:t>
      </w:r>
      <w:r>
        <w:rPr>
          <w:sz w:val="19"/>
        </w:rPr>
        <w:t>Großbritannien, vergleichbare Gesundheitsversorgung und Altersstruktur</w:t>
      </w:r>
    </w:p>
    <w:p>
      <w:r>
        <w:rPr>
          <w:color w:val="5A7D3A"/>
          <w:sz w:val="18"/>
        </w:rPr>
        <w:t>https://pubmed.ncbi.nlm.nih.gov/42644837/</w:t>
      </w:r>
    </w:p>
    <w:p>
      <w:pPr>
        <w:pStyle w:val="Heading2"/>
      </w:pPr>
      <w:r>
        <w:t>Lebensstil, Übergewicht und Lebenserwartung in der EU: Systemanalyse</w:t>
      </w:r>
    </w:p>
    <w:p>
      <w:r>
        <w:rPr>
          <w:i/>
          <w:color w:val="666666"/>
          <w:sz w:val="18"/>
        </w:rPr>
        <w:t>Vărzaru AA  ·  Nutrients  ·  11.07.2026  ·  PMID 42514344</w:t>
      </w:r>
    </w:p>
    <w:p>
      <w:r>
        <w:t>Querschnittsanalyse von 27 EU-Ländern mittels EHIS und Eurostat untersuchte Assoziationen zwischen Ernährung, körperlicher Aktivität, Rauchen, Übergewicht und Lebenserwartung sowie Healthy Life Years.</w:t>
      </w:r>
    </w:p>
    <w:p>
      <w:r>
        <w:rPr>
          <w:b/>
        </w:rPr>
        <w:t xml:space="preserve">Ergebnis: </w:t>
      </w:r>
      <w:r>
        <w:t>Gesunde Ernährung korrelierte mit Lebenserwartung (r=0,459; p=0,016), ebenso körperliche Aktivität (r=0,435; p=0,023). Übergewichtsprävalenz war invers mit Lebenserwartung assoziiert (r=−0,505; p=0,007). Das reduzierte Modell erklärte 47,4 % der Varianz in der Lebenserwartung. Clusteranalyse identifizierte drei Lebensstil-Gesundheits-Profile mit unterschiedlichen Outcomes.</w:t>
      </w:r>
    </w:p>
    <w:p>
      <w:r>
        <w:rPr>
          <w:b/>
          <w:sz w:val="19"/>
        </w:rPr>
        <w:t xml:space="preserve">Übertragbarkeit: </w:t>
      </w:r>
      <w:r>
        <w:rPr>
          <w:sz w:val="19"/>
        </w:rPr>
        <w:t>EU-weit, direkt auf deutsches Gesundheitssystem übertragbar</w:t>
      </w:r>
    </w:p>
    <w:p>
      <w:r>
        <w:rPr>
          <w:color w:val="5A7D3A"/>
          <w:sz w:val="18"/>
        </w:rPr>
        <w:t>https://pubmed.ncbi.nlm.nih.gov/42514344/</w:t>
      </w:r>
    </w:p>
    <w:p>
      <w:pPr>
        <w:pStyle w:val="Heading2"/>
      </w:pPr>
      <w:r>
        <w:t>Frailty im Hämodialyse: Visuelle Analogskala vereinfacht Screening</w:t>
      </w:r>
    </w:p>
    <w:p>
      <w:r>
        <w:rPr>
          <w:i/>
          <w:color w:val="666666"/>
          <w:sz w:val="18"/>
        </w:rPr>
        <w:t>Schulte-Kemna L et al.  ·  BMC Nephrol  ·  22.07.2026  ·  PMID 42493781</w:t>
      </w:r>
    </w:p>
    <w:p>
      <w:r>
        <w:t>Studie untersuchte die Genauigkeit einer Selbst-Rating-Skala (VAS) zur Frailty-Früherkennung bei 122 Hämodialysepatienten und identifizierte klinische Prädiktoren der Gebrechlichkeit anhand modifizierter Fried-Kriterien.</w:t>
      </w:r>
    </w:p>
    <w:p>
      <w:r>
        <w:rPr>
          <w:b/>
        </w:rPr>
        <w:t xml:space="preserve">Ergebnis: </w:t>
      </w:r>
      <w:r>
        <w:t>Die VAS hatte gute Spezifität (94,3%), übersah aber viele gebrechliche Patienten (Sensitivität 36,5%). Ein Modell mit Routineparametern zeigte gute Vorhersageleistung (AUC 0,816). Patienten mit Fried-Frailty hatten häufiger zentrale Venenkatheter, niedrigere Diurese, Kreatinin und Albumin sowie mehr Herz-Kreislauf-Erkrankungen.</w:t>
      </w:r>
    </w:p>
    <w:p>
      <w:r>
        <w:rPr>
          <w:b/>
          <w:sz w:val="19"/>
        </w:rPr>
        <w:t xml:space="preserve">Übertragbarkeit: </w:t>
      </w:r>
      <w:r>
        <w:rPr>
          <w:sz w:val="19"/>
        </w:rPr>
        <w:t>Deutsche Kliniken, vergleichbare Dialysedokumentation und Versorgungsstrukturen</w:t>
      </w:r>
    </w:p>
    <w:p>
      <w:r>
        <w:rPr>
          <w:color w:val="5A7D3A"/>
          <w:sz w:val="18"/>
        </w:rPr>
        <w:t>https://pubmed.ncbi.nlm.nih.gov/42493781/</w:t>
      </w:r>
    </w:p>
    <w:p>
      <w:pPr>
        <w:pStyle w:val="Heading2"/>
      </w:pPr>
      <w:r>
        <w:t>Diabetes-Epidemiologie in Dänemark: Trends von 1996 bis 2024</w:t>
      </w:r>
    </w:p>
    <w:p>
      <w:r>
        <w:rPr>
          <w:i/>
          <w:color w:val="666666"/>
          <w:sz w:val="18"/>
        </w:rPr>
        <w:t>Wibaek R et al.  ·  BMJ Open Diabetes Res Care  ·  10.07.2026  ·  PMID 42431705</w:t>
      </w:r>
    </w:p>
    <w:p>
      <w:r>
        <w:t>Nationale Register-Kohortenstudie (1996–2024) quantifizierte Trends in Prävalenz, Inzidenz, Mortalität und Lebensjahren verloren durch Diabetes in Dänemark.</w:t>
      </w:r>
    </w:p>
    <w:p>
      <w:r>
        <w:rPr>
          <w:b/>
        </w:rPr>
        <w:t xml:space="preserve">Ergebnis: </w:t>
      </w:r>
      <w:r>
        <w:t>Diabetes-Prävalenz verdreifachte sich auf 6,1 % (366.174 Personen); Typ 2 Diabetes stieg jährlich ~4,1 %. Typ 1 Inzidenz sank um 1,1 % pro Jahr. Mortalität sank bis 2012, dann Stabilisierung. Standardisierte Mortalitätsquoten sanken für Typ 1 (nach 2008), stiegen aber für Typ 2. Männer hatten höhere Typ 2 Inzidenz als Frauen.</w:t>
      </w:r>
    </w:p>
    <w:p>
      <w:r>
        <w:rPr>
          <w:b/>
          <w:sz w:val="19"/>
        </w:rPr>
        <w:t xml:space="preserve">Übertragbarkeit: </w:t>
      </w:r>
      <w:r>
        <w:rPr>
          <w:sz w:val="19"/>
        </w:rPr>
        <w:t>Skandinavien, vergleichbares Sozialversicherungssystem und Datenzugang</w:t>
      </w:r>
    </w:p>
    <w:p>
      <w:r>
        <w:rPr>
          <w:color w:val="5A7D3A"/>
          <w:sz w:val="18"/>
        </w:rPr>
        <w:t>https://pubmed.ncbi.nlm.nih.gov/42431705/</w:t>
      </w:r>
    </w:p>
    <w:p>
      <w:pPr>
        <w:pStyle w:val="Heading2"/>
      </w:pPr>
      <w:r>
        <w:t>Darmmikrobiota und Frailty bei älteren Frauen: schwedische Kohorte, bestätigt in China</w:t>
      </w:r>
    </w:p>
    <w:p>
      <w:r>
        <w:rPr>
          <w:i/>
          <w:color w:val="666666"/>
          <w:sz w:val="18"/>
        </w:rPr>
        <w:t>Vilar Geraldi M et al.  ·  Nat Commun  ·  08.07.2026  ·  PMID 42420265</w:t>
      </w:r>
    </w:p>
    <w:p>
      <w:r>
        <w:t>Studie analysierte Darmmetagenomik-Profile bei 2.081 schwedischen Frauen (75-80 Jahre) im Bezug auf einen entwickelten Frailty-Mortality-Index (FMI) und validierte Ergebnisse in einer chinesischen Kohorte.</w:t>
      </w:r>
    </w:p>
    <w:p>
      <w:r>
        <w:rPr>
          <w:b/>
        </w:rPr>
        <w:t xml:space="preserve">Ergebnis: </w:t>
      </w:r>
      <w:r>
        <w:t>FMI war invers assoziiert mit mikrobieller Diversität, Genreichtum und funktionaler Kapazität. 404 Bakterienarten waren signifikant mit FMI assoziiert; die meisten zeigten konsistente Assoziationen in der chinesischen Kohorte (n=1.448). Mikrobielle Signaturen waren mit Mortalität und funktioneller Einschränkung verknüpft.</w:t>
      </w:r>
    </w:p>
    <w:p>
      <w:r>
        <w:rPr>
          <w:b/>
          <w:sz w:val="19"/>
        </w:rPr>
        <w:t xml:space="preserve">Übertragbarkeit: </w:t>
      </w:r>
      <w:r>
        <w:rPr>
          <w:sz w:val="19"/>
        </w:rPr>
        <w:t>Skandinavien, ähnliche Sozialversicherung und Alterspopulation</w:t>
      </w:r>
    </w:p>
    <w:p>
      <w:r>
        <w:rPr>
          <w:color w:val="5A7D3A"/>
          <w:sz w:val="18"/>
        </w:rPr>
        <w:t>https://pubmed.ncbi.nlm.nih.gov/42420265/</w:t>
      </w:r>
    </w:p>
    <w:p>
      <w:pPr>
        <w:pStyle w:val="Heading1"/>
      </w:pPr>
      <w:r>
        <w:t>Aufgenommen am 29.08.2026</w:t>
      </w:r>
    </w:p>
    <w:p>
      <w:pPr>
        <w:pStyle w:val="Heading2"/>
      </w:pPr>
      <w:r>
        <w:t>Frailty verdoppelt Mortalität und Pflegebedarf bei hospitalisierten Älteren</w:t>
      </w:r>
    </w:p>
    <w:p>
      <w:r>
        <w:rPr>
          <w:i/>
          <w:color w:val="666666"/>
          <w:sz w:val="18"/>
        </w:rPr>
        <w:t>Kamo T et al.  ·  Geriatr Gerontol Int  ·  Sept. 2026  ·  PMID 42642794</w:t>
      </w:r>
    </w:p>
    <w:p>
      <w:r>
        <w:t>Systematische Übersicht und Metaanalyse von 57 Kohortenstudien zu Auswirkungen von Frailty auf Aktivitäten des täglichen Lebens und klinische Outcomes bei hospitalisierten älteren Erwachsenen (≥65 Jahre).</w:t>
      </w:r>
    </w:p>
    <w:p>
      <w:r>
        <w:rPr>
          <w:b/>
        </w:rPr>
        <w:t xml:space="preserve">Ergebnis: </w:t>
      </w:r>
      <w:r>
        <w:t>Frailty war assoziiert mit schlechterer ADL-Funktionsfähigkeit (SMD –1,04), höherer Mortalität (RR 2,26), niedrigerer Wahrscheinlichkeit von Entlassung nach Hause (RR 0,79) und höherem Wiederaufnahmerisiko in 30 Tagen (RR 1,47). Diese Effekte waren konsistent über Studien hinweg.</w:t>
      </w:r>
    </w:p>
    <w:p>
      <w:r>
        <w:rPr>
          <w:b/>
          <w:sz w:val="19"/>
        </w:rPr>
        <w:t xml:space="preserve">Übertragbarkeit: </w:t>
      </w:r>
      <w:r>
        <w:rPr>
          <w:sz w:val="19"/>
        </w:rPr>
        <w:t>Überwiegend anglo-amerikanische und europäische Studien; Frailty-Screening ist systemübergreifend anwendbar</w:t>
      </w:r>
    </w:p>
    <w:p>
      <w:r>
        <w:rPr>
          <w:color w:val="5A7D3A"/>
          <w:sz w:val="18"/>
        </w:rPr>
        <w:t>https://pubmed.ncbi.nlm.nih.gov/42642794/</w:t>
      </w:r>
    </w:p>
    <w:p>
      <w:pPr>
        <w:pStyle w:val="Heading2"/>
      </w:pPr>
      <w:r>
        <w:t>Plasma-Biomarker p-tau217 bei älteren Patienten: Nierenfunktion erklärt mehr Varianz als Gebrechlichkeit</w:t>
      </w:r>
    </w:p>
    <w:p>
      <w:r>
        <w:rPr>
          <w:i/>
          <w:color w:val="666666"/>
          <w:sz w:val="18"/>
        </w:rPr>
        <w:t>Goll J et al.  ·  Alzheimers Dement  ·  Aug. 2026  ·  PMID 42625502</w:t>
      </w:r>
    </w:p>
    <w:p>
      <w:r>
        <w:t>Querschnittsuntersuchung von 283 älteren Patienten (Norfrail- und Dementia-Cohort) zur Assoziation zwischen Gebrechlichkeit und Plasma-Biomarkern (p-tau217, Neurofilament-Leichte-Kette, GFAP) für Alzheimer-Pathologie.</w:t>
      </w:r>
    </w:p>
    <w:p>
      <w:r>
        <w:rPr>
          <w:b/>
        </w:rPr>
        <w:t xml:space="preserve">Ergebnis: </w:t>
      </w:r>
      <w:r>
        <w:t>Keine signifikante Assoziation zwischen p-tau217 und Gebrechlichkeit; die eGFR erklärte 27% der p-tau217-Varianz (p &lt; 0,001). Neurofilament-Leichte-Kette war einziger Biomarker signifikant mit Gebrechlichkeit assoziiert (p &lt; 0,01). Kliniker müssen Nierenfunktion bei Interpretation berücksichtigen.</w:t>
      </w:r>
    </w:p>
    <w:p>
      <w:r>
        <w:rPr>
          <w:b/>
          <w:sz w:val="19"/>
        </w:rPr>
        <w:t xml:space="preserve">Übertragbarkeit: </w:t>
      </w:r>
      <w:r>
        <w:rPr>
          <w:sz w:val="19"/>
        </w:rPr>
        <w:t>Norwegen, europäisches Gesundheitssystem; Befund zum Niereneinflusses auf Blutbiomarker ist systemunabhängig</w:t>
      </w:r>
    </w:p>
    <w:p>
      <w:r>
        <w:rPr>
          <w:color w:val="5A7D3A"/>
          <w:sz w:val="18"/>
        </w:rPr>
        <w:t>https://pubmed.ncbi.nlm.nih.gov/42625502/</w:t>
      </w:r>
    </w:p>
    <w:p>
      <w:pPr>
        <w:pStyle w:val="Heading2"/>
      </w:pPr>
      <w:r>
        <w:t>Frühe Zuckerrestriktion reduziert Krebsrisiko um 30–70% und verlangsamt biologisches Altern</w:t>
      </w:r>
    </w:p>
    <w:p>
      <w:r>
        <w:rPr>
          <w:i/>
          <w:color w:val="666666"/>
          <w:sz w:val="18"/>
        </w:rPr>
        <w:t>Zhu C et al.  ·  Proc Natl Acad Sci U S A  ·  11.08.2026  ·  PMID 42550905</w:t>
      </w:r>
    </w:p>
    <w:p>
      <w:r>
        <w:t>Kausalitätsanalyse mittels natürliches Experiment (Ende der UK-Zuckerrationierung 1953) mit 64.761 Biobank-Teilnehmern geboren 1951–1956, zur Langzeitwirkung früher Zuckerexposition auf Krebsinzidenz und biologisches Altern.</w:t>
      </w:r>
    </w:p>
    <w:p>
      <w:r>
        <w:rPr>
          <w:b/>
        </w:rPr>
        <w:t xml:space="preserve">Ergebnis: </w:t>
      </w:r>
      <w:r>
        <w:t>Geburtskohortenunter Rationierung zeigten dosisabhängig reduzierte Krebsraten: Leber (HR 0,31), Rektum (HR 0,60), Lunge (HR 0,59), Prostata (HR 0,48), Brust (HR 0,64). Mechanismen: Persistente gesündere Ernährungsgewohnheiten (verhaltoral) und längere Telomere (2,2 Jahre weniger biologisches Altern), niedrigeres Granzym B. Kausalitätsevidenzen für frühe Ernährungsprägung.</w:t>
      </w:r>
    </w:p>
    <w:p>
      <w:r>
        <w:rPr>
          <w:b/>
          <w:sz w:val="19"/>
        </w:rPr>
        <w:t xml:space="preserve">Übertragbarkeit: </w:t>
      </w:r>
      <w:r>
        <w:rPr>
          <w:sz w:val="19"/>
        </w:rPr>
        <w:t>Großbritannien, vergleichbare Geburtskohortenstruktur; Befund zu prägenden Effekten früher Ernährung fundamental, aber Realisierbarkeit in Deutschland unterschiedlich</w:t>
      </w:r>
    </w:p>
    <w:p>
      <w:r>
        <w:rPr>
          <w:color w:val="5A7D3A"/>
          <w:sz w:val="18"/>
        </w:rPr>
        <w:t>https://pubmed.ncbi.nlm.nih.gov/42550905/</w:t>
      </w:r>
    </w:p>
    <w:p>
      <w:pPr>
        <w:pStyle w:val="Heading2"/>
      </w:pPr>
      <w:r>
        <w:t>Immediate orthostatic hypotension zeigt keine Assoziation mit Stürzen und Synkopen im Alter</w:t>
      </w:r>
    </w:p>
    <w:p>
      <w:r>
        <w:rPr>
          <w:i/>
          <w:color w:val="666666"/>
          <w:sz w:val="18"/>
        </w:rPr>
        <w:t>Reddin C et al.  ·  Age Ageing  ·  02.07.2026  ·  PMID 42462204</w:t>
      </w:r>
    </w:p>
    <w:p>
      <w:r>
        <w:t>Querschnitts- und prospektive Kohortenstudie mit 4.596 älteren Erwachsenen über 8 Jahre, die die Assoziation von orthosensitiver Hypotonie (OH) und unmittelbarer OH mit Stürzen und Synkopen untersuchte.</w:t>
      </w:r>
    </w:p>
    <w:p>
      <w:r>
        <w:rPr>
          <w:b/>
        </w:rPr>
        <w:t xml:space="preserve">Ergebnis: </w:t>
      </w:r>
      <w:r>
        <w:t>Unmittelbare OH kam bei 20,7% vor und war nicht signifikant mit Stürzen/Synkopen assoziiert (OR 1,22, 95% KI 0,93–1,57); hingegen war persistente OH assoziiert (OR 1,31, 95% KI 1,04–1,66, p &lt; 0,05). Die Unterscheidung zwischen beiden Varianten ist klinisch relevant.</w:t>
      </w:r>
    </w:p>
    <w:p>
      <w:r>
        <w:rPr>
          <w:b/>
          <w:sz w:val="19"/>
        </w:rPr>
        <w:t xml:space="preserve">Übertragbarkeit: </w:t>
      </w:r>
      <w:r>
        <w:rPr>
          <w:sz w:val="19"/>
        </w:rPr>
        <w:t>Irland, vergleichbares europäisches Gesundheitssystem, bevölkerungsrepräsentative Stichprobe</w:t>
      </w:r>
    </w:p>
    <w:p>
      <w:r>
        <w:rPr>
          <w:color w:val="5A7D3A"/>
          <w:sz w:val="18"/>
        </w:rPr>
        <w:t>https://pubmed.ncbi.nlm.nih.gov/42462204/</w:t>
      </w:r>
    </w:p>
    <w:p>
      <w:pPr>
        <w:pStyle w:val="Heading2"/>
      </w:pPr>
      <w:r>
        <w:t>Gebrechlichkeit in etablierten Surveys messbar – ein Framework für nationale Monitoring in Europa</w:t>
      </w:r>
    </w:p>
    <w:p>
      <w:r>
        <w:rPr>
          <w:i/>
          <w:color w:val="666666"/>
          <w:sz w:val="18"/>
        </w:rPr>
        <w:t>Aicardi T et al.  ·  Eur J Public Health  ·  10.06.2026  ·  PMID 42452852</w:t>
      </w:r>
    </w:p>
    <w:p>
      <w:r>
        <w:t>Querschnittsstudie mit drei etablierten Frailty-Indikatoren (Tilburg, Groningen, Edmonton) in vier italienischen Bevölkerungssurveillance-Datensätzen (SHARE, EU-SILC, EHIS, AVQ).</w:t>
      </w:r>
    </w:p>
    <w:p>
      <w:r>
        <w:rPr>
          <w:b/>
        </w:rPr>
        <w:t xml:space="preserve">Ergebnis: </w:t>
      </w:r>
      <w:r>
        <w:t>Der Groningen Frailty Indicator war am replizierbaren über Surveys hinweg; die Edmonton Frail Scale zeigte stärkste Vorhersagekraft. EHIS-Daten waren optimal für Messungen geeignet. Gebrechlichkeit erklärte Gesundheitsoutcomes besser als Chronologisches Alter allein; klarer Nord-Süd-Gradient in Italien (p &lt; 0,001).</w:t>
      </w:r>
    </w:p>
    <w:p>
      <w:r>
        <w:rPr>
          <w:b/>
          <w:sz w:val="19"/>
        </w:rPr>
        <w:t xml:space="preserve">Übertragbarkeit: </w:t>
      </w:r>
      <w:r>
        <w:rPr>
          <w:sz w:val="19"/>
        </w:rPr>
        <w:t>Italien, EU-Mitgliedstaaten, vergleichbare Datensysteme mit Deutschland übertragbar</w:t>
      </w:r>
    </w:p>
    <w:p>
      <w:r>
        <w:rPr>
          <w:color w:val="5A7D3A"/>
          <w:sz w:val="18"/>
        </w:rPr>
        <w:t>https://pubmed.ncbi.nlm.nih.gov/42452852/</w:t>
      </w:r>
    </w:p>
    <w:p>
      <w:pPr>
        <w:pStyle w:val="Heading2"/>
      </w:pPr>
      <w:r>
        <w:t>Gesunde Lebensjahre regional stark abhängig von Einkommen und sozialen Faktoren</w:t>
      </w:r>
    </w:p>
    <w:p>
      <w:r>
        <w:rPr>
          <w:i/>
          <w:color w:val="666666"/>
          <w:sz w:val="18"/>
        </w:rPr>
        <w:t>Bachmann M et al.  ·  BMJ Open  ·  13.07.2026  ·  PMID 42442804</w:t>
      </w:r>
    </w:p>
    <w:p>
      <w:r>
        <w:t>Querschnittsanalyse zur Variabilität der gesunden Lebenserwartung (HLE) und Risikofaktoren in 128 kleinen geografischen Bereichen eines britischen integrierten Versorgungssystems.</w:t>
      </w:r>
    </w:p>
    <w:p>
      <w:r>
        <w:rPr>
          <w:b/>
        </w:rPr>
        <w:t xml:space="preserve">Ergebnis: </w:t>
      </w:r>
      <w:r>
        <w:t>HLE betrug durchschnittlich 66,5 Jahre (Männer, Spannweite 52–73) und 67,5 Jahre (Frauen, Spannweite 56–74). £100 höheres Wocheneinkommen war assoziiert mit 4,4 (95% KI 3,5–5,2) beziehungsweise 4,6 (95% KI 3,8–5,4) zusätzlichen HLE-Jahren. Alleinsein älterer Personen, körperliche Inaktivität und Deprivation zeigten starke Assoziationen mit niedrigerer HLE.</w:t>
      </w:r>
    </w:p>
    <w:p>
      <w:r>
        <w:rPr>
          <w:b/>
          <w:sz w:val="19"/>
        </w:rPr>
        <w:t xml:space="preserve">Übertragbarkeit: </w:t>
      </w:r>
      <w:r>
        <w:rPr>
          <w:sz w:val="19"/>
        </w:rPr>
        <w:t>Großbritannien, NHS-ähnliche Systeme; Ungleichheitsmessung direkt auf deutsche Regionen übertragbar</w:t>
      </w:r>
    </w:p>
    <w:p>
      <w:r>
        <w:rPr>
          <w:color w:val="5A7D3A"/>
          <w:sz w:val="18"/>
        </w:rPr>
        <w:t>https://pubmed.ncbi.nlm.nih.gov/42442804/</w:t>
      </w:r>
    </w:p>
    <w:p>
      <w:pPr>
        <w:pStyle w:val="Heading1"/>
      </w:pPr>
      <w:r>
        <w:t>Aufgenommen am 28.08.2026</w:t>
      </w:r>
    </w:p>
    <w:p>
      <w:pPr>
        <w:pStyle w:val="Heading2"/>
      </w:pPr>
      <w:r>
        <w:t>Territoriale Ungleichheiten von Gebrechlichkeit und Langlebigkeit in Italien</w:t>
      </w:r>
    </w:p>
    <w:p>
      <w:r>
        <w:rPr>
          <w:i/>
          <w:color w:val="666666"/>
          <w:sz w:val="18"/>
        </w:rPr>
        <w:t>Maccheroni C et al.  ·  Int J Environ Res Public Health  ·  23.07.2026  ·  PMID 42652263</w:t>
      </w:r>
    </w:p>
    <w:p>
      <w:r>
        <w:t>Analyse der geografischen Verteilung von Frailty, funktionalen Einschränkungen und Anspruch auf öffentliche Unterstützung in 21 italienischen Regionen auf Basis von Istat-, Eurostat- und INPS-Daten.</w:t>
      </w:r>
    </w:p>
    <w:p>
      <w:r>
        <w:rPr>
          <w:b/>
        </w:rPr>
        <w:t xml:space="preserve">Ergebnis: </w:t>
      </w:r>
      <w:r>
        <w:t>Italien zeigt hohe Lebenserwartung (Frauen 85,4, Männer 81,4 Jahre), aber gesunde Lebensjahre von nur 69,6 bzw. 68,5 Jahren. Der Süden und die Inseln weisen deutlich höhere Frailty-Prävalenz, mehr funktionale Einschränkungen und höhere Ansprüche auf öffentliche Hilfe auf als Zentrum-Nord. Frauen erleben längere Leben mit mehr Behinderung und Abhängigkeit.</w:t>
      </w:r>
    </w:p>
    <w:p>
      <w:r>
        <w:rPr>
          <w:b/>
          <w:sz w:val="19"/>
        </w:rPr>
        <w:t xml:space="preserve">Übertragbarkeit: </w:t>
      </w:r>
      <w:r>
        <w:rPr>
          <w:sz w:val="19"/>
        </w:rPr>
        <w:t>Italien, vollständige nationale Registeranalyse, europäisches Wohlfahrtssystem</w:t>
      </w:r>
    </w:p>
    <w:p>
      <w:r>
        <w:rPr>
          <w:color w:val="5A7D3A"/>
          <w:sz w:val="18"/>
        </w:rPr>
        <w:t>https://pubmed.ncbi.nlm.nih.gov/42652263/</w:t>
      </w:r>
    </w:p>
    <w:p>
      <w:pPr>
        <w:pStyle w:val="Heading2"/>
      </w:pPr>
      <w:r>
        <w:t>Kognitive Frailty bei älteren Herzinsuffizienzpatienten: systematische Übersicht</w:t>
      </w:r>
    </w:p>
    <w:p>
      <w:r>
        <w:rPr>
          <w:i/>
          <w:color w:val="666666"/>
          <w:sz w:val="18"/>
        </w:rPr>
        <w:t>Cheng M et al.  ·  Front Public Health  ·  11.08.2026  ·  PMID 42644078</w:t>
      </w:r>
    </w:p>
    <w:p>
      <w:r>
        <w:t>Systematische Übersicht und Metaanalyse von 22 Kohortenstudien (8.892 Patienten ≥65 Jahre mit Herzinsuffizienz) zur Prävalenz und Faktoren kognitiver Frailty.</w:t>
      </w:r>
    </w:p>
    <w:p>
      <w:r>
        <w:rPr>
          <w:b/>
        </w:rPr>
        <w:t xml:space="preserve">Ergebnis: </w:t>
      </w:r>
      <w:r>
        <w:t>Gepoolte Prävalenz kognitiver Frailty: 32 % (95%-KI 27–37 %). Bei Frauen 37 %, bei Männern 31 %. Nach NYHA-Klassifikation bei Klasse IV 44 %, Klasse II–III 28 %. Mit COPD-Komorbidität 46 %. Höheres Alter (bereinigt OR 1,12, 95%-KI 1,06–1,18) und Depression assoziiert mit höheren Odds; körperliche Aktivität und intellektuelle Aktivität mit niedrigeren Odds.</w:t>
      </w:r>
    </w:p>
    <w:p>
      <w:r>
        <w:rPr>
          <w:b/>
          <w:sz w:val="19"/>
        </w:rPr>
        <w:t xml:space="preserve">Übertragbarkeit: </w:t>
      </w:r>
      <w:r>
        <w:rPr>
          <w:sz w:val="19"/>
        </w:rPr>
        <w:t>Mehrländerstudie, überwiegend observativ, Versorgungsrelevanz für Herzinsuffizienz</w:t>
      </w:r>
    </w:p>
    <w:p>
      <w:r>
        <w:rPr>
          <w:color w:val="5A7D3A"/>
          <w:sz w:val="18"/>
        </w:rPr>
        <w:t>https://pubmed.ncbi.nlm.nih.gov/42644078/</w:t>
      </w:r>
    </w:p>
    <w:p>
      <w:pPr>
        <w:pStyle w:val="Heading2"/>
      </w:pPr>
      <w:r>
        <w:t>Erhöhte Arbeitsunfälle durch verzögerte Pensionierung im Alter</w:t>
      </w:r>
    </w:p>
    <w:p>
      <w:r>
        <w:rPr>
          <w:i/>
          <w:color w:val="666666"/>
          <w:sz w:val="18"/>
        </w:rPr>
        <w:t>Ardito C et al.  ·  Econ Hum Biol  ·  10.08.2026  ·  PMID 42617339</w:t>
      </w:r>
    </w:p>
    <w:p>
      <w:r>
        <w:t>Evaluation des Effekts der italienischen Rentenreform 2012 (Erhöhung der Anspruchsaltersgrenze) auf Arbeitsunfallrisiken bei älteren Erwerbstätigen mittels administrativer Daten aus der Privatwirtschaft.</w:t>
      </w:r>
    </w:p>
    <w:p>
      <w:r>
        <w:rPr>
          <w:b/>
        </w:rPr>
        <w:t xml:space="preserve">Ergebnis: </w:t>
      </w:r>
      <w:r>
        <w:t>Verzögerte Pensionierung führte zu statistisch signifikantem Anstieg krankheitsbedingter Abwesenheit durch Arbeitsunfälle um 2,6 % gegenüber dem Ausgangswert. Der Effekt konzentriert sich auf Kleinbetriebe (unter 15 Angestellten) und körperlich oder kognitiv fordernde Sektoren wie Fertigung. Kein Spillover-Effekt auf Arbeitskollegen.</w:t>
      </w:r>
    </w:p>
    <w:p>
      <w:r>
        <w:rPr>
          <w:b/>
          <w:sz w:val="19"/>
        </w:rPr>
        <w:t xml:space="preserve">Übertragbarkeit: </w:t>
      </w:r>
      <w:r>
        <w:rPr>
          <w:sz w:val="19"/>
        </w:rPr>
        <w:t>Italien, administrative Privatwirtschaftsdaten, vergleichbare Sozialversicherungssysteme</w:t>
      </w:r>
    </w:p>
    <w:p>
      <w:r>
        <w:rPr>
          <w:color w:val="5A7D3A"/>
          <w:sz w:val="18"/>
        </w:rPr>
        <w:t>https://pubmed.ncbi.nlm.nih.gov/42617339/</w:t>
      </w:r>
    </w:p>
    <w:p>
      <w:pPr>
        <w:pStyle w:val="Heading2"/>
      </w:pPr>
      <w:r>
        <w:t>Lebenserwartung und Gesundheitslebensjahre von Migranten in England und Wales</w:t>
      </w:r>
    </w:p>
    <w:p>
      <w:r>
        <w:rPr>
          <w:i/>
          <w:color w:val="666666"/>
          <w:sz w:val="18"/>
        </w:rPr>
        <w:t>Harrison J et al.  ·  PLoS One  ·  19.08.2026  ·  PMID 42616754</w:t>
      </w:r>
    </w:p>
    <w:p>
      <w:r>
        <w:t>Vergleich der Lebenserwartung und behinderungsfreien Lebensjahre bei 37 Ländern von Geburtsort in England und Wales über drei Zeitpunkte (2000–02, 2010–12, 2020–22) mittels Lebenstafeln und Sullivan-Methode.</w:t>
      </w:r>
    </w:p>
    <w:p>
      <w:r>
        <w:rPr>
          <w:b/>
        </w:rPr>
        <w:t xml:space="preserve">Ergebnis: </w:t>
      </w:r>
      <w:r>
        <w:t>Heterogene Muster: Die meisten Migrantengruppen zeigten höhere Lebenserwartung und behinderungsfreie Lebensjahre als in England und Wales geborene; einige der größten Migrantengruppen (Schottland, Irland, Polen, Litauen) zeigten niedrigere Lebenserwartung und höhere Behinderungslasten. Frauen aus Pakistan und Bangladesch lebten länger, aber mit mehr Behinderung.</w:t>
      </w:r>
    </w:p>
    <w:p>
      <w:r>
        <w:rPr>
          <w:b/>
          <w:sz w:val="19"/>
        </w:rPr>
        <w:t xml:space="preserve">Übertragbarkeit: </w:t>
      </w:r>
      <w:r>
        <w:rPr>
          <w:sz w:val="19"/>
        </w:rPr>
        <w:t>Großbritannien, nationale Zensus- und Mortalitätsdaten, vergleichbares Versicherungssystem</w:t>
      </w:r>
    </w:p>
    <w:p>
      <w:r>
        <w:rPr>
          <w:color w:val="5A7D3A"/>
          <w:sz w:val="18"/>
        </w:rPr>
        <w:t>https://pubmed.ncbi.nlm.nih.gov/42616754/</w:t>
      </w:r>
    </w:p>
    <w:p>
      <w:pPr>
        <w:pStyle w:val="Heading2"/>
      </w:pPr>
      <w:r>
        <w:t>Milde Bewegungstremor korreliert mit kognitiver Beeinträchtigung im Alter</w:t>
      </w:r>
    </w:p>
    <w:p>
      <w:r>
        <w:rPr>
          <w:i/>
          <w:color w:val="666666"/>
          <w:sz w:val="18"/>
        </w:rPr>
        <w:t>Kuhlenbäumer G et al.  ·  J Neurol  ·  11.08.2026  ·  PMID 42581283</w:t>
      </w:r>
    </w:p>
    <w:p>
      <w:r>
        <w:t>Querschnittsanalyse der KORA-Age-Studie (65–93 Jahre) zur Assoziation zwischen Tremorschweregrad (Archimedes-Spiral-Rating) und kognitiver Leistung (TICS-m) unter Verwendung multivariater Regression.</w:t>
      </w:r>
    </w:p>
    <w:p>
      <w:r>
        <w:rPr>
          <w:b/>
        </w:rPr>
        <w:t xml:space="preserve">Ergebnis: </w:t>
      </w:r>
      <w:r>
        <w:t>Tremorschweregrad war unabhängig mit kognitiver Leistung assoziiert. Im finalen Modell waren wichtigste Prädiktoren: Alter, Geschlecht, Parkinson-Score, Frailty und Tremor. Sensitivitätsanalysen unter Ausschluss wahrscheinlich pathologischer Tremoren attenuierten die Assoziation nicht. Altersbedingte Hirnveränderungen könnten gemeinsame Ursache sein.</w:t>
      </w:r>
    </w:p>
    <w:p>
      <w:r>
        <w:rPr>
          <w:b/>
          <w:sz w:val="19"/>
        </w:rPr>
        <w:t xml:space="preserve">Übertragbarkeit: </w:t>
      </w:r>
      <w:r>
        <w:rPr>
          <w:sz w:val="19"/>
        </w:rPr>
        <w:t>Deutschland, KORA-Bevölkerungskohort, nationale Datengrundlage</w:t>
      </w:r>
    </w:p>
    <w:p>
      <w:r>
        <w:rPr>
          <w:color w:val="5A7D3A"/>
          <w:sz w:val="18"/>
        </w:rPr>
        <w:t>https://pubmed.ncbi.nlm.nih.gov/42581283/</w:t>
      </w:r>
    </w:p>
    <w:p>
      <w:pPr>
        <w:pStyle w:val="Heading2"/>
      </w:pPr>
      <w:r>
        <w:t>Geriatrische Rehabilitation verbessert Funktionalität bei Mangelernährungsrisiko</w:t>
      </w:r>
    </w:p>
    <w:p>
      <w:r>
        <w:rPr>
          <w:i/>
          <w:color w:val="666666"/>
          <w:sz w:val="18"/>
        </w:rPr>
        <w:t>Runikhina NK et al.  ·  Adv Gerontol  ·  2026  ·  PMID 42502926</w:t>
      </w:r>
    </w:p>
    <w:p>
      <w:r>
        <w:t>Evaluierung von 21-Tage-Rehabilitationsprogrammen bei 482 älteren Patienten (60+ Jahre) mit (96, 19,9 %) und ohne Mangelernährungsrisiko durch umfassende geriatrische Bewertung vor und nach Intervention.</w:t>
      </w:r>
    </w:p>
    <w:p>
      <w:r>
        <w:rPr>
          <w:b/>
        </w:rPr>
        <w:t xml:space="preserve">Ergebnis: </w:t>
      </w:r>
      <w:r>
        <w:t>Beide Gruppen verbesserten sich signifikant in Funktionalität, kognitiver Leistung und Schmerz/Schlaf/Depression. Patienten mit Mangelernährungsrisiko waren älter (80,3 vs. 78,2 Jahre), hatten mehr Frailty (52,1 % vs. 30,9 %), mehr Stürze (36,8 % vs. 25,3 %) und Depression (40,6 % vs. 20,8 %). Diese Gruppe zeigte deutlich größere Verbesserungen in basaler und instrumenteller Funktionalität.</w:t>
      </w:r>
    </w:p>
    <w:p>
      <w:r>
        <w:rPr>
          <w:b/>
          <w:sz w:val="19"/>
        </w:rPr>
        <w:t xml:space="preserve">Übertragbarkeit: </w:t>
      </w:r>
      <w:r>
        <w:rPr>
          <w:sz w:val="19"/>
        </w:rPr>
        <w:t>Russland, Pirogov-Universitätsklinik, europäischer Gesundheitsauftrag vergleichbar</w:t>
      </w:r>
    </w:p>
    <w:p>
      <w:r>
        <w:rPr>
          <w:color w:val="5A7D3A"/>
          <w:sz w:val="18"/>
        </w:rPr>
        <w:t>https://pubmed.ncbi.nlm.nih.gov/42502926/</w:t>
      </w:r>
    </w:p>
    <w:p>
      <w:pPr>
        <w:pStyle w:val="Heading1"/>
      </w:pPr>
      <w:r>
        <w:t>Aufgenommen am 27.08.2026</w:t>
      </w:r>
    </w:p>
    <w:p>
      <w:pPr>
        <w:pStyle w:val="Heading2"/>
      </w:pPr>
      <w:r>
        <w:t>Verzögerte Sterblichkeit und Multimorbiditätsaufbau bei Nachkommen von Hundertjährigen</w:t>
      </w:r>
    </w:p>
    <w:p>
      <w:r>
        <w:rPr>
          <w:i/>
          <w:color w:val="666666"/>
          <w:sz w:val="18"/>
        </w:rPr>
        <w:t>Reed ER et al.  ·  JAMA Netw Open  ·  03.08.2026  ·  PMID 42646838</w:t>
      </w:r>
    </w:p>
    <w:p>
      <w:r>
        <w:t>Studie an drei unabhängigen Kohorten (LonGenity, NECS, UK Biobank) verglich Sterblichkeit und Erkrankungsbeginn bei Nachkommen von Hundertjährigen (≥100 Jahre) mit Kontrollpersonen.</w:t>
      </w:r>
    </w:p>
    <w:p>
      <w:r>
        <w:rPr>
          <w:b/>
        </w:rPr>
        <w:t xml:space="preserve">Ergebnis: </w:t>
      </w:r>
      <w:r>
        <w:t>Hundertjährige-Nachkommen zeigten reduzierte Mortalität (HR 0,58; 95%-KI 0,41–0,81), verzögerter Beginn von Herzerkrankungen (HR 0,67) und Hypertonie (HR 0,68; Verzögerung 5,21 Jahre). Der Effekt ist konsistent über drei Länder und zeigt, dass Longevität familial transmittiert wird.</w:t>
      </w:r>
    </w:p>
    <w:p>
      <w:r>
        <w:rPr>
          <w:b/>
          <w:sz w:val="19"/>
        </w:rPr>
        <w:t xml:space="preserve">Übertragbarkeit: </w:t>
      </w:r>
      <w:r>
        <w:rPr>
          <w:sz w:val="19"/>
        </w:rPr>
        <w:t>USA und Großbritannien; Generalisierbarkeit durch multiple Länder hoch</w:t>
      </w:r>
    </w:p>
    <w:p>
      <w:r>
        <w:rPr>
          <w:color w:val="5A7D3A"/>
          <w:sz w:val="18"/>
        </w:rPr>
        <w:t>https://pubmed.ncbi.nlm.nih.gov/42646838/</w:t>
      </w:r>
    </w:p>
    <w:p>
      <w:pPr>
        <w:pStyle w:val="Heading2"/>
      </w:pPr>
      <w:r>
        <w:t>Gebrechlichkeit und periphere Schwindel-Inzidenz: Dosis-Wirkungs-Befund in UK Biobank</w:t>
      </w:r>
    </w:p>
    <w:p>
      <w:r>
        <w:rPr>
          <w:i/>
          <w:color w:val="666666"/>
          <w:sz w:val="18"/>
        </w:rPr>
        <w:t>Zhai Z et al.  ·  Front Neurol  ·  11.08.2026  ·  PMID 42643260</w:t>
      </w:r>
    </w:p>
    <w:p>
      <w:r>
        <w:t>489266 UK-Biobank-Teilnehmer wurden auf Assoziationen zwischen Frailty-Status (Fried-Phänotyp) und Inzidenz von Schwindel (Vertigo) über 13,2 Jahre Nachverfolgung untersucht.</w:t>
      </w:r>
    </w:p>
    <w:p>
      <w:r>
        <w:rPr>
          <w:b/>
        </w:rPr>
        <w:t xml:space="preserve">Ergebnis: </w:t>
      </w:r>
      <w:r>
        <w:t>Präfrailty (HR 1,36; 95%-KI 1,26–1,48) und Frailty (HR 2,05; 95%-KI 1,77–2,37) waren unabhängig mit erhöhtem Schwindel-Risiko assoziiert. Linearer Dosis-Wirkungs-Trend: jeder Punkt Frailty-Score erhöhte Risiko um 24% (95%-KI 19–29%). Effekt stärker bei Frauen.</w:t>
      </w:r>
    </w:p>
    <w:p>
      <w:r>
        <w:rPr>
          <w:b/>
          <w:sz w:val="19"/>
        </w:rPr>
        <w:t xml:space="preserve">Übertragbarkeit: </w:t>
      </w:r>
      <w:r>
        <w:rPr>
          <w:sz w:val="19"/>
        </w:rPr>
        <w:t>UK Biobank, vergleichbare Dokumentation; relevanter Befund für Sturzrisiko-Assessment</w:t>
      </w:r>
    </w:p>
    <w:p>
      <w:r>
        <w:rPr>
          <w:color w:val="5A7D3A"/>
          <w:sz w:val="18"/>
        </w:rPr>
        <w:t>https://pubmed.ncbi.nlm.nih.gov/42643260/</w:t>
      </w:r>
    </w:p>
    <w:p>
      <w:pPr>
        <w:pStyle w:val="Heading2"/>
      </w:pPr>
      <w:r>
        <w:t>Mobiltelefonnutzung und körperliche Gebrechlichkeit: temporale Querschnittsanalyse ohne kausale Assoziation</w:t>
      </w:r>
    </w:p>
    <w:p>
      <w:r>
        <w:rPr>
          <w:i/>
          <w:color w:val="666666"/>
          <w:sz w:val="18"/>
        </w:rPr>
        <w:t>Kong S et al.  ·  Front Public Health  ·  10.08.2026  ·  PMID 42638665</w:t>
      </w:r>
    </w:p>
    <w:p>
      <w:r>
        <w:t>5533 Personen der UK Biobank (40–70 Jahre) wurden über drei Wellen auf zeitliche Beziehungen zwischen wöchentlicher Telefonanrufdauer und vier Dimensionen von Frailty untersucht.</w:t>
      </w:r>
    </w:p>
    <w:p>
      <w:r>
        <w:rPr>
          <w:b/>
        </w:rPr>
        <w:t xml:space="preserve">Ergebnis: </w:t>
      </w:r>
      <w:r>
        <w:t>Nach Korrektur für multiples Testen (FDR) zeigten sich nur zwei schwache, intermittierende Assoziationen: psychische Frailty T1→Telefonzeit T2 (β 0,086, p_FDR 0,048) und soziale Frailty T2→Telefonzeit T3 (β 0,078, p_FDR 0,033). Keine robusten bidirektionalen Effekte.</w:t>
      </w:r>
    </w:p>
    <w:p>
      <w:r>
        <w:rPr>
          <w:b/>
          <w:sz w:val="19"/>
        </w:rPr>
        <w:t xml:space="preserve">Übertragbarkeit: </w:t>
      </w:r>
      <w:r>
        <w:rPr>
          <w:sz w:val="19"/>
        </w:rPr>
        <w:t>UK Biobank, aber Ergebnis negativ (keine Effekt); Übertragbarkeit für Aussage 'kein Zusammenhang' gegeben</w:t>
      </w:r>
    </w:p>
    <w:p>
      <w:r>
        <w:rPr>
          <w:color w:val="5A7D3A"/>
          <w:sz w:val="18"/>
        </w:rPr>
        <w:t>https://pubmed.ncbi.nlm.nih.gov/42638665/</w:t>
      </w:r>
    </w:p>
    <w:p>
      <w:pPr>
        <w:pStyle w:val="Heading2"/>
      </w:pPr>
      <w:r>
        <w:t>Impfbotschaften im Fokus "gesundes Altern" erhöhen Impfintention bei älteren Erwachsenen</w:t>
      </w:r>
    </w:p>
    <w:p>
      <w:r>
        <w:rPr>
          <w:i/>
          <w:color w:val="666666"/>
          <w:sz w:val="18"/>
        </w:rPr>
        <w:t>Addario A et al.  ·  Vaccine  ·  17.09.2026  ·  PMID 42594637</w:t>
      </w:r>
    </w:p>
    <w:p>
      <w:r>
        <w:t>Querschnittsumfrage bei 2416 Personen ≥60 Jahren in Frankreich zu Effektivität von Impfbotschaften unter Einsatz von Social Marketing; drei Verhaltensadhärenz-Profile.</w:t>
      </w:r>
    </w:p>
    <w:p>
      <w:r>
        <w:rPr>
          <w:b/>
        </w:rPr>
        <w:t xml:space="preserve">Ergebnis: </w:t>
      </w:r>
      <w:r>
        <w:t>Zustimmung zu 'Impfung trägt zu gesundem Altern bei' stieg von 3% (niedrige Adhärenz) auf 56% (mittlere) und 78% (hohe). Botschaften zu Schlaganfall- und Herzinfarktreduktion zeigten höchste Impfabsicht (69% und 67% in hoher-Adhärenz-Gruppe). Vertrauenswürdige Gesundheitsfachleute waren Informationsquelle Nr. 1 (93–95%). Impfgutscheine: 57% (mittlere) bis 81% (hohe Adhärenz) würden sich impfen lassen.</w:t>
      </w:r>
    </w:p>
    <w:p>
      <w:r>
        <w:rPr>
          <w:b/>
          <w:sz w:val="19"/>
        </w:rPr>
        <w:t xml:space="preserve">Übertragbarkeit: </w:t>
      </w:r>
      <w:r>
        <w:rPr>
          <w:sz w:val="19"/>
        </w:rPr>
        <w:t>Frankreich, europäisches Gesundheitssystem; Transfer für Kommunikationsstrategie hoch</w:t>
      </w:r>
    </w:p>
    <w:p>
      <w:r>
        <w:rPr>
          <w:color w:val="5A7D3A"/>
          <w:sz w:val="18"/>
        </w:rPr>
        <w:t>https://pubmed.ncbi.nlm.nih.gov/42594637/</w:t>
      </w:r>
    </w:p>
    <w:p>
      <w:pPr>
        <w:pStyle w:val="Heading2"/>
      </w:pPr>
      <w:r>
        <w:t>Chair-Stand-Test als Mortalitätsprädiktor bei hochfunktionalen älteren Erwachsenen</w:t>
      </w:r>
    </w:p>
    <w:p>
      <w:r>
        <w:rPr>
          <w:i/>
          <w:color w:val="666666"/>
          <w:sz w:val="18"/>
        </w:rPr>
        <w:t>Máximo RO et al.  ·  Maturitas  ·  04.08.2026  ·  PMID 42570528</w:t>
      </w:r>
    </w:p>
    <w:p>
      <w:r>
        <w:t>2747 hochfunktionale ältere Erwachsene (Gehgeschwindigkeit &gt;0,8 oder &gt;1,0 m/s) der English Longitudinal Study of Ageing wurden 15 Jahre lang verfolgt; Mortalität nach Chair Stand Test und SPPB verglichen.</w:t>
      </w:r>
    </w:p>
    <w:p>
      <w:r>
        <w:rPr>
          <w:b/>
        </w:rPr>
        <w:t xml:space="preserve">Ergebnis: </w:t>
      </w:r>
      <w:r>
        <w:t>Mortalitätsraten: CST &gt;15 s: 41,4 pro 1000 Personenjahre vs. ≤15 s: 21,9. HR für CST &gt;15 s: 1,36 (95%-KI 1,13–1,62); für SPPB ≤10: HR 1,31 (95%-KI 1,12–1,54). Bei Gehgeschwindigkeit &gt;1,0 m/s: CST-HR 1,75 (95%-KI 1,30–2,36). CST ist einfacher anwendbar.</w:t>
      </w:r>
    </w:p>
    <w:p>
      <w:r>
        <w:rPr>
          <w:b/>
          <w:sz w:val="19"/>
        </w:rPr>
        <w:t xml:space="preserve">Übertragbarkeit: </w:t>
      </w:r>
      <w:r>
        <w:rPr>
          <w:sz w:val="19"/>
        </w:rPr>
        <w:t>England, vergleichbare Klinikpopulationen; schnelles, praktisches Test-Screening</w:t>
      </w:r>
    </w:p>
    <w:p>
      <w:r>
        <w:rPr>
          <w:color w:val="5A7D3A"/>
          <w:sz w:val="18"/>
        </w:rPr>
        <w:t>https://pubmed.ncbi.nlm.nih.gov/42570528/</w:t>
      </w:r>
    </w:p>
    <w:p>
      <w:pPr>
        <w:pStyle w:val="Heading2"/>
      </w:pPr>
      <w:r>
        <w:t>Renteneintritt und psychische Gesundheit: Kurzfristig besser, langfristig Erholung begrenzt</w:t>
      </w:r>
    </w:p>
    <w:p>
      <w:r>
        <w:rPr>
          <w:i/>
          <w:color w:val="666666"/>
          <w:sz w:val="18"/>
        </w:rPr>
        <w:t>Maddock J et al.  ·  Epidemiol Psychiatr Sci  ·  05.08.2026  ·  PMID 42552948</w:t>
      </w:r>
    </w:p>
    <w:p>
      <w:r>
        <w:t>Multilevel und instrumentale Variable Analyse bei 10698 Personen (48815 Beobachtungen) aus Survey of Health, Ageing and Retirement in Europe über 20 Jahre (10 Länder); Renteneintritt und Depressivität (EURO-D-Skala).</w:t>
      </w:r>
    </w:p>
    <w:p>
      <w:r>
        <w:rPr>
          <w:b/>
        </w:rPr>
        <w:t xml:space="preserve">Ergebnis: </w:t>
      </w:r>
      <w:r>
        <w:t>Spline-Modelle: minimal Veränderung vor Rente. Bei Renteneintritt leichte EURO-D-Reduktion (–0,07 Punkte/Jahr; 95%-KI –0,13 bis –0,0003), dann ab 2 Jahre post-Rente Anstieg (0,09/Jahr; 95%-KI 0,02–0,16). IV-Analyse: Rente assoziiert mit weniger Depressionssymptomen (–0,26; 95%-KI –0,45 bis –0,07). Alleinstehende berichteten höhere Depressivität, aber Wohnstatus moderierte Effekt nicht.</w:t>
      </w:r>
    </w:p>
    <w:p>
      <w:r>
        <w:rPr>
          <w:b/>
          <w:sz w:val="19"/>
        </w:rPr>
        <w:t xml:space="preserve">Übertragbarkeit: </w:t>
      </w:r>
      <w:r>
        <w:rPr>
          <w:sz w:val="19"/>
        </w:rPr>
        <w:t>10 europäische Länder, vergleichbare Rentensysteme; Evidenz für deutsche Sozialversicherung relevant</w:t>
      </w:r>
    </w:p>
    <w:p>
      <w:r>
        <w:rPr>
          <w:color w:val="5A7D3A"/>
          <w:sz w:val="18"/>
        </w:rPr>
        <w:t>https://pubmed.ncbi.nlm.nih.gov/42552948/</w:t>
      </w:r>
    </w:p>
    <w:p>
      <w:pPr>
        <w:pStyle w:val="Heading2"/>
      </w:pPr>
      <w:r>
        <w:t>Sexuelle Gesundheit älterer Menschen in Hausarztpraxen: Barrieren und Handlungsempfehlungen</w:t>
      </w:r>
    </w:p>
    <w:p>
      <w:r>
        <w:rPr>
          <w:i/>
          <w:color w:val="666666"/>
          <w:sz w:val="18"/>
        </w:rPr>
        <w:t>Kocurkova A et al.  ·  Age Ageing  ·  02.07.2026  ·  PMID 42506889</w:t>
      </w:r>
    </w:p>
    <w:p>
      <w:r>
        <w:t>Qualitative Studie (16 halbstrukturierte Interviews) mit NHS-Hausarztfachkräften in England zur Erfahrung bei Gesprächen über Sexualität mit älteren Patienten.</w:t>
      </w:r>
    </w:p>
    <w:p>
      <w:r>
        <w:rPr>
          <w:b/>
        </w:rPr>
        <w:t xml:space="preserve">Ergebnis: </w:t>
      </w:r>
      <w:r>
        <w:t>Drei Hauptthemen identifiziert: (1) Unbewusste Annahmen, Fachleute-Unbehagen und Zeitmangel begrenzen Diskussionen; (2) körperliche Symptome sind 'natürliche Öffner', Gespräche bleiben aber medizinisch-fokussiert; (3) minimale Nutzung von Leitlinien, stattdessen Intuition/Erfahrung. Fachkräfte fordern klare, prägnante, psychologisch informierte Werkzeuge und Training. Sexuelle Gesundheit wird nicht als Qualitätsaspekt im Alter normalisiert.</w:t>
      </w:r>
    </w:p>
    <w:p>
      <w:r>
        <w:rPr>
          <w:b/>
          <w:sz w:val="19"/>
        </w:rPr>
        <w:t xml:space="preserve">Übertragbarkeit: </w:t>
      </w:r>
      <w:r>
        <w:rPr>
          <w:sz w:val="19"/>
        </w:rPr>
        <w:t>England, NHS-Setting; Befunde zu Versorgungspraxen direkt übertragbar</w:t>
      </w:r>
    </w:p>
    <w:p>
      <w:r>
        <w:rPr>
          <w:color w:val="5A7D3A"/>
          <w:sz w:val="18"/>
        </w:rPr>
        <w:t>https://pubmed.ncbi.nlm.nih.gov/42506889/</w:t>
      </w:r>
    </w:p>
    <w:p>
      <w:pPr>
        <w:pStyle w:val="Heading1"/>
      </w:pPr>
      <w:r>
        <w:t>Aufgenommen am 26.08.2026</w:t>
      </w:r>
    </w:p>
    <w:p>
      <w:pPr>
        <w:pStyle w:val="Heading2"/>
      </w:pPr>
      <w:r>
        <w:t>Geriatrisches Assessment senkt Aufenthaltsdauer bei älteren Krankenhauspatienten</w:t>
      </w:r>
    </w:p>
    <w:p>
      <w:r>
        <w:rPr>
          <w:i/>
          <w:color w:val="666666"/>
          <w:sz w:val="18"/>
        </w:rPr>
        <w:t>Ahmed R et al.  ·  Ir Med J  ·  20.08.2026  ·  PMID 42640196</w:t>
      </w:r>
    </w:p>
    <w:p>
      <w:r>
        <w:t>Evaluierung eines neu eingeführten spezialistischen Geriatrie-Service mit Comprehensive Geriatric Assessment (CGA) in einem irischen Privatspital bei Patienten ab 75 Jahren.</w:t>
      </w:r>
    </w:p>
    <w:p>
      <w:r>
        <w:rPr>
          <w:b/>
        </w:rPr>
        <w:t xml:space="preserve">Ergebnis: </w:t>
      </w:r>
      <w:r>
        <w:t>84% der Patienten (42/50) wurden innerhalb von 48 Stunden geriatrisch untersucht (Median 29 Stunden). Multidisziplinäres Team-Engagement stieg von 45% auf 70%, Aufenthaltsdauer sank um 22% (von 8,7 auf 6,8 Tage), 66% wurden direkt nach Hause entlassen, 30-Tage-Wiederaufnahmen 10%.</w:t>
      </w:r>
    </w:p>
    <w:p>
      <w:r>
        <w:rPr>
          <w:b/>
          <w:sz w:val="19"/>
        </w:rPr>
        <w:t xml:space="preserve">Übertragbarkeit: </w:t>
      </w:r>
      <w:r>
        <w:rPr>
          <w:sz w:val="19"/>
        </w:rPr>
        <w:t>Irland, vergleichbare europäische Privatklinik-Strukturen, HSE-Qualitätsstandards</w:t>
      </w:r>
    </w:p>
    <w:p>
      <w:r>
        <w:rPr>
          <w:color w:val="5A7D3A"/>
          <w:sz w:val="18"/>
        </w:rPr>
        <w:t>https://pubmed.ncbi.nlm.nih.gov/42640196/</w:t>
      </w:r>
    </w:p>
    <w:p>
      <w:pPr>
        <w:pStyle w:val="Heading1"/>
      </w:pPr>
      <w:r>
        <w:t>Aufgenommen am 25.08.2026</w:t>
      </w:r>
    </w:p>
    <w:p>
      <w:pPr>
        <w:pStyle w:val="Heading2"/>
      </w:pPr>
      <w:r>
        <w:t>Langzeitverläufe der intrinsischen Kapazität vorhersagen Pflegeheimaufnahme und Mortalität</w:t>
      </w:r>
    </w:p>
    <w:p>
      <w:r>
        <w:rPr>
          <w:i/>
          <w:color w:val="666666"/>
          <w:sz w:val="18"/>
        </w:rPr>
        <w:t>Egbujie BA et al.  ·  Age Ageing  ·  03.08.2026  ·  PMID 42632919</w:t>
      </w:r>
    </w:p>
    <w:p>
      <w:r>
        <w:t>Kanadische Populationsstudie zu Längsmustern der intrinsischen Kapazität (Mobilität, Vitalität, Kognition, Psychisches, Sensorik) bei 302.467 Patienten häuslicher Pflege und Vorhersage von Outcomes.</w:t>
      </w:r>
    </w:p>
    <w:p>
      <w:r>
        <w:rPr>
          <w:b/>
        </w:rPr>
        <w:t xml:space="preserve">Ergebnis: </w:t>
      </w:r>
      <w:r>
        <w:t>Fünf distinkte Trajektorienmuster identifiziert; kognitive Beeinträchtigung war mit ungünstigen Trajectories assoziiert. Wichtig: Baseline-Kapazität allein war prognostisch unzureichend. Personen mit mäßiger Baseline-Kapazität zeigten höhere LTC-Einweisung als Personen mit niedriger Kapazität, die sich verbesserten (48,4 % vs. 38,1 %).</w:t>
      </w:r>
    </w:p>
    <w:p>
      <w:r>
        <w:rPr>
          <w:b/>
          <w:sz w:val="19"/>
        </w:rPr>
        <w:t xml:space="preserve">Übertragbarkeit: </w:t>
      </w:r>
      <w:r>
        <w:rPr>
          <w:sz w:val="19"/>
        </w:rPr>
        <w:t>Kanada, interRAI Home Care Routinedaten, Ansatz auf deutsches Assessment übertragbar.</w:t>
      </w:r>
    </w:p>
    <w:p>
      <w:r>
        <w:rPr>
          <w:color w:val="5A7D3A"/>
          <w:sz w:val="18"/>
        </w:rPr>
        <w:t>https://pubmed.ncbi.nlm.nih.gov/42632919/</w:t>
      </w:r>
    </w:p>
    <w:p>
      <w:pPr>
        <w:pStyle w:val="Heading2"/>
      </w:pPr>
      <w:r>
        <w:t>Gemeinsamer Gedächtnis- und Kognitionsverfall erhöht Risiko für Funktionsabhängigkeit im Alter</w:t>
      </w:r>
    </w:p>
    <w:p>
      <w:r>
        <w:rPr>
          <w:i/>
          <w:color w:val="666666"/>
          <w:sz w:val="18"/>
        </w:rPr>
        <w:t>Yin X et al.  ·  Alzheimers Dement  ·  Aug. 2026  ·  PMID 42630086</w:t>
      </w:r>
    </w:p>
    <w:p>
      <w:r>
        <w:t>Harmonisierte Längsschnittanalyse von vier Kohorten (China, USA, England, Europa) zur Vorhersage funktioneller Abhängigkeit durch gleichzeitige Veränderungen subjektiver und objektiver kognitiver Parameter.</w:t>
      </w:r>
    </w:p>
    <w:p>
      <w:r>
        <w:rPr>
          <w:b/>
        </w:rPr>
        <w:t xml:space="preserve">Ergebnis: </w:t>
      </w:r>
      <w:r>
        <w:t>Unter 62.329 Teilnehmern mit vollständiger Analyse war gleichzeitiger kognitiver Verfall am stärksten mit funktioneller Abhängigkeit assoziiert (Hazard Ratio 1,47; 95%-KI 1,38–1,57), stärker als einzelne Defizite (subjektiv-nur HR 1,22; objektiv-nur HR 1,12). In Konkurrenzrisiko-Analysen blieb der Zusammenhang robust (gepoolte HR 1,39; 95%-KI 1,27–1,51).</w:t>
      </w:r>
    </w:p>
    <w:p>
      <w:r>
        <w:rPr>
          <w:b/>
          <w:sz w:val="19"/>
        </w:rPr>
        <w:t xml:space="preserve">Übertragbarkeit: </w:t>
      </w:r>
      <w:r>
        <w:rPr>
          <w:sz w:val="19"/>
        </w:rPr>
        <w:t>Vier Kontinente, bevölkerungsrepräsentative Kohorten mit konsistenten Mustern.</w:t>
      </w:r>
    </w:p>
    <w:p>
      <w:r>
        <w:rPr>
          <w:color w:val="5A7D3A"/>
          <w:sz w:val="18"/>
        </w:rPr>
        <w:t>https://pubmed.ncbi.nlm.nih.gov/42630086/</w:t>
      </w:r>
    </w:p>
    <w:p>
      <w:pPr>
        <w:pStyle w:val="Heading1"/>
      </w:pPr>
      <w:r>
        <w:t>Aufgenommen am 24.08.2026</w:t>
      </w:r>
    </w:p>
    <w:p>
      <w:pPr>
        <w:pStyle w:val="Heading2"/>
      </w:pPr>
      <w:r>
        <w:t>Frailty-bedingte Nachfrage nach Gemeindeversorgung in England 2025–2040: Simulationen zeigen Potenzial von Frailty-Prävention, aber anhaltende Steigerung der Leistungsnutzung</w:t>
      </w:r>
    </w:p>
    <w:p>
      <w:r>
        <w:rPr>
          <w:i/>
          <w:color w:val="666666"/>
          <w:sz w:val="18"/>
        </w:rPr>
        <w:t>Walsh B et al.  ·  Age Ageing  ·  03.08.2026  ·  PMID 42632917</w:t>
      </w:r>
    </w:p>
    <w:p>
      <w:r>
        <w:t>Simulationsmodellierung auf englischen Routinedaten projiziert die Nachfrage nach psychosozialer Unterstützung, Gemeindegesundheit und Sozialhilfe für Menschen ≥50 Jahren mit Frailty bis 2040.</w:t>
      </w:r>
    </w:p>
    <w:p>
      <w:r>
        <w:rPr>
          <w:b/>
        </w:rPr>
        <w:t xml:space="preserve">Ergebnis: </w:t>
      </w:r>
      <w:r>
        <w:t>Mentale Gesundheit, Gemeindegesundheit und kommunale Sozialhilfe werden bis 2040 um 16 %, 30 % bzw. 30 % zunehmen. Senkung der Frailty-Inzidenz könnte zwischen 2025 und 2040 mentale Gesundheitskontakte um 1,4 Mio., Gemeindegesundheitskontakte um 10 Mio. und Sozialhilfefallanfragen um 400.000 reduzieren. Nachfrage wird trotz Prävention weiter wachsen, da bereits viele Menschen mit milder bis moderater Frailty leben.</w:t>
      </w:r>
    </w:p>
    <w:p>
      <w:r>
        <w:rPr>
          <w:b/>
          <w:sz w:val="19"/>
        </w:rPr>
        <w:t xml:space="preserve">Übertragbarkeit: </w:t>
      </w:r>
      <w:r>
        <w:rPr>
          <w:sz w:val="19"/>
        </w:rPr>
        <w:t>Englische NHS-Daten, die Ergebnisse sind für deutsches Gesundheitswesen gut übertragbar bezüglich Versorgungsplanung älter werdender Bevölkerung.</w:t>
      </w:r>
    </w:p>
    <w:p>
      <w:r>
        <w:rPr>
          <w:color w:val="5A7D3A"/>
          <w:sz w:val="18"/>
        </w:rPr>
        <w:t>https://pubmed.ncbi.nlm.nih.gov/42632917/</w:t>
      </w:r>
    </w:p>
    <w:p>
      <w:pPr>
        <w:pStyle w:val="Heading2"/>
      </w:pPr>
      <w:r>
        <w:t>Temporäre Mitarbeitende in der schwedischen Altenhilfe erschweren Kontinuität und belasten Stammpersonal: qualitative Managerstudie</w:t>
      </w:r>
    </w:p>
    <w:p>
      <w:r>
        <w:rPr>
          <w:i/>
          <w:color w:val="666666"/>
          <w:sz w:val="18"/>
        </w:rPr>
        <w:t>Lindmark T et al.  ·  BMC Health Serv Res  ·  29.07.2026  ·  PMID 42527915</w:t>
      </w:r>
    </w:p>
    <w:p>
      <w:r>
        <w:t>16 qualitative Interviews mit Managern auf vier Ebenen der schwedischen Altenhilfe (Heime, Ambulante Dienste, Administration) zu Chancen und Herausforderungen temporärer Beschäftigung.</w:t>
      </w:r>
    </w:p>
    <w:p>
      <w:r>
        <w:rPr>
          <w:b/>
        </w:rPr>
        <w:t xml:space="preserve">Ergebnis: </w:t>
      </w:r>
      <w:r>
        <w:t>Drei Themen: Balance zwischen Personaldeckung und Improvisation, Mangel an lokaler Kontrollierbarkeit der Rekrutierung, Spannung zwischen Flexibilität und Stabilität. Temporäre Mitarbeitende decken Lücken, erhöhen aber die Last auf Stammpersonal und erschweren Kontinuität. Erste-Linie-Manager fokussieren auf Tagesdeckung und Mitarbeiterschutz, höhere Manager auf Langzeitplanung. Zentrale Personalentscheidungen bevorzugen kurzfristige Deckung über Stabilität.</w:t>
      </w:r>
    </w:p>
    <w:p>
      <w:r>
        <w:rPr>
          <w:b/>
          <w:sz w:val="19"/>
        </w:rPr>
        <w:t xml:space="preserve">Übertragbarkeit: </w:t>
      </w:r>
      <w:r>
        <w:rPr>
          <w:sz w:val="19"/>
        </w:rPr>
        <w:t>Schweden, nordisches Sozialsystem mit öffentlicher Altenhilfe – Befunde zu Personalmanagement übertragbar auf Deutschland.</w:t>
      </w:r>
    </w:p>
    <w:p>
      <w:r>
        <w:rPr>
          <w:color w:val="5A7D3A"/>
          <w:sz w:val="18"/>
        </w:rPr>
        <w:t>https://pubmed.ncbi.nlm.nih.gov/42527915/</w:t>
      </w:r>
    </w:p>
    <w:p>
      <w:pPr>
        <w:pStyle w:val="Heading1"/>
      </w:pPr>
      <w:r>
        <w:t>Aufgenommen am 23.08.2026</w:t>
      </w:r>
    </w:p>
    <w:p>
      <w:pPr>
        <w:pStyle w:val="Heading2"/>
      </w:pPr>
      <w:r>
        <w:t>Psychosoziale und wirtschaftliche Faktoren gesunden Alterns in Europa: systematische Übersicht mit Syntheserahmen</w:t>
      </w:r>
    </w:p>
    <w:p>
      <w:r>
        <w:rPr>
          <w:i/>
          <w:color w:val="666666"/>
          <w:sz w:val="18"/>
        </w:rPr>
        <w:t>Wypych-Ślusarska A et al.  ·  Front Public Health  ·  06.08.2026  ·  PMID 42625570</w:t>
      </w:r>
    </w:p>
    <w:p>
      <w:r>
        <w:t>Systematische Übersicht europäischer Studien (2019-2024) zur Evidenz für psychosoziale und sozioökonomische Determinanten gesunden Alterns bei Älteren ≥65 Jahren in Europa.</w:t>
      </w:r>
    </w:p>
    <w:p>
      <w:r>
        <w:rPr>
          <w:b/>
        </w:rPr>
        <w:t xml:space="preserve">Ergebnis: </w:t>
      </w:r>
      <w:r>
        <w:t>Konsistente Evidenz für Schutzfunktion von sozialen Netzen, sozialer Integration und verminderter Einsamkeit für Gesundheit, Wohlbefinden und kognitive Funktionsfähigkeit. Autonomie und Unabhängigkeit traten als zentrale Elemente positiven Alterns hervor, ebenso Engagement in sozialen, physischen und beruflichen Aktivitäten. Literatur unterstreicht Bedarf für Public-Health-Politiken und Gemeindeumgebungen, die positives Altern durch integrierte physische, psychosoziale und soziale Strategien unterstützen. Die beiden übergeordneten Themenbereiche: psychosoziale und wirtschaftliche Determinanten, und soziale Programme/gemeindegestützte Interventionen.</w:t>
      </w:r>
    </w:p>
    <w:p>
      <w:r>
        <w:rPr>
          <w:b/>
          <w:sz w:val="19"/>
        </w:rPr>
        <w:t xml:space="preserve">Übertragbarkeit: </w:t>
      </w:r>
      <w:r>
        <w:rPr>
          <w:sz w:val="19"/>
        </w:rPr>
        <w:t>Europäische Studienbasis einschließlich Deutschland, vergleichbare Sozialversicherungssysteme</w:t>
      </w:r>
    </w:p>
    <w:p>
      <w:r>
        <w:rPr>
          <w:color w:val="5A7D3A"/>
          <w:sz w:val="18"/>
        </w:rPr>
        <w:t>https://pubmed.ncbi.nlm.nih.gov/42625570/</w:t>
      </w:r>
    </w:p>
    <w:p>
      <w:pPr>
        <w:pStyle w:val="Heading1"/>
      </w:pPr>
      <w:r>
        <w:t>Aufgenommen am 22.08.2026</w:t>
      </w:r>
    </w:p>
    <w:p>
      <w:pPr>
        <w:pStyle w:val="Heading2"/>
      </w:pPr>
      <w:r>
        <w:t>Körperliches Training reduziert kognitive Gebrechlichkeit zu 35 % über Stärkung der Selbstwirksamkeit</w:t>
      </w:r>
    </w:p>
    <w:p>
      <w:r>
        <w:rPr>
          <w:i/>
          <w:color w:val="666666"/>
          <w:sz w:val="18"/>
        </w:rPr>
        <w:t>Liang D et al.  ·  Front Public Health  ·  06.08.2026  ·  PMID 42625706</w:t>
      </w:r>
    </w:p>
    <w:p>
      <w:r>
        <w:t>Querschnittbefragung von 563 Gemeindemitbewohnern (≥60 J.) in Henan, China zu Zusammenhang zwischen körperlichem Training, Selbstwirksamkeit und kognitiver Gebrechlichkeit (Frailty + Kognition).</w:t>
      </w:r>
    </w:p>
    <w:p>
      <w:r>
        <w:rPr>
          <w:b/>
        </w:rPr>
        <w:t xml:space="preserve">Ergebnis: </w:t>
      </w:r>
      <w:r>
        <w:t>Prävalenz kognitive Gebrechlichkeit 21,3 %. Körperliches Training assoziiert mit weniger kognitiver Gebrechlichkeit; Selbstwirksamkeit mediiert 35,17 % dieses Effekts. Vollständiges Mediationsmodell unterstützt indirekten Weg über Selbstvertrauen.</w:t>
      </w:r>
    </w:p>
    <w:p>
      <w:r>
        <w:rPr>
          <w:b/>
          <w:sz w:val="19"/>
        </w:rPr>
        <w:t xml:space="preserve">Übertragbarkeit: </w:t>
      </w:r>
      <w:r>
        <w:rPr>
          <w:sz w:val="19"/>
        </w:rPr>
        <w:t>China-Studie mit großer Stichprobe, aber kulturelle und Gesundheitssystem-Unterschiede beachten – Mechanismus (Selbstwirksamkeit) transnational relevant.</w:t>
      </w:r>
    </w:p>
    <w:p>
      <w:r>
        <w:rPr>
          <w:color w:val="5A7D3A"/>
          <w:sz w:val="18"/>
        </w:rPr>
        <w:t>https://pubmed.ncbi.nlm.nih.gov/42625706/</w:t>
      </w:r>
    </w:p>
    <w:p>
      <w:pPr>
        <w:pStyle w:val="Heading2"/>
      </w:pPr>
      <w:r>
        <w:t>Loneliness and social isolation verringern die verbleibenden gesunden Lebensjahre deutlicher als physische Erkrankungen</w:t>
      </w:r>
    </w:p>
    <w:p>
      <w:r>
        <w:rPr>
          <w:i/>
          <w:color w:val="666666"/>
          <w:sz w:val="18"/>
        </w:rPr>
        <w:t>Wang X et al.  ·  Nat Commun  ·  20.08.2026  ·  PMID 42624836</w:t>
      </w:r>
    </w:p>
    <w:p>
      <w:r>
        <w:t>Querschnittanalyse von 277.489 britischen Erwachsenen ohne Erkrankungen zum Zusammenhang zwischen Einsamkeit, sozialer Isolation und der Lebensdauer frei von Krankheit.</w:t>
      </w:r>
    </w:p>
    <w:p>
      <w:r>
        <w:rPr>
          <w:b/>
        </w:rPr>
        <w:t xml:space="preserve">Ergebnis: </w:t>
      </w:r>
      <w:r>
        <w:t>Frauen mit Einsamkeit und sozialer Isolation verlieren 2,4 Jahre physisch krankheitsfrei und 3,7 Jahre mental krankheitsfrei; Männer verlieren 1,7 bzw. 5,8 Jahre. Soziale Isolation lässt sich durch gesunde Lebensstile teilweise ausgleichen (signifikant), nicht aber Einsamkeit.</w:t>
      </w:r>
    </w:p>
    <w:p>
      <w:r>
        <w:rPr>
          <w:b/>
          <w:sz w:val="19"/>
        </w:rPr>
        <w:t xml:space="preserve">Übertragbarkeit: </w:t>
      </w:r>
      <w:r>
        <w:rPr>
          <w:sz w:val="19"/>
        </w:rPr>
        <w:t>UK Biobank, vergleichbare Altersstruktur und Sozialversicherung; übertragbar auf deutsche Verhältnisse.</w:t>
      </w:r>
    </w:p>
    <w:p>
      <w:r>
        <w:rPr>
          <w:color w:val="5A7D3A"/>
          <w:sz w:val="18"/>
        </w:rPr>
        <w:t>https://pubmed.ncbi.nlm.nih.gov/42624836/</w:t>
      </w:r>
    </w:p>
    <w:p>
      <w:pPr>
        <w:pStyle w:val="Heading1"/>
      </w:pPr>
      <w:r>
        <w:t>Aufgenommen am 21.08.2026</w:t>
      </w:r>
    </w:p>
    <w:p>
      <w:pPr>
        <w:pStyle w:val="Heading2"/>
      </w:pPr>
      <w:r>
        <w:t>Heimgestützte multikomponenten Intervention bei Frailty und Prefrailty in älteren Krebsüberlebenden: Pilotuntersuchung</w:t>
      </w:r>
    </w:p>
    <w:p>
      <w:r>
        <w:rPr>
          <w:i/>
          <w:color w:val="666666"/>
          <w:sz w:val="18"/>
        </w:rPr>
        <w:t>Drevet S et al.  ·  Age Ageing  ·  03.08.2026  ·  PMID 42621847</w:t>
      </w:r>
    </w:p>
    <w:p>
      <w:r>
        <w:t>Quasi-experimentelle Vorher-Nachher-Studie (6 Monate) mit 110 Patienten ≥70 Jahren in Remission (Fried-Kriterien erfüllt). Intervention: betreute Übungen + Ernährungsunterstützung. Primärer Endpunkt: Anteil mit Frailty-/Prefrailty-Verbesserung von Baseline (M0) zu M6.</w:t>
      </w:r>
    </w:p>
    <w:p>
      <w:r>
        <w:rPr>
          <w:b/>
        </w:rPr>
        <w:t xml:space="preserve">Ergebnis: </w:t>
      </w:r>
      <w:r>
        <w:t>81 von 110 Teilnehmern vollendeten die Intervention. Baseline: 45% frail, 0% robust. Bei M6: 62% verbesserten ihren Frailty-Status; 78% der Frail zeigten Besserung, 51% der Prefrail wurden robust. Frailty-Schweregrad sank bei 74% der Teilnehmer. Vitamin-D zeigte Gruppen×Zeit-Interaktion; unterschiedliche Frailty-Trajektorien je nach Vitamin-D-Status. Funktionelle und physische Maße bei Baseline assoziiert mit Frailty (p&lt;0,05), nicht aber Tumor-Charakteristika.</w:t>
      </w:r>
    </w:p>
    <w:p>
      <w:r>
        <w:rPr>
          <w:b/>
          <w:sz w:val="19"/>
        </w:rPr>
        <w:t xml:space="preserve">Übertragbarkeit: </w:t>
      </w:r>
      <w:r>
        <w:rPr>
          <w:sz w:val="19"/>
        </w:rPr>
        <w:t>Frankreich, geriatrische Rehab in Praxis; multikomponenten Ansatz auch auf deutsches Versorgungssystem übertragbar</w:t>
      </w:r>
    </w:p>
    <w:p>
      <w:r>
        <w:rPr>
          <w:color w:val="5A7D3A"/>
          <w:sz w:val="18"/>
        </w:rPr>
        <w:t>https://pubmed.ncbi.nlm.nih.gov/42621847/</w:t>
      </w:r>
    </w:p>
    <w:p>
      <w:pPr>
        <w:pStyle w:val="Heading2"/>
      </w:pPr>
      <w:r>
        <w:t>Verankering älterer Menschen in globalen Klimaanpassungsplänen: Analyse von 204 Ländern</w:t>
      </w:r>
    </w:p>
    <w:p>
      <w:r>
        <w:rPr>
          <w:i/>
          <w:color w:val="666666"/>
          <w:sz w:val="18"/>
        </w:rPr>
        <w:t>Katz GM et al.  ·  Lancet Healthy Longev  ·  12.08.2026  ·  PMID 42586104</w:t>
      </w:r>
    </w:p>
    <w:p>
      <w:r>
        <w:t>Dokumentenanalyse von 204 Nationalstaaten zu Berücksichtigung älterer Menschen (≥65 Jahre) in Klimaanpassungsplänen. Identifiziert 16 Adaptationsthemen (Temperaturschutz, Partizipation, Katastrophenvorsorge, etc.) und deren Häufigkeit in nationalen Strategien.</w:t>
      </w:r>
    </w:p>
    <w:p>
      <w:r>
        <w:rPr>
          <w:b/>
        </w:rPr>
        <w:t xml:space="preserve">Ergebnis: </w:t>
      </w:r>
      <w:r>
        <w:t>125 Länder (61,3%) integrieren 1–5 Themen, 2 Länder (1,0%) sechs bis zehn, 1 Land (0,5%) ≥11 Themen, 77 Länder (37,7%) keine Themen. Häufigste Themen: extreme Hitze, Partizipation Älterer, Katastrophenprävention. Nur 47 Länder (23%) beschreiben konkrete Maßnahmen, Programme oder Finanzierungszusagen für ältere Menschen. Befund: erhebliche Lücken in der Berücksichtigung älterter Menschen in Klimapolitik.</w:t>
      </w:r>
    </w:p>
    <w:p>
      <w:r>
        <w:rPr>
          <w:b/>
          <w:sz w:val="19"/>
        </w:rPr>
        <w:t xml:space="preserve">Übertragbarkeit: </w:t>
      </w:r>
      <w:r>
        <w:rPr>
          <w:sz w:val="19"/>
        </w:rPr>
        <w:t>Globale Perspektive, Deutschland in Stichprobe enthalten, zeigt Governance-Gap bei Umwelt und Gerontologie</w:t>
      </w:r>
    </w:p>
    <w:p>
      <w:r>
        <w:rPr>
          <w:color w:val="5A7D3A"/>
          <w:sz w:val="18"/>
        </w:rPr>
        <w:t>https://pubmed.ncbi.nlm.nih.gov/42586104/</w:t>
      </w:r>
    </w:p>
    <w:p>
      <w:pPr>
        <w:pStyle w:val="Heading1"/>
      </w:pPr>
      <w:r>
        <w:t>Aufgenommen am 20.08.2026</w:t>
      </w:r>
    </w:p>
    <w:p>
      <w:pPr>
        <w:pStyle w:val="Heading2"/>
      </w:pPr>
      <w:r>
        <w:t>Konzept des gesunden Alterns in Norwegen: Qualitative Analyse von Perspektiven älterer Menschen, Fachkräfte und Entscheidungsträger</w:t>
      </w:r>
    </w:p>
    <w:p>
      <w:r>
        <w:rPr>
          <w:i/>
          <w:color w:val="666666"/>
          <w:sz w:val="18"/>
        </w:rPr>
        <w:t>Bikova M et al.  ·  BMC Health Serv Res  ·  14.08.2026  ·  PMID 42613606</w:t>
      </w:r>
    </w:p>
    <w:p>
      <w:r>
        <w:t>Qualitative Studie mit 23 semi-strukturierten Interviews (ältere Menschen, Fachkräfte, Entscheidungsträger) zur Interpretation des UN-Jahrzehnts des gesunden Alterns in einer norwegischen Kommune.</w:t>
      </w:r>
    </w:p>
    <w:p>
      <w:r>
        <w:rPr>
          <w:b/>
        </w:rPr>
        <w:t xml:space="preserve">Ergebnis: </w:t>
      </w:r>
      <w:r>
        <w:t>Drei zentrale Themen: Strategien zur Bewältigung, gemischte Alterswahrnehmungen, Gesundheitsdienste. Ergebnis: Altern wird als kollektive Verantwortung betont, aber zunehmend Älteren selbst übertragen; Digitalisierung ist Barriere für vulnerable Gruppen; kommunale Dienste werden als qualitativ hochwertig, aber ressourcengeprägt wahrgenommen. Schnelle Digitalisierung und Individualisierung verschärfen Ungleichheiten.</w:t>
      </w:r>
    </w:p>
    <w:p>
      <w:r>
        <w:rPr>
          <w:b/>
          <w:sz w:val="19"/>
        </w:rPr>
        <w:t xml:space="preserve">Übertragbarkeit: </w:t>
      </w:r>
      <w:r>
        <w:rPr>
          <w:sz w:val="19"/>
        </w:rPr>
        <w:t>Norwegen, skandinavisches Wohlfahrtssystem; Befunde zu Digitalisierungsbarrieren und Equity-Risiken übertragbar auf vergleichbare europäische Kontexte.</w:t>
      </w:r>
    </w:p>
    <w:p>
      <w:r>
        <w:rPr>
          <w:color w:val="5A7D3A"/>
          <w:sz w:val="18"/>
        </w:rPr>
        <w:t>https://pubmed.ncbi.nlm.nih.gov/42613606/</w:t>
      </w:r>
    </w:p>
    <w:p>
      <w:pPr>
        <w:pStyle w:val="Heading2"/>
      </w:pPr>
      <w:r>
        <w:t>Funktionale Performance im WHO-ICOPE-Rahmen: Brasilien und Europa zeigen zehn Jahre Unterschied in Funktionsverlust</w:t>
      </w:r>
    </w:p>
    <w:p>
      <w:r>
        <w:rPr>
          <w:i/>
          <w:color w:val="666666"/>
          <w:sz w:val="18"/>
        </w:rPr>
        <w:t>Oliveira VR et al.  ·  PLoS One  ·  05.08.2026  ·  PMID 42555548</w:t>
      </w:r>
    </w:p>
    <w:p>
      <w:r>
        <w:t>Vergleich von Determinanten der Funktionsfähigkeit (BADL/IADL) anhand von ELSI-Brasil (n=4825) und SHARE (n=25978) mit Analyse intrinsischer Kapazitätsdimensionen nach WHO-ICOPE-Modell.</w:t>
      </w:r>
    </w:p>
    <w:p>
      <w:r>
        <w:rPr>
          <w:b/>
        </w:rPr>
        <w:t xml:space="preserve">Ergebnis: </w:t>
      </w:r>
      <w:r>
        <w:t>Funktioneller Rückgang beginnt in Brasilien eine Dekade früher als in Europa. Risikomuster differieren: Mobilität–Handkraft schützender in Europa, Gehgeschwindigkeit Risikofaktor nur in Brasilien (OR 1,16); Depression höheres Risiko in Europa (OR 1,67–1,71) vs. Brasilien (OR 1,26–1,53); schlechte Selbsteinschätzung der Gesundheit stärkerer BADL-Risikofaktor in Brasilien (OR 2,72 vs. 2,07).</w:t>
      </w:r>
    </w:p>
    <w:p>
      <w:r>
        <w:rPr>
          <w:b/>
          <w:sz w:val="19"/>
        </w:rPr>
        <w:t xml:space="preserve">Übertragbarkeit: </w:t>
      </w:r>
      <w:r>
        <w:rPr>
          <w:sz w:val="19"/>
        </w:rPr>
        <w:t>Brasilien und Europa (SHARE), unterschiedliche Sozioökonomie; Befund zeigt kontextabhängige Risikofaktoren; ICOPE-Strategien müssen sozioökonomischen Unterschieden Rechnung tragen.</w:t>
      </w:r>
    </w:p>
    <w:p>
      <w:r>
        <w:rPr>
          <w:color w:val="5A7D3A"/>
          <w:sz w:val="18"/>
        </w:rPr>
        <w:t>https://pubmed.ncbi.nlm.nih.gov/42555548/</w:t>
      </w:r>
    </w:p>
    <w:p>
      <w:pPr>
        <w:pStyle w:val="Heading1"/>
      </w:pPr>
      <w:r>
        <w:t>Aufgenommen am 19.08.2026</w:t>
      </w:r>
    </w:p>
    <w:p>
      <w:pPr>
        <w:pStyle w:val="Heading2"/>
      </w:pPr>
      <w:r>
        <w:t>Frailty und kognitive Beeinträchtigung: Prospektive Assoziationen in fünf multinationalen Kohorten mit gepoolten Hazard Ratios</w:t>
      </w:r>
    </w:p>
    <w:p>
      <w:r>
        <w:rPr>
          <w:i/>
          <w:color w:val="666666"/>
          <w:sz w:val="18"/>
        </w:rPr>
        <w:t>Peng L et al.  ·  BMC Public Health  ·  25.07.2026  ·  PMID 42595986</w:t>
      </w:r>
    </w:p>
    <w:p>
      <w:r>
        <w:t>Länderübergreifende Metaanalyse von fünf Longitudinal-Kohorten (USA, England, Europa, China, Korea) mit insgesamt 47429 Teilnehmern zur Assoziation zwischen Baseline-Frailty-Status und kognitiver Beeinträchtigung sowie Frailty-Trajektorien und kognitiven Outcomes über 4–10 Jahre.</w:t>
      </w:r>
    </w:p>
    <w:p>
      <w:r>
        <w:rPr>
          <w:b/>
        </w:rPr>
        <w:t xml:space="preserve">Ergebnis: </w:t>
      </w:r>
      <w:r>
        <w:t>Pre-Frailty: gepoolte adjustierte HR 1,25 (95% CI 1,18–1,33) für kognitive Beeinträchtigung; Frailty: HR 1,69 (95% CI 1,50–1,90). Frailty-Trajektorien waren signifikant mit kognitiven Outcomes assoziiert (höhere Trajektorie: OR 1,45–4,37 für kognitive Beeinträchtigung; niedrigere: OR 0,46–0,72 protektiv). Befunde konsistent über alle Kohorten.</w:t>
      </w:r>
    </w:p>
    <w:p>
      <w:r>
        <w:rPr>
          <w:b/>
          <w:sz w:val="19"/>
        </w:rPr>
        <w:t xml:space="preserve">Übertragbarkeit: </w:t>
      </w:r>
      <w:r>
        <w:rPr>
          <w:sz w:val="19"/>
        </w:rPr>
        <w:t>HRS, ELSA, SHARE, CHARLS, KLoSA – europäische und non-europäische Daten, jedoch nur weil robust repliziert</w:t>
      </w:r>
    </w:p>
    <w:p>
      <w:r>
        <w:rPr>
          <w:color w:val="5A7D3A"/>
          <w:sz w:val="18"/>
        </w:rPr>
        <w:t>https://pubmed.ncbi.nlm.nih.gov/42595986/</w:t>
      </w:r>
    </w:p>
    <w:p>
      <w:pPr>
        <w:pStyle w:val="Heading2"/>
      </w:pPr>
      <w:r>
        <w:t>Akutgeriatrische Versorgungsmodelle in Dänemark: Nationale Bestandsaufnahme und Variabilität der Assessment-Praktiken</w:t>
      </w:r>
    </w:p>
    <w:p>
      <w:r>
        <w:rPr>
          <w:i/>
          <w:color w:val="666666"/>
          <w:sz w:val="18"/>
        </w:rPr>
        <w:t>Brockhattingen KK et al.  ·  Dan Med J  ·  02.07.2026  ·  PMID 42563704</w:t>
      </w:r>
    </w:p>
    <w:p>
      <w:r>
        <w:t>Nationale Querschnittsbefragung aller 20 Krankenhaus-Geriatriestationen in Dänemark zur Struktur, Teamzusammensetzung und Assessment-Funktionen in akutgeriatrischen Modellen für Patienten ≥65 Jahre mit akuter medizinischer Erkrankung.</w:t>
      </w:r>
    </w:p>
    <w:p>
      <w:r>
        <w:rPr>
          <w:b/>
        </w:rPr>
        <w:t xml:space="preserve">Ergebnis: </w:t>
      </w:r>
      <w:r>
        <w:t>Zwölf von 20 Stationen (60%) melden aktive akutgeriatrische Funktionen. Alle 12 führen diagnostische Bewertung, patientenzentrierte Evaluation und Basis-Assessments durch. Andere Elemente variabel: EKG (n=4–10/12), Ultraschall, Frailty-Assessment, interdisziplinäre Review, Koordination mit Community-Care (4–10/12). Erkenntnis: Große Variation in Struktur und Inhalten trotz Flächendeckung.</w:t>
      </w:r>
    </w:p>
    <w:p>
      <w:r>
        <w:rPr>
          <w:b/>
          <w:sz w:val="19"/>
        </w:rPr>
        <w:t xml:space="preserve">Übertragbarkeit: </w:t>
      </w:r>
      <w:r>
        <w:rPr>
          <w:sz w:val="19"/>
        </w:rPr>
        <w:t>Dänemark, europäisches Gesundheitssystem, vergleichbar mit deutschem Modell</w:t>
      </w:r>
    </w:p>
    <w:p>
      <w:r>
        <w:rPr>
          <w:color w:val="5A7D3A"/>
          <w:sz w:val="18"/>
        </w:rPr>
        <w:t>https://pubmed.ncbi.nlm.nih.gov/42563704/</w:t>
      </w:r>
    </w:p>
    <w:p>
      <w:pPr>
        <w:pStyle w:val="Heading1"/>
      </w:pPr>
      <w:r>
        <w:t>Aufgenommen am 18.08.2026</w:t>
      </w:r>
    </w:p>
    <w:p>
      <w:pPr>
        <w:pStyle w:val="Heading2"/>
      </w:pPr>
      <w:r>
        <w:t>Frailty-Verteilung und Sterblichkeit in Europa: Ländervergleich zeigt höchste Last in USA und Südosteuropa</w:t>
      </w:r>
    </w:p>
    <w:p>
      <w:r>
        <w:rPr>
          <w:i/>
          <w:color w:val="666666"/>
          <w:sz w:val="18"/>
        </w:rPr>
        <w:t>Drijver-Headley S et al.  ·  Age Ageing  ·  03.08.2026  ·  PMID 42607277</w:t>
      </w:r>
    </w:p>
    <w:p>
      <w:r>
        <w:t>Vergleichende Analyse von Frailty-Indizes, Sterblichkeit und Frailty-Progression in 17 Ländern mit unterschiedlichen Gesundheitssystemen.</w:t>
      </w:r>
    </w:p>
    <w:p>
      <w:r>
        <w:rPr>
          <w:b/>
        </w:rPr>
        <w:t xml:space="preserve">Ergebnis: </w:t>
      </w:r>
      <w:r>
        <w:t>In der USA, Mexiko und Südosteuropa war Gebrechlichkeit am höchsten, in Nord- und Zentraleuropa am niedrigsten; Sterblichkeit und Defizitakkumulation differierten erheblich zwischen Ländern, mit höchsten Werten in Mexiko. Meta-analytische Methoden zeigen, dass Frailty-Unterschiede zwischen Ländern wesentlich mit lokalen Einkommens- und Versorgungsstrukturen assoziiert sind.</w:t>
      </w:r>
    </w:p>
    <w:p>
      <w:r>
        <w:rPr>
          <w:b/>
          <w:sz w:val="19"/>
        </w:rPr>
        <w:t xml:space="preserve">Übertragbarkeit: </w:t>
      </w:r>
      <w:r>
        <w:rPr>
          <w:sz w:val="19"/>
        </w:rPr>
        <w:t>SHARE und ELSA (Europa) direkt vergleichbar; USA/Mexiko zeigen Effekte unterschiedlicher Finanzierung und sozialer Ungleichheit.</w:t>
      </w:r>
    </w:p>
    <w:p>
      <w:r>
        <w:rPr>
          <w:color w:val="5A7D3A"/>
          <w:sz w:val="18"/>
        </w:rPr>
        <w:t>https://pubmed.ncbi.nlm.nih.gov/42607277/</w:t>
      </w:r>
    </w:p>
    <w:p>
      <w:pPr>
        <w:pStyle w:val="Heading2"/>
      </w:pPr>
      <w:r>
        <w:t>Funktionelles Altern und Vermögensungleichheit: England und Kanada zeigen unterschiedliche Ungleichheitsgradienten</w:t>
      </w:r>
    </w:p>
    <w:p>
      <w:r>
        <w:rPr>
          <w:i/>
          <w:color w:val="666666"/>
          <w:sz w:val="18"/>
        </w:rPr>
        <w:t>Schrempft S et al.  ·  PLoS Med  ·  13.08.2026  ·  PMID 42594078</w:t>
      </w:r>
    </w:p>
    <w:p>
      <w:r>
        <w:t>Längsschnittstudie der Assoziation zwischen Vermögen und körperlicher Funktionsfähigkeit (Ganggeschwindigkeit, Griffstärke, Mobilitätseinschränkungen, ADL/IADL) in England und Kanada über 10 Jahre.</w:t>
      </w:r>
    </w:p>
    <w:p>
      <w:r>
        <w:rPr>
          <w:b/>
        </w:rPr>
        <w:t xml:space="preserve">Ergebnis: </w:t>
      </w:r>
      <w:r>
        <w:t>Bei weniger Vermögen: 15 Jahre Funktionsverlust bei Ganggeschwindigkeit in England vs. 9 Jahre in Kanada; 20 Jahre Funktionsverlust bei ADL-Schwierigkeiten in England vs. 9 Jahre in Kanada. Vermögensungleichheiten in der Funktionsfähigkeit waren größer in England trotz ähnlicher Gesundheitssysteme, bleiben nach Anpassung für Komorbiditäten bestehen.</w:t>
      </w:r>
    </w:p>
    <w:p>
      <w:r>
        <w:rPr>
          <w:b/>
          <w:sz w:val="19"/>
        </w:rPr>
        <w:t xml:space="preserve">Übertragbarkeit: </w:t>
      </w:r>
      <w:r>
        <w:rPr>
          <w:sz w:val="19"/>
        </w:rPr>
        <w:t>England und Kanada – beide gemäßigte Einkommen und ähnliche Sozialversicherung; Unterschied verdeutlicht Bedeutung von Vermögen neben Systemfinanzierung.</w:t>
      </w:r>
    </w:p>
    <w:p>
      <w:r>
        <w:rPr>
          <w:color w:val="5A7D3A"/>
          <w:sz w:val="18"/>
        </w:rPr>
        <w:t>https://pubmed.ncbi.nlm.nih.gov/42594078/</w:t>
      </w:r>
    </w:p>
    <w:p>
      <w:pPr>
        <w:pStyle w:val="Heading2"/>
      </w:pPr>
      <w:r>
        <w:t>Körperliche Aktivität schützt Nervenfasern im Gehirn – stärkster Effekt bei älteren und bewegungsarmen Personen</w:t>
      </w:r>
    </w:p>
    <w:p>
      <w:r>
        <w:rPr>
          <w:i/>
          <w:color w:val="666666"/>
          <w:sz w:val="18"/>
        </w:rPr>
        <w:t>Saxler E et al.  ·  Aging Cell  ·  Aug. 2026  ·  PMID 42568043</w:t>
      </w:r>
    </w:p>
    <w:p>
      <w:r>
        <w:t>Querschnittsstudie von 4.188 Teilnehmern (mittleres Alter 55,4 Jahre) der Rhineland-Studie zur Assoziation zwischen Beschleunigungsmesser-gemessener körperlicher Aktivität und Mikrostruktur weißer Substanz (Diffusions-MRT) mit Vermittlung durch Körpergewicht und kardiometabolische Faktoren.</w:t>
      </w:r>
    </w:p>
    <w:p>
      <w:r>
        <w:rPr>
          <w:b/>
        </w:rPr>
        <w:t xml:space="preserve">Ergebnis: </w:t>
      </w:r>
      <w:r>
        <w:t>Höherer Energieverbrauch assoziiert mit niedrigerem Richtungsdispersion-Index (β=–0,153 [–0,183 bis –0,122], p&lt;0,001), quadratischer Effekt leveling off (β=0,034 [0,017–0,051], p&lt;0,001). Mit zunehmendem Alter: körperliche Aktivität stärker mit höherer Neuritendichte und niedriger mittlerer Diffusivität assoziiert; Effekt am größten bei älteren und sedentären Personen, vermittelt durch Körpergewicht, kardiometabolische und entzündliche Faktoren.</w:t>
      </w:r>
    </w:p>
    <w:p>
      <w:r>
        <w:rPr>
          <w:b/>
          <w:sz w:val="19"/>
        </w:rPr>
        <w:t xml:space="preserve">Übertragbarkeit: </w:t>
      </w:r>
      <w:r>
        <w:rPr>
          <w:sz w:val="19"/>
        </w:rPr>
        <w:t>Deutschland (Bonn) – Populationsstichprobe, vergleichbare Versorgung, direkt auf Altenprävention übertragbar.</w:t>
      </w:r>
    </w:p>
    <w:p>
      <w:r>
        <w:rPr>
          <w:color w:val="5A7D3A"/>
          <w:sz w:val="18"/>
        </w:rPr>
        <w:t>https://pubmed.ncbi.nlm.nih.gov/42568043/</w:t>
      </w:r>
    </w:p>
    <w:p>
      <w:pPr>
        <w:pStyle w:val="Heading2"/>
      </w:pPr>
      <w:r>
        <w:t>Gebrechlichkeit verschlechtert Operationsergebnisse nach Notfall-Chirurgie bei älteren Erwachsenen um das Dreifache</w:t>
      </w:r>
    </w:p>
    <w:p>
      <w:r>
        <w:rPr>
          <w:i/>
          <w:color w:val="666666"/>
          <w:sz w:val="18"/>
        </w:rPr>
        <w:t>Fehlmann CA et al.  ·  Swiss Med Wkly  ·  26.06.2026  ·  PMID 42537629</w:t>
      </w:r>
    </w:p>
    <w:p>
      <w:r>
        <w:t>Retrospektive Kohortenstudie der Assoziation zwischen Gebrechlichkeit (Clinical Frailty Scale ≥5) und einjähriger Mortalität, Komplikationen, Krankenhausaufenthalt und Entlassungsort bei älteren Patienten (≥65 Jahre) nach elektiven Notfall-Eingriffen.</w:t>
      </w:r>
    </w:p>
    <w:p>
      <w:r>
        <w:rPr>
          <w:b/>
        </w:rPr>
        <w:t xml:space="preserve">Ergebnis: </w:t>
      </w:r>
      <w:r>
        <w:t>38,2 % waren gebrechlich; einjährige Mortalität 25,6 % (gebrechlich) vs. 6,6 % (nicht gebrechlich), adjustierte OR 3,0 [95%-KI 1,7–5,1]; Komplikationen OR 2,3 [1,5–3,6]; Krankenhausaufenthalt +46,4 % [26,8–69,0 %]; Entlassung nicht nach Hause OR 2,1 [1,4–3,2]. Frailty ist ein starker unabhängiger Risikofaktor für schlechte Ergebnisse.</w:t>
      </w:r>
    </w:p>
    <w:p>
      <w:r>
        <w:rPr>
          <w:b/>
          <w:sz w:val="19"/>
        </w:rPr>
        <w:t xml:space="preserve">Übertragbarkeit: </w:t>
      </w:r>
      <w:r>
        <w:rPr>
          <w:sz w:val="19"/>
        </w:rPr>
        <w:t>Schweiz – dem deutschsprachigen Raum ähnliches System, vergleichbare Klinikdokumentation und Risikostratifizierung.</w:t>
      </w:r>
    </w:p>
    <w:p>
      <w:r>
        <w:rPr>
          <w:color w:val="5A7D3A"/>
          <w:sz w:val="18"/>
        </w:rPr>
        <w:t>https://pubmed.ncbi.nlm.nih.gov/42537629/</w:t>
      </w:r>
    </w:p>
    <w:p>
      <w:pPr>
        <w:pStyle w:val="Heading2"/>
      </w:pPr>
      <w:r>
        <w:t>Schlaganfallmortalität in Europa: Zwei Jahrzehnte Rückgang getrieben durch bessere akute Versorgung, nicht durch Behinderungsreduktion</w:t>
      </w:r>
    </w:p>
    <w:p>
      <w:r>
        <w:rPr>
          <w:i/>
          <w:color w:val="666666"/>
          <w:sz w:val="18"/>
        </w:rPr>
        <w:t>Brigo F et al.  ·  Eur Stroke J  ·  06.07.2026  ·  PMID 42479895</w:t>
      </w:r>
    </w:p>
    <w:p>
      <w:r>
        <w:t>Analyse von Global Burden of Disease-Daten (1990–2023) zu Trends in Behinderungsjahren (DALYs), vorzeitige Todesfälle (YLLs) und Jahre mit Behinderung (YLDs) durch ischämische Schlaganfälle in europäischen Ländern.</w:t>
      </w:r>
    </w:p>
    <w:p>
      <w:r>
        <w:rPr>
          <w:b/>
        </w:rPr>
        <w:t xml:space="preserve">Ergebnis: </w:t>
      </w:r>
      <w:r>
        <w:t>DALY-Raten sanken in allen europäischen Ländern; durchschnittliche jährliche prozentuale Veränderung (EAPC) –3,40 % [–3,74 bis –3,05]; YLL-Rückgang –1,26 % [–1,43 bis –1,09]; YLD-Rückgang –3,86 % [–4,26 bis –3,46]. Rückgang der vorzeitigen Mortalität war Haupttreiber; YLD-Fortschritt blieb heterogen und geringer, regionale Unterschiede in Zentral-/Westeuropa vs. Ost-/Südosteuropa.</w:t>
      </w:r>
    </w:p>
    <w:p>
      <w:r>
        <w:rPr>
          <w:b/>
          <w:sz w:val="19"/>
        </w:rPr>
        <w:t xml:space="preserve">Übertragbarkeit: </w:t>
      </w:r>
      <w:r>
        <w:rPr>
          <w:sz w:val="19"/>
        </w:rPr>
        <w:t>Alle europäischen Länder – direkt vergleichbar mit Deutschland; GBD-Daten ermöglichen Vergleich von Versorgungsqualität und Prevention.</w:t>
      </w:r>
    </w:p>
    <w:p>
      <w:r>
        <w:rPr>
          <w:color w:val="5A7D3A"/>
          <w:sz w:val="18"/>
        </w:rPr>
        <w:t>https://pubmed.ncbi.nlm.nih.gov/42479895/</w:t>
      </w:r>
    </w:p>
    <w:p>
      <w:pPr>
        <w:pStyle w:val="Heading2"/>
      </w:pPr>
      <w:r>
        <w:t>Geriatrisches Assessment und sektorenübergreifende Versorgung reduzieren Pflegebedürftigkeit: Deutscher Konsens zu modernem Altersmanagement</w:t>
      </w:r>
    </w:p>
    <w:p>
      <w:r>
        <w:rPr>
          <w:i/>
          <w:color w:val="666666"/>
          <w:sz w:val="18"/>
        </w:rPr>
        <w:t>Gosch M et al.  ·  Z Gerontol Geriatr  ·  21.07.2026  ·  PMID 42479140</w:t>
      </w:r>
    </w:p>
    <w:p>
      <w:r>
        <w:t>Expertenpapier deutscher Geriater zu aktuellem Stand, evidenzbasierter Praxis und Zukunft geriatrischer Medizin, einschließlich Effekte von umfassendem Assessment und multiprofessionellen Modellen.</w:t>
      </w:r>
    </w:p>
    <w:p>
      <w:r>
        <w:rPr>
          <w:b/>
        </w:rPr>
        <w:t xml:space="preserve">Ergebnis: </w:t>
      </w:r>
      <w:r>
        <w:t>Zahlreiche Studien belegen: geriatrisches Assessment verbessert funktionelle Fähigkeiten, reduziert Pflegebedürftigkeit und verkürzt/verkürzt Krankenhausaufenthalte. Defizite bestehen in flächendeckender Versorgung, Finanzierung, Fachkräftemangel und Integration in andere Fachgebiete.</w:t>
      </w:r>
    </w:p>
    <w:p>
      <w:r>
        <w:rPr>
          <w:b/>
          <w:sz w:val="19"/>
        </w:rPr>
        <w:t xml:space="preserve">Übertragbarkeit: </w:t>
      </w:r>
      <w:r>
        <w:rPr>
          <w:sz w:val="19"/>
        </w:rPr>
        <w:t>Deutschland – direkte Evidenz zur deutschen Versorgungssituation und politischen Handlungsfelder für Systemreformen.</w:t>
      </w:r>
    </w:p>
    <w:p>
      <w:r>
        <w:rPr>
          <w:color w:val="5A7D3A"/>
          <w:sz w:val="18"/>
        </w:rPr>
        <w:t>https://pubmed.ncbi.nlm.nih.gov/42479140/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Gesundes Altern und Longevity</dc:title>
  <dc:subject/>
  <dc:creator>Monitor Versorgungsforschung</dc:creator>
  <cp:keywords/>
  <dc:description>generated by python-docx</dc:description>
  <cp:lastModifiedBy/>
  <cp:revision>1</cp:revision>
  <dcterms:created xsi:type="dcterms:W3CDTF">2026-10-22T06:00:00Z</dcterms:created>
  <dcterms:modified xsi:type="dcterms:W3CDTF">2026-10-22T06:00:00Z</dcterms:modified>
  <cp:category/>
</cp:coreProperties>
</file>