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13.09.2026  |  7 Studien  |  longevity.m-vf.de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Altern von Personen mit Typ-1-Diabetes: prospektive Kohorte zur funktionellen Fähigkeit</w:t>
      </w:r>
    </w:p>
    <w:p>
      <w:r>
        <w:rPr>
          <w:i/>
          <w:color w:val="666666"/>
          <w:sz w:val="18"/>
        </w:rPr>
        <w:t>Nicklén J et al.  ·  BMJ Open  ·  11.09.2026  ·  PMID 42731824</w:t>
      </w:r>
    </w:p>
    <w:p>
      <w:r>
        <w:t>Studienprotokoll für prospektive Kohortenstudie (FinnDiane LifeOne) mit mindestens 300 älteren Personen mit Typ-1-Diabetes (&gt;65 Jahre) und 100 gematchten Kontrollen zur Untersuchung der funktionellen Fähigkeit und gesunden Alterns über 5 Jahre mit geriatrischem Assessment.</w:t>
      </w:r>
    </w:p>
    <w:p>
      <w:r>
        <w:rPr>
          <w:b/>
        </w:rPr>
        <w:t xml:space="preserve">Ergebnis: </w:t>
      </w:r>
      <w:r>
        <w:t>Eingeschlossene Studien: ≥300 Patienten mit T1D, ≥100 Kontrollen, gematchte Vergleichgruppe. Umfassendes geriatrisches Assessment mit 5-jährlichen Intervallen. Fokus auf fünf Domänen der intrinsic capacity: Kognition, Vitalität, Sensomotorisch, Lokomotion, Psychologisch. Follow-up-Strukturen und Vergleichsdesign etabliert; endgültige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Gesundheitssystem, prospektiv designt mit europäischen Standards; übertragbar auf Deutschland.</w:t>
      </w:r>
    </w:p>
    <w:p>
      <w:r>
        <w:rPr>
          <w:color w:val="5A7D3A"/>
          <w:sz w:val="18"/>
        </w:rPr>
        <w:t>https://pubmed.ncbi.nlm.nih.gov/42731824/</w:t>
      </w:r>
    </w:p>
    <w:p>
      <w:pPr>
        <w:pStyle w:val="Heading2"/>
      </w:pPr>
      <w:r>
        <w:t>Sitzzeit und Funktionsfähigkeit im Alter: Längere Sitzzeit reduziert Muskelmasse und ADL</w:t>
      </w:r>
    </w:p>
    <w:p>
      <w:r>
        <w:rPr>
          <w:i/>
          <w:color w:val="666666"/>
          <w:sz w:val="18"/>
        </w:rPr>
        <w:t>Yoon TH et al.  ·  PeerJ  ·  08.09.2026  ·  PMID 42730319</w:t>
      </w:r>
    </w:p>
    <w:p>
      <w:r>
        <w:t>Querschnittstudie an 200 Älteren (65–96 Jahre) zur Assoziation von täglicher Sitzzeit (&lt;6, 6–8, &gt;8 h) mit Sarcopenia-Markern und funktioneller Unabhängigkeit in ADL und IADL.</w:t>
      </w:r>
    </w:p>
    <w:p>
      <w:r>
        <w:rPr>
          <w:b/>
        </w:rPr>
        <w:t xml:space="preserve">Ergebnis: </w:t>
      </w:r>
      <w:r>
        <w:t>Höhere Sitzzeit war negativ mit Appendicular Skeletal Muscle (β = −0,415; p &lt; 0,001), Wadenschritt (β = −0,442; p &lt; 0,001) und Griffstärke (β = −0,385; p &lt; 0,001) assoziiert und positiv mit 5-Stühle-Stand-Test (β = 0,465; p &lt; 0,001). Sitzzeit korrelierte negativ mit ADL-Summe (β = −0,308; p &lt; 0,001) und IADL-Summe (β = −0,410; p &lt; 0,001). Assoziationen blieben nach Altersadjustierung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Prävention durch Reduktion von Sitzzeit ist in allen europäischen Kontexten implementierbar.</w:t>
      </w:r>
    </w:p>
    <w:p>
      <w:r>
        <w:rPr>
          <w:color w:val="5A7D3A"/>
          <w:sz w:val="18"/>
        </w:rPr>
        <w:t>https://pubmed.ncbi.nlm.nih.gov/42730319/</w:t>
      </w:r>
    </w:p>
    <w:p>
      <w:pPr>
        <w:pStyle w:val="Heading2"/>
      </w:pPr>
      <w:r>
        <w:t>Frailty und kognitives Altern: Assoziationen mit ungünstigeren kognitiven Verlaufsmustern</w:t>
      </w:r>
    </w:p>
    <w:p>
      <w:r>
        <w:rPr>
          <w:i/>
          <w:color w:val="666666"/>
          <w:sz w:val="18"/>
        </w:rPr>
        <w:t>Wang X et al.  ·  Alzheimers Dement  ·  Sept. 2026  ·  PMID 42723149</w:t>
      </w:r>
    </w:p>
    <w:p>
      <w:r>
        <w:t>Längsschnittstudie an 19.586 Personen aus drei nationalen Kohorten (China, England, USA) zur Assoziation von Frailty-Status und kognitiver Veränderung über Zeit.</w:t>
      </w:r>
    </w:p>
    <w:p>
      <w:r>
        <w:rPr>
          <w:b/>
        </w:rPr>
        <w:t xml:space="preserve">Ergebnis: </w:t>
      </w:r>
      <w:r>
        <w:t>Baseline-Frailty war mit stärkerem jährlichen kognitiven Rückgang assoziiert (β = −0,023 SD/Jahr; p &lt; 0,001). Verschlechterung von robust zu pre-frail oder frail war mit mehr negativem Rückgang verbunden (β = −0,025 SD/Jahr). In trajektoriengestützen Analysen zeigten Baseline-Frailty, höhere mittlere Frailty-Last und Frailty-Verschlechterung Assoziationen mit weniger günstigen kognitiven Verläufen. Frailty-Verbesserung war direktional mit günstigeren Gruppen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Vergleichbare nationale Gesundheitsdatenstrukturen; kognitives Altern als Endpunkt relevant für deutsche Versorgung.</w:t>
      </w:r>
    </w:p>
    <w:p>
      <w:r>
        <w:rPr>
          <w:color w:val="5A7D3A"/>
          <w:sz w:val="18"/>
        </w:rPr>
        <w:t>https://pubmed.ncbi.nlm.nih.gov/42723149/</w:t>
      </w:r>
    </w:p>
    <w:p>
      <w:pPr>
        <w:pStyle w:val="Heading2"/>
      </w:pPr>
      <w:r>
        <w:t>Frailty und COPD: bidirektionale Beziehung im Kontext von Systemalterung und Trainingsresponse</w:t>
      </w:r>
    </w:p>
    <w:p>
      <w:r>
        <w:rPr>
          <w:i/>
          <w:color w:val="666666"/>
          <w:sz w:val="18"/>
        </w:rPr>
        <w:t>Maniscalco M et al.  ·  Eur Respir Rev  ·  09.09.2026  ·  PMID 42716547</w:t>
      </w:r>
    </w:p>
    <w:p>
      <w:r>
        <w:t>Narrative Übersichtsarbeit zu biologischen und klinischen Verbindungen von COPD, Frailty und körperlicher Aktivität unter Anwendung von Geroscience-Prinzipien.</w:t>
      </w:r>
    </w:p>
    <w:p>
      <w:r>
        <w:rPr>
          <w:b/>
        </w:rPr>
        <w:t xml:space="preserve">Ergebnis: </w:t>
      </w:r>
      <w:r>
        <w:t>Gemeinsame biologische Mechanismen: chronische Entzündung, oxidativer Stress, Mitochondriendysfunktion, Muskelatrophie. Kombiniertes aerobes, Widerstands- und Balance-Training zeigt stärkste Evidenz zur Verbesserung von Funktionsstatus und Lebensqualität bei frail-COPD. Exercise induziert Hormeseeffekte: gesteigerte Mitochondriogenese, verbessertes Redox-Balance, Upregulation von antioxidativen Wegen und Zellreparaturmechanismen.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Geroscience-Rahmen auf deutsche COPD-Versorgung und Rehabilitation übertragbar.</w:t>
      </w:r>
    </w:p>
    <w:p>
      <w:r>
        <w:rPr>
          <w:color w:val="5A7D3A"/>
          <w:sz w:val="18"/>
        </w:rPr>
        <w:t>https://pubmed.ncbi.nlm.nih.gov/42716547/</w:t>
      </w:r>
    </w:p>
    <w:p>
      <w:pPr>
        <w:pStyle w:val="Heading2"/>
      </w:pPr>
      <w:r>
        <w:t>Normaler altersgerechter Rückgang der Vitalkapazität: systematische Analyse und Metaanalyse</w:t>
      </w:r>
    </w:p>
    <w:p>
      <w:r>
        <w:rPr>
          <w:i/>
          <w:color w:val="666666"/>
          <w:sz w:val="18"/>
        </w:rPr>
        <w:t>Satia I et al.  ·  Eur Respir Rev  ·  09.09.2026  ·  PMID 42716546</w:t>
      </w:r>
    </w:p>
    <w:p>
      <w:r>
        <w:t>Systematische Übersichtsarbeit und Metaanalyse von 35 Kohorten mit über 365.000 Teilnehmern zu altersbezogenen Veränderungen der Vitalkapazität (FVC) bei Personen ohne Lungenerkrankung über bis zu 35 Jahre Follow-up.</w:t>
      </w:r>
    </w:p>
    <w:p>
      <w:r>
        <w:rPr>
          <w:b/>
        </w:rPr>
        <w:t xml:space="preserve">Ergebnis: </w:t>
      </w:r>
      <w:r>
        <w:t>FVC erreicht Spitzenwert Mitte 20er, sinkt kontinuierlich linear ab ohne Plateau. Bei Frauen Abfall von ca. 26 mL/Jahr, bei Männern biphasisch: ca. 22 mL/Jahr vor 40 Jahren, dann ca. 36 mL/Jahr. Durchschnittlicher altersgerechter Rückgang 20–30 mL pro Jahr. Diese normativen Trajektorien sind essentiell zur Differenzierung gesunden Alterns von pathologischem Rückgang.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Spirometriestandards; Benchmark ist grundlegend für klinische Interpretation.</w:t>
      </w:r>
    </w:p>
    <w:p>
      <w:r>
        <w:rPr>
          <w:color w:val="5A7D3A"/>
          <w:sz w:val="18"/>
        </w:rPr>
        <w:t>https://pubmed.ncbi.nlm.nih.gov/42716546/</w:t>
      </w:r>
    </w:p>
    <w:p>
      <w:pPr>
        <w:pStyle w:val="Heading2"/>
      </w:pPr>
      <w:r>
        <w:t>Netzwerk-Analyse der Lebensqualität bei älteren Koreanern: Depression dominiert das frail-Netzwerk</w:t>
      </w:r>
    </w:p>
    <w:p>
      <w:r>
        <w:rPr>
          <w:i/>
          <w:color w:val="666666"/>
          <w:sz w:val="18"/>
        </w:rPr>
        <w:t>Kim S et al.  ·  Geriatr Gerontol Int  ·  Sept. 2026  ·  PMID 42716517</w:t>
      </w:r>
    </w:p>
    <w:p>
      <w:r>
        <w:t>Netzwerk-Analyse an 1.311 älteren Koreanern (≥65 Jahre) zur Struktur der gesundheitsbezogenen Lebensqualität (HRQoL) im Vergleich zwischen frail und non-frail-Gruppen.</w:t>
      </w:r>
    </w:p>
    <w:p>
      <w:r>
        <w:rPr>
          <w:b/>
        </w:rPr>
        <w:t xml:space="preserve">Ergebnis: </w:t>
      </w:r>
      <w:r>
        <w:t>Bei frail-Gruppe war Depression-Glück die stärkste Assoziation mit hoher Zentralität bei Arbeit, Depression, Glück und Schlaf. Bei non-frail-Gruppe dominierten physikalisch-soziale Domänen (Treppensteigen-Schmerz stärkster Link, zentral: Arbeit, Treppensteigen, Schmerz). Arbeit zeigte konsistent hohe Zentralität in beiden Gruppen, was Rollenpartizipation als Hebel für HRQoL-Verbesserung unterstreicht.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Strukturelle Vergleichbarkeit der Frailty-Definitionen mit europäischen Standards gegeben.</w:t>
      </w:r>
    </w:p>
    <w:p>
      <w:r>
        <w:rPr>
          <w:color w:val="5A7D3A"/>
          <w:sz w:val="18"/>
        </w:rPr>
        <w:t>https://pubmed.ncbi.nlm.nih.gov/42716517/</w:t>
      </w:r>
    </w:p>
    <w:p>
      <w:pPr>
        <w:pStyle w:val="Heading2"/>
      </w:pPr>
      <w:r>
        <w:t>Hereditäre hämorrhagische Teleangiektasie reduziert die Lebenserwartung um 7,5 Jahre</w:t>
      </w:r>
    </w:p>
    <w:p>
      <w:r>
        <w:rPr>
          <w:i/>
          <w:color w:val="666666"/>
          <w:sz w:val="18"/>
        </w:rPr>
        <w:t>Emanuelsson CA et al.  ·  J Intern Med  ·  06.07.2026  ·  PMID 42410718</w:t>
      </w:r>
    </w:p>
    <w:p>
      <w:r>
        <w:t>Schwedische populationsbasierte Registerstudie mit 393 HHT-Patienten und 1.965 alters- und geschlechtsgematchten Kontrollen zur Mortalität und Todesursachen über 17 Jahre Nachbeobachtung (2001–2018).</w:t>
      </w:r>
    </w:p>
    <w:p>
      <w:r>
        <w:rPr>
          <w:b/>
        </w:rPr>
        <w:t xml:space="preserve">Ergebnis: </w:t>
      </w:r>
      <w:r>
        <w:t>Lebenserwartung nach 30 Jahren bei HHT: 73,0 Jahre (68,0–77,2) vs. 80,5 Jahre (79,1–82,0) bei Kontrollen; Differenz 7,5 Jahre. Häufigere Todesursachen bei HHT: ischämische Herzerkrankung, arterielle Erkrankungen und Leberkrankheiten signifikant erhöht. HHT-Prävalenz: 9,3 pro 100.000 über 12 Jahre; mögliche Unterdiagnose bei milderen Symptomen.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Register mit Deutschland vergleichbar; Versorgungsplanning für rare diseases relevant.</w:t>
      </w:r>
    </w:p>
    <w:p>
      <w:r>
        <w:rPr>
          <w:color w:val="5A7D3A"/>
          <w:sz w:val="18"/>
        </w:rPr>
        <w:t>https://pubmed.ncbi.nlm.nih.gov/42410718/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