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14.09.2026  |  6 Studien  |  longevity.m-vf.de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Umweltbelastung und Frailty bei älteren Menschen nach Trauma: WTC-Responder-Kohorte</w:t>
      </w:r>
    </w:p>
    <w:p>
      <w:r>
        <w:rPr>
          <w:i/>
          <w:color w:val="666666"/>
          <w:sz w:val="18"/>
        </w:rPr>
        <w:t>Krasnov H et al.  ·  Nat Commun  ·  11.09.2026  ·  PMID 42728266</w:t>
      </w:r>
    </w:p>
    <w:p>
      <w:r>
        <w:t>Analysierte in Längsschnittkohort (18.734 WTC-Responder) den Zusammenhang zwischen städtischen Umweltexpositionen (Feinstaub, Temperatur, Grünflächen) und Frailty sowie psychiatrischen Symptomen, adjustiert für Traumaexposition.</w:t>
      </w:r>
    </w:p>
    <w:p>
      <w:r>
        <w:rPr>
          <w:b/>
        </w:rPr>
        <w:t xml:space="preserve">Ergebnis: </w:t>
      </w:r>
      <w:r>
        <w:t>Ein Dezil-Anstieg der Gesamt-Expositionsmischung assoziiert mit erhöhter Frailty (0,56%; 95%-KI: 0,14%-0,98%) und Post-Traumatic-Stress-Disorder-Scores (0,31%; 95%-KI: 0,07%-0,55%); Effekte stärker bei Responders mit höherer WTC-Exposition. Deutet auf biologische Langzeitvulnerabilität nach Trauma und Toxinexposition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USA-Kohorte; Befunde zu Umwelteffekten auf Frailty übertragbar, aber langfristige Trauma-Exposition länderspezifisch</w:t>
      </w:r>
    </w:p>
    <w:p>
      <w:r>
        <w:rPr>
          <w:color w:val="5A7D3A"/>
          <w:sz w:val="18"/>
        </w:rPr>
        <w:t>https://pubmed.ncbi.nlm.nih.gov/42728266/</w:t>
      </w:r>
    </w:p>
    <w:p>
      <w:pPr>
        <w:pStyle w:val="Heading2"/>
      </w:pPr>
      <w:r>
        <w:t>Terpenoide und Seneszenz in Lungenkrebszellen: Versorgungsrelevanz begrenzt</w:t>
      </w:r>
    </w:p>
    <w:p>
      <w:r>
        <w:rPr>
          <w:i/>
          <w:color w:val="666666"/>
          <w:sz w:val="18"/>
        </w:rPr>
        <w:t>Niharika K et al.  ·  Daru  ·  11.09.2026  ·  PMID 42726380</w:t>
      </w:r>
    </w:p>
    <w:p>
      <w:r>
        <w:t>Übersichtsarbeit zu 46 Terpenoiden mit Effekten auf Autophagie und zelluläre Seneszenz in Lungenkrebszellen in vitro (ohne In-vivo-Studien oder klinische Endpunkte).</w:t>
      </w:r>
    </w:p>
    <w:p>
      <w:r>
        <w:rPr>
          <w:b/>
        </w:rPr>
        <w:t xml:space="preserve">Ergebnis: </w:t>
      </w:r>
      <w:r>
        <w:t>Terpenoide beeinflussen zentrale Signalweg-Knoten (AMPK, NF-κB, MAPK, PI3K/AKT/mTOR, ROS, p53); begrenzte klinische Translation durch schlechte Löslichkeit und Bioverfügbarkeit. Überblick ohne Angabe von Effektgrößen oder klinischen Ergebnissen - ausgeschlossen da keine gemessenen Endpunkte beim Menschen.</w:t>
      </w:r>
    </w:p>
    <w:p>
      <w:r>
        <w:rPr>
          <w:color w:val="5A7D3A"/>
          <w:sz w:val="18"/>
        </w:rPr>
        <w:t>https://pubmed.ncbi.nlm.nih.gov/42726380/</w:t>
      </w:r>
    </w:p>
    <w:p>
      <w:pPr>
        <w:pStyle w:val="Heading2"/>
      </w:pPr>
      <w:r>
        <w:t>Muskelkraft und Mortalität im Alter: Versorgungsepidemiologie und Prävention</w:t>
      </w:r>
    </w:p>
    <w:p>
      <w:r>
        <w:rPr>
          <w:i/>
          <w:color w:val="666666"/>
          <w:sz w:val="18"/>
        </w:rPr>
        <w:t>Puelles-Diaz A  ·  Front Public Health  ·  27.08.2026  ·  PMID 42724145</w:t>
      </w:r>
    </w:p>
    <w:p>
      <w:r>
        <w:t>Analysierte Evidenz zur Muskelgesundheit (Kraft, Masse, Funktion) als eigenständiges Versorgungsziel in der Altersmedizin und entwickelte einen Implementierungsrahmen für Primary-Care-Assessment und Resistenztraining.</w:t>
      </w:r>
    </w:p>
    <w:p>
      <w:r>
        <w:rPr>
          <w:b/>
        </w:rPr>
        <w:t xml:space="preserve">Ergebnis: </w:t>
      </w:r>
      <w:r>
        <w:t>Muskelkraft sagt Mortalität voraus, unabhängig von körperlicher Aktivität; Randomisierte Studien mit bis zu 36 Monaten Nachverfolgung zeigen größere Nutzen durch Widerstands- und multimodale Trainingsprogramme (speziell bei Personen mit funktioneller Beeinträchtigung). Identifizierte drei Versorgungslücken: begrenzte Assessment-Nutzung in der Primärversorgung, fragmentierte Prävention mit Unterbewertung von Resistenztraining, fehlende funktionale Kapazität in globalen NCD-Rahmen.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 aus Japan, Europa, Nordamerika und Brasilien mit direktem deutschem Versorgungsbezug</w:t>
      </w:r>
    </w:p>
    <w:p>
      <w:r>
        <w:rPr>
          <w:color w:val="5A7D3A"/>
          <w:sz w:val="18"/>
        </w:rPr>
        <w:t>https://pubmed.ncbi.nlm.nih.gov/42724145/</w:t>
      </w:r>
    </w:p>
    <w:p>
      <w:pPr>
        <w:pStyle w:val="Heading2"/>
      </w:pPr>
      <w:r>
        <w:t>Transitions-Care-Programm in Australien: Effektivität und Kosten 2006-2024</w:t>
      </w:r>
    </w:p>
    <w:p>
      <w:r>
        <w:rPr>
          <w:i/>
          <w:color w:val="666666"/>
          <w:sz w:val="18"/>
        </w:rPr>
        <w:t>Reid N et al.  ·  Australas J Ageing  ·  Sept. 2026  ·  PMID 42712137</w:t>
      </w:r>
    </w:p>
    <w:p>
      <w:r>
        <w:t>Analysierte 18 Jahre öffentlicher Daten zum australischen Kurz-Rehabilitations-Programm nach Klinikaufenthalt (Demografie, Inanspruchnahme, Kosten, funktioneller Status mit Modified-Barthel-Index).</w:t>
      </w:r>
    </w:p>
    <w:p>
      <w:r>
        <w:rPr>
          <w:b/>
        </w:rPr>
        <w:t xml:space="preserve">Ergebnis: </w:t>
      </w:r>
      <w:r>
        <w:t>351.981 Klienten über Studienzeitraum; Fallzahlen pro anno +143% (2006-2007 bis 2016-2017), dann Rückgang auf 14.388 (2022-2023). Verweildauer +60% (48 auf 77 Tage), Durchschnittskosten pro Episode +261% (A$9.996 auf A$36.093), jedoch minimale Änderung in Ein- (69,7-72,1) oder Austritts-MBI (79,5-83). Weniger Menschen erhalten Zugang trotz wachsender Bevölkerung und steigender zugeteilter Plätze.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ähnliche Versorgungsstrukturen und Finanzierung wie europäische Sozialsysteme</w:t>
      </w:r>
    </w:p>
    <w:p>
      <w:r>
        <w:rPr>
          <w:color w:val="5A7D3A"/>
          <w:sz w:val="18"/>
        </w:rPr>
        <w:t>https://pubmed.ncbi.nlm.nih.gov/42712137/</w:t>
      </w:r>
    </w:p>
    <w:p>
      <w:pPr>
        <w:pStyle w:val="Heading2"/>
      </w:pPr>
      <w:r>
        <w:t>Wohlbefinden und Kognitives Reserve in spanischer Alterskohorte: Freizeit und psychische Gesundheit</w:t>
      </w:r>
    </w:p>
    <w:p>
      <w:r>
        <w:rPr>
          <w:i/>
          <w:color w:val="666666"/>
          <w:sz w:val="18"/>
        </w:rPr>
        <w:t>Bodner E et al.  ·  J Cross Cult Gerontol  ·  08.09.2026  ·  PMID 42709276</w:t>
      </w:r>
    </w:p>
    <w:p>
      <w:r>
        <w:t>Untersuchte Assoziationen zwischen Freizeit-aktivitäten, kognitiver Reservefähigkeit und psychologischem Wohlbefinden bei älteren Spaniern im Wohngebiet (Gedächtnisleistung, Aufmerksamkeit, Depression, Angst, Lebenszufriedenheit, Einsamkeit).</w:t>
      </w:r>
    </w:p>
    <w:p>
      <w:r>
        <w:rPr>
          <w:b/>
        </w:rPr>
        <w:t xml:space="preserve">Ergebnis: </w:t>
      </w:r>
      <w:r>
        <w:t>Höhere Cognitive-Reserve-Scores assoziiert mit niedrigerem wahrgenommenem Stress (bei Männern) und besserer Aufmerksamkeitsleistung; Geschlechtsspezifische Unterschiede in der Assoziation zwischen Freizeitaktivitäten und Stresswahrnehmung (Frauen zeigten keine signifikanten Zusammenhänge). Erklärt potenzielle Mechanismen zwischen kognitiver Reservefähigkeit und psychologischem Wohlbefinden im 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Allgemeinbevölkerung, vergleichbare europäische Gesundheitssysteme und Sozialstruktur</w:t>
      </w:r>
    </w:p>
    <w:p>
      <w:r>
        <w:rPr>
          <w:color w:val="5A7D3A"/>
          <w:sz w:val="18"/>
        </w:rPr>
        <w:t>https://pubmed.ncbi.nlm.nih.gov/42709276/</w:t>
      </w:r>
    </w:p>
    <w:p>
      <w:pPr>
        <w:pStyle w:val="Heading2"/>
      </w:pPr>
      <w:r>
        <w:t>Healthspan-Strategien im italienischen Gesundheitssystem: Rahmenbedingungen und Prioritäten</w:t>
      </w:r>
    </w:p>
    <w:p>
      <w:r>
        <w:rPr>
          <w:i/>
          <w:color w:val="666666"/>
          <w:sz w:val="18"/>
        </w:rPr>
        <w:t>Marino N et al.  ·  Aging (Albany NY)  ·  16.07.2026  ·  PMID 42467494</w:t>
      </w:r>
    </w:p>
    <w:p>
      <w:r>
        <w:t>Position Paper zur Integration von Longevity Medicine (Prävention mit mehromischen Biomarkern und Risikoschichtung) in das italienische SSN vor dem Hintergrund von 24,1% der Bevölkerung ≥65 Jahre und einer Healthspan-Lücke von 15-16 Jahren.</w:t>
      </w:r>
    </w:p>
    <w:p>
      <w:r>
        <w:rPr>
          <w:b/>
        </w:rPr>
        <w:t xml:space="preserve">Ergebnis: </w:t>
      </w:r>
      <w:r>
        <w:t>Italien: höchster EU-Anteil Älterer (24,1%), median age 51 Jahre bis 2050 projiziert; Lebenserw. 85,4 (Frauen) / 81,4 (Männer) Jahre vs. gesunde Lebensjahre 69,6 / 68,5 (Lücke: 15-18 Jahre); Multimorbiditäts- und Behinderungsprävalenz &gt;60% bei ≥75-Jährigen. Empfiehlt fünf Investitionsprioritäten: validierte Biomarker biologisches Alter, digitale Plattformen, adaptive Studien, explainable-AI-Risikoschichtung, Lehrcurricula.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mit deutschsprachigem Raum vergleichbare Bevölkerungsstruktur und Sozialversicherung</w:t>
      </w:r>
    </w:p>
    <w:p>
      <w:r>
        <w:rPr>
          <w:color w:val="5A7D3A"/>
          <w:sz w:val="18"/>
        </w:rPr>
        <w:t>https://pubmed.ncbi.nlm.nih.gov/42467494/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