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19.10.2026  |  6 Studien  |  longevity.m-vf.de</w:t>
      </w:r>
    </w:p>
    <w:p>
      <w:pPr>
        <w:pStyle w:val="Heading1"/>
      </w:pPr>
      <w:r>
        <w:t>Aufgenommen am 19.10.2026</w:t>
      </w:r>
    </w:p>
    <w:p>
      <w:pPr>
        <w:pStyle w:val="Heading2"/>
      </w:pPr>
      <w:r>
        <w:t>Geriatrische Schulungslücken in ambulanter Versorgung: Bedarfsanalyse aus 41 europäischen Ländern</w:t>
      </w:r>
    </w:p>
    <w:p>
      <w:r>
        <w:rPr>
          <w:i/>
          <w:color w:val="666666"/>
          <w:sz w:val="18"/>
        </w:rPr>
        <w:t>Kravvariti E et al.  ·  Age Ageing  ·  03.08.2026  ·  PMID 42891966</w:t>
      </w:r>
    </w:p>
    <w:p>
      <w:r>
        <w:t>Querschnittsbefragung von 2380 Fachkräften (Ärzte, Pflege, Diätassistenten, Therapeuten) aus Ambulanzen und häuslichen Diensten zur Selbsteinschätzung ihres Wissensstands bei 33 geriatrischen Themen.</w:t>
      </w:r>
    </w:p>
    <w:p>
      <w:r>
        <w:rPr>
          <w:b/>
        </w:rPr>
        <w:t xml:space="preserve">Ergebnis: </w:t>
      </w:r>
      <w:r>
        <w:t>Erhebliche Wissenslücken in allen Berufsgruppen: Umfassendes geriatrisches Assessment, Frailty-Screening, Polymedikation und Deprescribing, Sarkopenie, Dysphagie sowie Verhaltens- und Depressionssymptome bei Demenz zählten zu den Top-Defiziten. Profession-spezifische Prioritäten: Kommunikation und Vorsorgeverfügungen für Pflege, Deprescribing für Ärzte und Apotheker, Ernährungsassessment für Diätassistenten.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41 europäische Länder, direkt relevant für deutschsprachigen Raum und Versorgungsstrukturen</w:t>
      </w:r>
    </w:p>
    <w:p>
      <w:r>
        <w:rPr>
          <w:color w:val="5A7D3A"/>
          <w:sz w:val="18"/>
        </w:rPr>
        <w:t>https://pubmed.ncbi.nlm.nih.gov/42891966/</w:t>
      </w:r>
    </w:p>
    <w:p>
      <w:pPr>
        <w:pStyle w:val="Heading2"/>
      </w:pPr>
      <w:r>
        <w:t>Elektronischer Frailty-Index sagt Sterblichkeit bei älteren Menschen voraus</w:t>
      </w:r>
    </w:p>
    <w:p>
      <w:r>
        <w:rPr>
          <w:i/>
          <w:color w:val="666666"/>
          <w:sz w:val="18"/>
        </w:rPr>
        <w:t>Du X et al.  ·  Front Public Health  ·  02.10.2026  ·  PMID 42890831</w:t>
      </w:r>
    </w:p>
    <w:p>
      <w:r>
        <w:t>Systematische Übersichtsarbeit und Meta-Analyse von 12 Studien (13 Kohorten mit 11 Hazard-Ratio- und 2 Odds-Ratio-Analysen) zur Assoziation zwischen elektronischem Frailty-Index (eFI) und Mortalität.</w:t>
      </w:r>
    </w:p>
    <w:p>
      <w:r>
        <w:rPr>
          <w:b/>
        </w:rPr>
        <w:t xml:space="preserve">Ergebnis: </w:t>
      </w:r>
      <w:r>
        <w:t>Dosisabhängige Assoziation: Milde Frailty (HR 1,81), moderate Frailty (HR 2,95) und schwere Frailty (HR 4,41) gegenüber nicht-frailer Gruppe. Erhebliche Heterogenität zwischen Studien je nach Nachbeobachtungsdauer, eFI-Schwellenwert und Studienumfeld. eFI scheint nützlich für Frailty-Screening und Risikostratifizierung, aber Ergebnisse erfordern vorsichtige Interpretation.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andere, elektronische Gesundheitsregisterdaten wie in Deutschland verfügbar</w:t>
      </w:r>
    </w:p>
    <w:p>
      <w:r>
        <w:rPr>
          <w:color w:val="5A7D3A"/>
          <w:sz w:val="18"/>
        </w:rPr>
        <w:t>https://pubmed.ncbi.nlm.nih.gov/42890831/</w:t>
      </w:r>
    </w:p>
    <w:p>
      <w:pPr>
        <w:pStyle w:val="Heading2"/>
      </w:pPr>
      <w:r>
        <w:t>Orale Frailty bei älteren Menschen mit Multimorbidität: Prävalenz 71,2%, verknüpft mit körperlicher Frailty</w:t>
      </w:r>
    </w:p>
    <w:p>
      <w:r>
        <w:rPr>
          <w:i/>
          <w:color w:val="666666"/>
          <w:sz w:val="18"/>
        </w:rPr>
        <w:t>Zhou Y et al.  ·  Front Public Health  ·  02.10.2026  ·  PMID 42890626</w:t>
      </w:r>
    </w:p>
    <w:p>
      <w:r>
        <w:t>Querschnittsstudie von 393 Personen ≥60 Jahre mit ≥1 chronischer Erkrankung in Nordostchina zur Prävalenz oraler Frailty mittels Oral Frailty Index-8 (OFI-8) und assoziierten Faktoren.</w:t>
      </w:r>
    </w:p>
    <w:p>
      <w:r>
        <w:rPr>
          <w:b/>
        </w:rPr>
        <w:t xml:space="preserve">Ergebnis: </w:t>
      </w:r>
      <w:r>
        <w:t>71,2% (n=280) orale Frailty (OFI-8: 5,61±2,58). Häufigste Items: Schwierigkeiten mit harter Nahrung 62,3%, Verschlucken 48,6%, Mundtrockenheit 45,8%. Unabhängig assoziiert: höheres Alter, weibliches Geschlecht, niedriges Einkommen, niedriger/hoher BMI, Alkoholkonsum, körperliche Frailty, Schlafstörung, negative Altersattitude, ≥3 Erkrankungen, Diabetes (alle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ethnische Minderheit – überwiegend strukturelle Befunde, Screening-Befund direkt relevant</w:t>
      </w:r>
    </w:p>
    <w:p>
      <w:r>
        <w:rPr>
          <w:color w:val="5A7D3A"/>
          <w:sz w:val="18"/>
        </w:rPr>
        <w:t>https://pubmed.ncbi.nlm.nih.gov/42890626/</w:t>
      </w:r>
    </w:p>
    <w:p>
      <w:pPr>
        <w:pStyle w:val="Heading2"/>
      </w:pPr>
      <w:r>
        <w:t>Frailty mit multilokulalen Schmerzen vergesellschaftet, teilweise durch Depression vermittelt</w:t>
      </w:r>
    </w:p>
    <w:p>
      <w:r>
        <w:rPr>
          <w:i/>
          <w:color w:val="666666"/>
          <w:sz w:val="18"/>
        </w:rPr>
        <w:t>Cheng Y et al.  ·  Medicine (Baltimore)  ·  16.10.2026  ·  PMID 42888628</w:t>
      </w:r>
    </w:p>
    <w:p>
      <w:r>
        <w:t>Querschnittsanalyse von 5281 Personen ≥45 Jahre aus China Health and Retirement Longitudinal Study zu Assoziation zwischen korrigiertem modifiziertem Frailty-Index (CMFI) und chronischen Schmerzen mit Mediationsanalyse.</w:t>
      </w:r>
    </w:p>
    <w:p>
      <w:r>
        <w:rPr>
          <w:b/>
        </w:rPr>
        <w:t xml:space="preserve">Ergebnis: </w:t>
      </w:r>
      <w:r>
        <w:t>Höherer CMFI stark mit erhöhtem Schmerz-Risiko assoziiert: Höchstes vs. niedrigstes CMFI-Quartil zeigte 11,6-fach erhöhtes Risiko für Kreuzschmerzen, 17,0-fach für Multisite-Schmerzen und 11,5-fach höhere Schmerzlokalisationen. Depression vermittelte ca. 30% dieser Assoziationen. Unterschiede nach Alter, Bildung und Wohnort.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Altersstruktur – Befunde aber nicht direkt auf deutsche Sozialversicherung übertragbar</w:t>
      </w:r>
    </w:p>
    <w:p>
      <w:r>
        <w:rPr>
          <w:color w:val="5A7D3A"/>
          <w:sz w:val="18"/>
        </w:rPr>
        <w:t>https://pubmed.ncbi.nlm.nih.gov/42888628/</w:t>
      </w:r>
    </w:p>
    <w:p>
      <w:pPr>
        <w:pStyle w:val="Heading2"/>
      </w:pPr>
      <w:r>
        <w:t>Höhere Frailty mit schlechterer Herzgesundheit: Dosis-Wirkungs-Beziehung in US-Stichprobe</w:t>
      </w:r>
    </w:p>
    <w:p>
      <w:r>
        <w:rPr>
          <w:i/>
          <w:color w:val="666666"/>
          <w:sz w:val="18"/>
        </w:rPr>
        <w:t>Yan W et al.  ·  Medicine (Baltimore)  ·  16.10.2026  ·  PMID 42888560</w:t>
      </w:r>
    </w:p>
    <w:p>
      <w:r>
        <w:t>Querschnittsanalyse von 8015 Erwachsenen ≥20 Jahre aus NHANES 2007–2018 zur Assoziation zwischen Frailty-Index und kardiovaskulärer Gesundheit nach American Heart Association Definition.</w:t>
      </w:r>
    </w:p>
    <w:p>
      <w:r>
        <w:rPr>
          <w:b/>
        </w:rPr>
        <w:t xml:space="preserve">Ergebnis: </w:t>
      </w:r>
      <w:r>
        <w:t>Höhere Frailty-Niveaus linear mit erhöhtem Risiko schlechter kardiovaskulärer Gesundheit assoziiert (dosisabhängig). Serum-25(OH)D-Level unabhängig invers mit schlechter kardiovaskulärer Gesundheit assoziiert. Keine statistisch signifikante multiplikative Interaktion zwischen Frailty und 25(OH)D. Assoziationen variierten nach Geschlecht und 25(OH)D-Status.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Frailty-Kardiovaskularität-Assoziation prinzipiell übertragbar</w:t>
      </w:r>
    </w:p>
    <w:p>
      <w:r>
        <w:rPr>
          <w:color w:val="5A7D3A"/>
          <w:sz w:val="18"/>
        </w:rPr>
        <w:t>https://pubmed.ncbi.nlm.nih.gov/42888560/</w:t>
      </w:r>
    </w:p>
    <w:p>
      <w:pPr>
        <w:pStyle w:val="Heading2"/>
      </w:pPr>
      <w:r>
        <w:t>Handgriffkraft und Stuhlaufstehen als Functional-Indikatoren: Methodische Vorbehalte bei multizentrischen Studien</w:t>
      </w:r>
    </w:p>
    <w:p>
      <w:r>
        <w:rPr>
          <w:i/>
          <w:color w:val="666666"/>
          <w:sz w:val="18"/>
        </w:rPr>
        <w:t>Kudratova Z et al.  ·  Aging Clin Exp Res  ·  15.10.2026  ·  PMID 42875631</w:t>
      </w:r>
    </w:p>
    <w:p>
      <w:r>
        <w:t>Methodologischer Kommentar zu Prospektivanalyse über kumulative Handgriffkraft und erfolgreiches Altern in drei internationalen Kohorten, kritische Bewertung von Studiendesign und Vergleichbarkeit.</w:t>
      </w:r>
    </w:p>
    <w:p>
      <w:r>
        <w:rPr>
          <w:b/>
        </w:rPr>
        <w:t xml:space="preserve">Ergebnis: </w:t>
      </w:r>
      <w:r>
        <w:t>Handgriffkraft erfasst nicht alle funktionellen Determinanten erfolgreiches Alterns. Selbstberichtete chronische Erkrankungen verursachen Klassifizierungsfehler (unterschiedlich nach Sozioökonomie). Zwei-Phasen-Temporaldesign adressiert Selektionsbias und Kohortengrenzen unzureichend. Kohorten-relatives kognitives Schwellenwert gefährdet Bevölkerungsvergleichbarkeit. Empfehlung: stärkere methodologische Reflexion und Standardisierung.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 (USA, Asien, Europa), Methoden-Review – Design-Kritik grundsätzlich relevant</w:t>
      </w:r>
    </w:p>
    <w:p>
      <w:r>
        <w:rPr>
          <w:color w:val="5A7D3A"/>
          <w:sz w:val="18"/>
        </w:rPr>
        <w:t>https://pubmed.ncbi.nlm.nih.gov/42875631/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2026-10-19T06:00:00Z</dcterms:created>
  <dcterms:modified xsi:type="dcterms:W3CDTF">2026-10-19T06:00:00Z</dcterms:modified>
  <cp:category/>
</cp:coreProperties>
</file>