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07.09.2026  |  6 Studien  |  longevity.m-vf.de</w:t>
      </w:r>
    </w:p>
    <w:p>
      <w:pPr>
        <w:pStyle w:val="Heading1"/>
      </w:pPr>
      <w:r>
        <w:t>Aufgenommen am 07.09.2026</w:t>
      </w:r>
    </w:p>
    <w:p>
      <w:pPr>
        <w:pStyle w:val="Heading2"/>
      </w:pPr>
      <w:r>
        <w:t>Kardiovaskuläre Gesundheit und Gehirngesundheit: Lebenserwartung ohne Schlaganfall und Demenz</w:t>
      </w:r>
    </w:p>
    <w:p>
      <w:r>
        <w:rPr>
          <w:i/>
          <w:color w:val="666666"/>
          <w:sz w:val="18"/>
        </w:rPr>
        <w:t>DU Y et al.  ·  Zhong Nan Da Xue Xue Bao Yi Xue Ban  ·  28.06.2026  ·  PMID 42702379</w:t>
      </w:r>
    </w:p>
    <w:p>
      <w:r>
        <w:t>Prospektive Kohortenstudie mit 122 953 Erwachsenen (37–73 Jahre) aus der UK Biobank untersuchte, wie ein Life's Essential 10-Framework (CVH-Bewertung mit 10 Komponenten) die Lebenserwartung ohne Schlaganfall und Demenz beeinflusst.</w:t>
      </w:r>
    </w:p>
    <w:p>
      <w:r>
        <w:rPr>
          <w:b/>
        </w:rPr>
        <w:t xml:space="preserve">Ergebnis: </w:t>
      </w:r>
      <w:r>
        <w:t>Bei hoher kardiovaskulärer Gesundheit (CVH) betrug die Lebenserwartung ohne Schlaganfall/Demenz im Alter 50 Jahren für Männer 31,8 Jahre (95%-KI 31,1–32,5) vs. 24,9 Jahre bei niedriger CVH; für Frauen 35,5 Jahre (95%-KI 34,7–36,2) vs. 28,4 Jahre. Hochrisiko-HRs: Männer HR=0,59 (95%-KI 0,52–0,67), Frauen HR=0,50 (95%-KI 0,42–0,59) für Schlaganfall/Demenz.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vergleichbare Sozialversicherungssysteme in Europa</w:t>
      </w:r>
    </w:p>
    <w:p>
      <w:r>
        <w:rPr>
          <w:color w:val="5A7D3A"/>
          <w:sz w:val="18"/>
        </w:rPr>
        <w:t>https://pubmed.ncbi.nlm.nih.gov/42702379/</w:t>
      </w:r>
    </w:p>
    <w:p>
      <w:pPr>
        <w:pStyle w:val="Heading2"/>
      </w:pPr>
      <w:r>
        <w:t>Wachstumshormonenantagenismus verlängert Lebensspanne bei Mäusen</w:t>
      </w:r>
    </w:p>
    <w:p>
      <w:r>
        <w:rPr>
          <w:i/>
          <w:color w:val="666666"/>
          <w:sz w:val="18"/>
        </w:rPr>
        <w:t>List EO et al.  ·  Aging Cell  ·  Sept. 2026  ·  PMID 42701998</w:t>
      </w:r>
    </w:p>
    <w:p>
      <w:r>
        <w:t>Studie an Transgenic-Mäusen untersuchte, ob Blockade der Wachstumshormonaktivität (mittels Pegvisomant-äquivalenter Substanz) die Lebensdauer und Gesundheit im Alter verbessert.</w:t>
      </w:r>
    </w:p>
    <w:p>
      <w:r>
        <w:rPr>
          <w:b/>
        </w:rPr>
        <w:t xml:space="preserve">Ergebnis: </w:t>
      </w:r>
      <w:r>
        <w:t>GH-Antagonismus-Mäuse zeigten signifikante Lebensverlängerung: Mediane Lebensspanne bei Männchen p=0,044, bei Weibchen p=2×10−8; maximale Lebensspanne um 186 Tage (Männchen) bzw. 265 Tage (Weibchen) verlängert. 2-jährige GHA-Mäuse zeigten geringere Frailty mit erhöhter Griffstärke trotz erhöhter Adiposität.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Präklinisches Mausmodell; klinische Übertragbarkeit begrenzt, aber Pegvisomant FDA-zugelassen für Akromegalie beim Menschen</w:t>
      </w:r>
    </w:p>
    <w:p>
      <w:r>
        <w:rPr>
          <w:color w:val="5A7D3A"/>
          <w:sz w:val="18"/>
        </w:rPr>
        <w:t>https://pubmed.ncbi.nlm.nih.gov/42701998/</w:t>
      </w:r>
    </w:p>
    <w:p>
      <w:pPr>
        <w:pStyle w:val="Heading2"/>
      </w:pPr>
      <w:r>
        <w:t>Frailty als unabhängiger Mortalitätsprediktor bei Brustkrebsüberlebenden</w:t>
      </w:r>
    </w:p>
    <w:p>
      <w:r>
        <w:rPr>
          <w:i/>
          <w:color w:val="666666"/>
          <w:sz w:val="18"/>
        </w:rPr>
        <w:t>Wu C et al.  ·  Medicine (Baltimore)  ·  04.09.2026  ·  PMID 42700073</w:t>
      </w:r>
    </w:p>
    <w:p>
      <w:r>
        <w:t>Analyse von 625 128 Teilnehmern (9 941 Brustkrebsüberlebende) aus dem National Health Interview Survey 1997–2018 mit Mortalitätsfolgeup bis 2019 untersuchte Frailty als Mortalitätsprädikator.</w:t>
      </w:r>
    </w:p>
    <w:p>
      <w:r>
        <w:rPr>
          <w:b/>
        </w:rPr>
        <w:t xml:space="preserve">Ergebnis: </w:t>
      </w:r>
      <w:r>
        <w:t>Bei Brustkrebsüberlebenden zeigten Pre-Frailty (HR=1,44; 95%-KI 1,39–1,51) und Frailty (HR=1,70; 95%-KI 1,49–1,94) unabhängig erhöhte Mortalität. Unter 60-Jährigen: Frailty stark prädiktiv (HR=2,46; 95%-KI 1,52–4,00), Pre-Frailty nicht signifikant. Systematisches Frailty-Screening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nationale Versorgungsdaten; Frailty-Definition auf andere Systeme übertragbar</w:t>
      </w:r>
    </w:p>
    <w:p>
      <w:r>
        <w:rPr>
          <w:color w:val="5A7D3A"/>
          <w:sz w:val="18"/>
        </w:rPr>
        <w:t>https://pubmed.ncbi.nlm.nih.gov/42700073/</w:t>
      </w:r>
    </w:p>
    <w:p>
      <w:pPr>
        <w:pStyle w:val="Heading2"/>
      </w:pPr>
      <w:r>
        <w:t>Frailty-Verbesserung senkt Demenzrisiko bei älteren Erwachsenen</w:t>
      </w:r>
    </w:p>
    <w:p>
      <w:r>
        <w:rPr>
          <w:i/>
          <w:color w:val="666666"/>
          <w:sz w:val="18"/>
        </w:rPr>
        <w:t>Fang J et al.  ·  J Affect Disord  ·  01.12.2026  ·  PMID 42600788</w:t>
      </w:r>
    </w:p>
    <w:p>
      <w:r>
        <w:t>Longitudinale Kohortenanalyse von 59 331 Erwachsenen (≥50 Jahre) aus vier internationalen Studien (HRS, CHARLS, SHARE, ELSA) untersuchte, ob Frailty-Umkehr das Demenzrisiko reduziert und welche Rolle depressive Symptome spielen.</w:t>
      </w:r>
    </w:p>
    <w:p>
      <w:r>
        <w:rPr>
          <w:b/>
        </w:rPr>
        <w:t xml:space="preserve">Ergebnis: </w:t>
      </w:r>
      <w:r>
        <w:t>Über 7,51±2,09 Jahre entwickelten 9,49 % Demenz. Frailty-Verschlechterung erhöhte das Risiko (HR 1,43–2,53), während Frailty-Verbesserung in SHARE (HR=0,55) und CHARLS (HR=0,70) mit geringerem Risiko assoziiert war. Depressive Symptome mediieren 29,29–44,78 % der Assoziation zwischen Frailty und Demenz.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Studien (SHARE, ELSA) einbezogen; vergleichbare Versorgungssysteme</w:t>
      </w:r>
    </w:p>
    <w:p>
      <w:r>
        <w:rPr>
          <w:color w:val="5A7D3A"/>
          <w:sz w:val="18"/>
        </w:rPr>
        <w:t>https://pubmed.ncbi.nlm.nih.gov/42600788/</w:t>
      </w:r>
    </w:p>
    <w:p>
      <w:pPr>
        <w:pStyle w:val="Heading2"/>
      </w:pPr>
      <w:r>
        <w:t>Maschinelles Lernen vorhersagt depressive Symptome bei älteren Erwachsenen in Großbritannien</w:t>
      </w:r>
    </w:p>
    <w:p>
      <w:r>
        <w:rPr>
          <w:i/>
          <w:color w:val="666666"/>
          <w:sz w:val="18"/>
        </w:rPr>
        <w:t>Khorram B et al.  ·  JMIR Form Res  ·  02.07.2026  ·  PMID 42390822</w:t>
      </w:r>
    </w:p>
    <w:p>
      <w:r>
        <w:t>Machine-Learning-Studie mit Daten aus vier Wellen der English Longitudinal Study of Ageing (ELSA) zur Vorhersage klinisch bedeutsamer depressiver Symptome (CES-D 8≥4) im 2-Jahres-Follow-up bei über 50-Jährigen.</w:t>
      </w:r>
    </w:p>
    <w:p>
      <w:r>
        <w:rPr>
          <w:b/>
        </w:rPr>
        <w:t xml:space="preserve">Ergebnis: </w:t>
      </w:r>
      <w:r>
        <w:t>Beste Modelle erreichten mittlere AUROC von 0,72–0,73 (Peak 0,75). Ordinale Codierung übertraf One-Hot-Codierung. Konsistente Prädiktoren: Einsamkeit, Schlafstörungen, geringe soziale Bindung. Sensitivitätsanalysen über CES-D-Schwellwerte robust (AUROC 0,67–0,82).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Studie mit europäischem Sozialversicherungssystem; Prädiktoren für Screeningtools übertragbar</w:t>
      </w:r>
    </w:p>
    <w:p>
      <w:r>
        <w:rPr>
          <w:color w:val="5A7D3A"/>
          <w:sz w:val="18"/>
        </w:rPr>
        <w:t>https://pubmed.ncbi.nlm.nih.gov/42390822/</w:t>
      </w:r>
    </w:p>
    <w:p>
      <w:pPr>
        <w:pStyle w:val="Heading2"/>
      </w:pPr>
      <w:r>
        <w:t>Biologische Alterungsbeschleunigung als Risikofaktor für Lebererkrankung im UK Biobank</w:t>
      </w:r>
    </w:p>
    <w:p>
      <w:r>
        <w:rPr>
          <w:i/>
          <w:color w:val="666666"/>
          <w:sz w:val="18"/>
        </w:rPr>
        <w:t>Yang X et al.  ·  Front Endocrinol (Lausanne)  ·  17.06.2026  ·  PMID 42388879</w:t>
      </w:r>
    </w:p>
    <w:p>
      <w:r>
        <w:t>Studie untersuchte die Assoziation zwischen beschleunigtem biologischem Alter und hospitalisierten Fällen von Stoffwechsel-assoziierter Steatose-Lebererkrankung (MASLD) an 247 444 Personen über 13,7 Jahre Nachbeobachtung.</w:t>
      </w:r>
    </w:p>
    <w:p>
      <w:r>
        <w:rPr>
          <w:b/>
        </w:rPr>
        <w:t xml:space="preserve">Ergebnis: </w:t>
      </w:r>
      <w:r>
        <w:t>Beschleunigtes biologisches Alter (PhenoAge-Beschleunigung) war mit erhöhtem MASLD-Risiko assoziiert (HR=1,46; 95%-KI 1,35–1,57). PhenoAge-Beschleunigung erklärte 11,4–25,5 % der Assoziation zwischen ungesundem Lebensstil (Rauchen, Alkohol, schlechte Ernährung, Bewegungsmangel) und MASLD, mit stärkstem Effekt beim Rauchen (25,5 %).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übertragbar für europäische Sozialversicherungssysteme</w:t>
      </w:r>
    </w:p>
    <w:p>
      <w:r>
        <w:rPr>
          <w:color w:val="5A7D3A"/>
          <w:sz w:val="18"/>
        </w:rPr>
        <w:t>https://pubmed.ncbi.nlm.nih.gov/42388879/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2026-09-07T06:00:00Z</dcterms:created>
  <dcterms:modified xsi:type="dcterms:W3CDTF">2026-09-07T06:00:00Z</dcterms:modified>
  <cp:category/>
</cp:coreProperties>
</file>