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29.08.2026  |  6 Studien  |  longevity.m-vf.de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Frailty verdoppelt Mortalität und Pflegebedarf bei hospitalisierten Älteren</w:t>
      </w:r>
    </w:p>
    <w:p>
      <w:r>
        <w:rPr>
          <w:i/>
          <w:color w:val="666666"/>
          <w:sz w:val="18"/>
        </w:rPr>
        <w:t>Kamo T et al.  ·  Geriatr Gerontol Int  ·  Sept. 2026  ·  PMID 42642794</w:t>
      </w:r>
    </w:p>
    <w:p>
      <w:r>
        <w:t>Systematische Übersicht und Metaanalyse von 57 Kohortenstudien zu Auswirkungen von Frailty auf Aktivitäten des täglichen Lebens und klinische Outcomes bei hospitalisierten älteren Erwachsenen (≥65 Jahre).</w:t>
      </w:r>
    </w:p>
    <w:p>
      <w:r>
        <w:rPr>
          <w:b/>
        </w:rPr>
        <w:t xml:space="preserve">Ergebnis: </w:t>
      </w:r>
      <w:r>
        <w:t>Frailty war assoziiert mit schlechterer ADL-Funktionsfähigkeit (SMD –1,04), höherer Mortalität (RR 2,26), niedrigerer Wahrscheinlichkeit von Entlassung nach Hause (RR 0,79) und höherem Wiederaufnahmerisiko in 30 Tagen (RR 1,47). Diese Effekte waren konsistent über Studien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anglo-amerikanische und europäische Studien; Frailty-Screening ist systemübergreifend anwendbar</w:t>
      </w:r>
    </w:p>
    <w:p>
      <w:r>
        <w:rPr>
          <w:color w:val="5A7D3A"/>
          <w:sz w:val="18"/>
        </w:rPr>
        <w:t>https://pubmed.ncbi.nlm.nih.gov/42642794/</w:t>
      </w:r>
    </w:p>
    <w:p>
      <w:pPr>
        <w:pStyle w:val="Heading2"/>
      </w:pPr>
      <w:r>
        <w:t>Plasma-Biomarker p-tau217 bei älteren Patienten: Nierenfunktion erklärt mehr Varianz als Gebrechlichkeit</w:t>
      </w:r>
    </w:p>
    <w:p>
      <w:r>
        <w:rPr>
          <w:i/>
          <w:color w:val="666666"/>
          <w:sz w:val="18"/>
        </w:rPr>
        <w:t>Goll J et al.  ·  Alzheimers Dement  ·  Aug. 2026  ·  PMID 42625502</w:t>
      </w:r>
    </w:p>
    <w:p>
      <w:r>
        <w:t>Querschnittsuntersuchung von 283 älteren Patienten (Norfrail- und Dementia-Cohort) zur Assoziation zwischen Gebrechlichkeit und Plasma-Biomarkern (p-tau217, Neurofilament-Leichte-Kette, GFAP) für Alzheimer-Pathologie.</w:t>
      </w:r>
    </w:p>
    <w:p>
      <w:r>
        <w:rPr>
          <w:b/>
        </w:rPr>
        <w:t xml:space="preserve">Ergebnis: </w:t>
      </w:r>
      <w:r>
        <w:t>Keine signifikante Assoziation zwischen p-tau217 und Gebrechlichkeit; die eGFR erklärte 27% der p-tau217-Varianz (p &lt; 0,001). Neurofilament-Leichte-Kette war einziger Biomarker signifikant mit Gebrechlichkeit assoziiert (p &lt; 0,01). Kliniker müssen Nierenfunktion bei Interpretation berücksichtigen.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europäisches Gesundheitssystem; Befund zum Niereneinflusses auf Blutbiomarker ist systemunabhängig</w:t>
      </w:r>
    </w:p>
    <w:p>
      <w:r>
        <w:rPr>
          <w:color w:val="5A7D3A"/>
          <w:sz w:val="18"/>
        </w:rPr>
        <w:t>https://pubmed.ncbi.nlm.nih.gov/42625502/</w:t>
      </w:r>
    </w:p>
    <w:p>
      <w:pPr>
        <w:pStyle w:val="Heading2"/>
      </w:pPr>
      <w:r>
        <w:t>Frühe Zuckerrestriktion reduziert Krebsrisiko um 30–70% und verlangsamt biologisches Altern</w:t>
      </w:r>
    </w:p>
    <w:p>
      <w:r>
        <w:rPr>
          <w:i/>
          <w:color w:val="666666"/>
          <w:sz w:val="18"/>
        </w:rPr>
        <w:t>Zhu C et al.  ·  Proc Natl Acad Sci U S A  ·  11.08.2026  ·  PMID 42550905</w:t>
      </w:r>
    </w:p>
    <w:p>
      <w:r>
        <w:t>Kausalitätsanalyse mittels natürliches Experiment (Ende der UK-Zuckerrationierung 1953) mit 64.761 Biobank-Teilnehmern geboren 1951–1956, zur Langzeitwirkung früher Zuckerexposition auf Krebsinzidenz und biologisches Altern.</w:t>
      </w:r>
    </w:p>
    <w:p>
      <w:r>
        <w:rPr>
          <w:b/>
        </w:rPr>
        <w:t xml:space="preserve">Ergebnis: </w:t>
      </w:r>
      <w:r>
        <w:t>Geburtskohortenunter Rationierung zeigten dosisabhängig reduzierte Krebsraten: Leber (HR 0,31), Rektum (HR 0,60), Lunge (HR 0,59), Prostata (HR 0,48), Brust (HR 0,64). Mechanismen: Persistente gesündere Ernährungsgewohnheiten (verhaltoral) und längere Telomere (2,2 Jahre weniger biologisches Altern), niedrigeres Granzym B. Kausalitätsevidenzen für frühe Ernährungsprägung.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 Geburtskohortenstruktur; Befund zu prägenden Effekten früher Ernährung fundamental, aber Realisierbarkeit in Deutschland unterschiedlich</w:t>
      </w:r>
    </w:p>
    <w:p>
      <w:r>
        <w:rPr>
          <w:color w:val="5A7D3A"/>
          <w:sz w:val="18"/>
        </w:rPr>
        <w:t>https://pubmed.ncbi.nlm.nih.gov/42550905/</w:t>
      </w:r>
    </w:p>
    <w:p>
      <w:pPr>
        <w:pStyle w:val="Heading2"/>
      </w:pPr>
      <w:r>
        <w:t>Immediate orthostatic hypotension zeigt keine Assoziation mit Stürzen und Synkopen im Alter</w:t>
      </w:r>
    </w:p>
    <w:p>
      <w:r>
        <w:rPr>
          <w:i/>
          <w:color w:val="666666"/>
          <w:sz w:val="18"/>
        </w:rPr>
        <w:t>Reddin C et al.  ·  Age Ageing  ·  02.07.2026  ·  PMID 42462204</w:t>
      </w:r>
    </w:p>
    <w:p>
      <w:r>
        <w:t>Querschnitts- und prospektive Kohortenstudie mit 4.596 älteren Erwachsenen über 8 Jahre, die die Assoziation von orthosensitiver Hypotonie (OH) und unmittelbarer OH mit Stürzen und Synkopen untersuchte.</w:t>
      </w:r>
    </w:p>
    <w:p>
      <w:r>
        <w:rPr>
          <w:b/>
        </w:rPr>
        <w:t xml:space="preserve">Ergebnis: </w:t>
      </w:r>
      <w:r>
        <w:t>Unmittelbare OH kam bei 20,7% vor und war nicht signifikant mit Stürzen/Synkopen assoziiert (OR 1,22, 95% KI 0,93–1,57); hingegen war persistente OH assoziiert (OR 1,31, 95% KI 1,04–1,66, p &lt; 0,05). Die Unterscheidung zwischen beiden Varianten ist klinisch relevant.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vergleichbares europäisches Gesundheitssystem, bevölkerungsrepräsentative Stichprobe</w:t>
      </w:r>
    </w:p>
    <w:p>
      <w:r>
        <w:rPr>
          <w:color w:val="5A7D3A"/>
          <w:sz w:val="18"/>
        </w:rPr>
        <w:t>https://pubmed.ncbi.nlm.nih.gov/42462204/</w:t>
      </w:r>
    </w:p>
    <w:p>
      <w:pPr>
        <w:pStyle w:val="Heading2"/>
      </w:pPr>
      <w:r>
        <w:t>Gebrechlichkeit in etablierten Surveys messbar – ein Framework für nationale Monitoring in Europa</w:t>
      </w:r>
    </w:p>
    <w:p>
      <w:r>
        <w:rPr>
          <w:i/>
          <w:color w:val="666666"/>
          <w:sz w:val="18"/>
        </w:rPr>
        <w:t>Aicardi T et al.  ·  Eur J Public Health  ·  10.06.2026  ·  PMID 42452852</w:t>
      </w:r>
    </w:p>
    <w:p>
      <w:r>
        <w:t>Querschnittsstudie mit drei etablierten Frailty-Indikatoren (Tilburg, Groningen, Edmonton) in vier italienischen Bevölkerungssurveillance-Datensätzen (SHARE, EU-SILC, EHIS, AVQ).</w:t>
      </w:r>
    </w:p>
    <w:p>
      <w:r>
        <w:rPr>
          <w:b/>
        </w:rPr>
        <w:t xml:space="preserve">Ergebnis: </w:t>
      </w:r>
      <w:r>
        <w:t>Der Groningen Frailty Indicator war am replizierbaren über Surveys hinweg; die Edmonton Frail Scale zeigte stärkste Vorhersagekraft. EHIS-Daten waren optimal für Messungen geeignet. Gebrechlichkeit erklärte Gesundheitsoutcomes besser als Chronologisches Alter allein; klarer Nord-Süd-Gradient in Italien (p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EU-Mitgliedstaaten, vergleichbare Datensysteme mit Deutschland übertragbar</w:t>
      </w:r>
    </w:p>
    <w:p>
      <w:r>
        <w:rPr>
          <w:color w:val="5A7D3A"/>
          <w:sz w:val="18"/>
        </w:rPr>
        <w:t>https://pubmed.ncbi.nlm.nih.gov/42452852/</w:t>
      </w:r>
    </w:p>
    <w:p>
      <w:pPr>
        <w:pStyle w:val="Heading2"/>
      </w:pPr>
      <w:r>
        <w:t>Gesunde Lebensjahre regional stark abhängig von Einkommen und sozialen Faktoren</w:t>
      </w:r>
    </w:p>
    <w:p>
      <w:r>
        <w:rPr>
          <w:i/>
          <w:color w:val="666666"/>
          <w:sz w:val="18"/>
        </w:rPr>
        <w:t>Bachmann M et al.  ·  BMJ Open  ·  13.07.2026  ·  PMID 42442804</w:t>
      </w:r>
    </w:p>
    <w:p>
      <w:r>
        <w:t>Querschnittsanalyse zur Variabilität der gesunden Lebenserwartung (HLE) und Risikofaktoren in 128 kleinen geografischen Bereichen eines britischen integrierten Versorgungssystems.</w:t>
      </w:r>
    </w:p>
    <w:p>
      <w:r>
        <w:rPr>
          <w:b/>
        </w:rPr>
        <w:t xml:space="preserve">Ergebnis: </w:t>
      </w:r>
      <w:r>
        <w:t>HLE betrug durchschnittlich 66,5 Jahre (Männer, Spannweite 52–73) und 67,5 Jahre (Frauen, Spannweite 56–74). £100 höheres Wocheneinkommen war assoziiert mit 4,4 (95% KI 3,5–5,2) beziehungsweise 4,6 (95% KI 3,8–5,4) zusätzlichen HLE-Jahren. Alleinsein älterer Personen, körperliche Inaktivität und Deprivation zeigten starke Assoziationen mit niedrigerer HLE.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NHS-ähnliche Systeme; Ungleichheitsmessung direkt auf deutsche Regionen übertragbar</w:t>
      </w:r>
    </w:p>
    <w:p>
      <w:r>
        <w:rPr>
          <w:color w:val="5A7D3A"/>
          <w:sz w:val="18"/>
        </w:rPr>
        <w:t>https://pubmed.ncbi.nlm.nih.gov/42442804/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2026-08-29T06:00:00Z</dcterms:created>
  <dcterms:modified xsi:type="dcterms:W3CDTF">2026-08-29T06:00:00Z</dcterms:modified>
  <cp:category/>
</cp:coreProperties>
</file>