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01.10.2026  |  6 Studien  |  longevity.m-vf.de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Hochintensives Gehen baut Gebrechlichkeit bei älteren Menschen besser ab als lockeres Spaziergang</w:t>
      </w:r>
    </w:p>
    <w:p>
      <w:r>
        <w:rPr>
          <w:i/>
          <w:color w:val="666666"/>
          <w:sz w:val="18"/>
        </w:rPr>
        <w:t>Danilovich M et al.  ·  PLoS One  ·  30.09.2026  ·  PMID 42814673</w:t>
      </w:r>
    </w:p>
    <w:p>
      <w:r>
        <w:t>Randomisierte kontrollierte Studie an 165 gebrechlichen oder vorgebrechlichen älteren Menschen (Alter ≥60 Jahre), die entweder hochintensives Gehen (70% Herzfrequenzmaximum) oder lockeres Gehen (unter 60%) über 16 Wochen trainierten.</w:t>
      </w:r>
    </w:p>
    <w:p>
      <w:r>
        <w:rPr>
          <w:b/>
        </w:rPr>
        <w:t xml:space="preserve">Ergebnis: </w:t>
      </w:r>
      <w:r>
        <w:t>69,6% der hochintensiv trainierenden Teilnehmer (32/46) verbesserten ihre Gebrechlichkeit um mind. eine Kategorie gegenüber 46,4% der Kontrollgruppe (26/56) – Odds Ratio 2,91 (95% KI 1,19–7,13, p=0,02). Hochintensives Training erhöhte Gehgeschwindigkeit um 0,08 m/s (95% KI 0,03–0,13) und 6-Minuten-Gehstrecke um 49 m (95% KI 21–77 m).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Interventionsergebnis unabhängig von Gesundheitssystem übertragbar</w:t>
      </w:r>
    </w:p>
    <w:p>
      <w:r>
        <w:rPr>
          <w:color w:val="5A7D3A"/>
          <w:sz w:val="18"/>
        </w:rPr>
        <w:t>https://pubmed.ncbi.nlm.nih.gov/42814673/</w:t>
      </w:r>
    </w:p>
    <w:p>
      <w:pPr>
        <w:pStyle w:val="Heading2"/>
      </w:pPr>
      <w:r>
        <w:t>Chemokine CCL2 und CXCL2 als Marker für Delirium-Anfälligkeit bei älteren Menschen</w:t>
      </w:r>
    </w:p>
    <w:p>
      <w:r>
        <w:rPr>
          <w:i/>
          <w:color w:val="666666"/>
          <w:sz w:val="18"/>
        </w:rPr>
        <w:t>Moorey H et al.  ·  Age Ageing  ·  04.09.2026  ·  PMID 42814578</w:t>
      </w:r>
    </w:p>
    <w:p>
      <w:r>
        <w:t>Prospektive Kohortenstudie an 98 Bewohnern der Allgemeinbevölkerung (Median-Alter 88 Jahre, 90,8% gebrechlich) aus der CASCADE-Studie mit 2-Jahres-Verfolgung zur Deliriumprävention.</w:t>
      </w:r>
    </w:p>
    <w:p>
      <w:r>
        <w:rPr>
          <w:b/>
        </w:rPr>
        <w:t xml:space="preserve">Ergebnis: </w:t>
      </w:r>
      <w:r>
        <w:t>43,9% der Teilnehmer erlebten ≥1 Delirium-Episode. CCL2 und CXCL2 waren zu Baseline bei der Deliriumgruppe signifikant erhöht (CCL2: 13,38 vs. 10,83, p=0,004; CXCL2: 17,23 vs. 13,49, p=0,031). CCL2-Assoziation mit Deliriumrisiko blieb in beiden Demenzunttergruppen stabil; CXCL2 nur bei Teilnehmern ohne Demenz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(Birmingham), vergleichbares Gesundheitssystem und Altersstruktur</w:t>
      </w:r>
    </w:p>
    <w:p>
      <w:r>
        <w:rPr>
          <w:color w:val="5A7D3A"/>
          <w:sz w:val="18"/>
        </w:rPr>
        <w:t>https://pubmed.ncbi.nlm.nih.gov/42814578/</w:t>
      </w:r>
    </w:p>
    <w:p>
      <w:pPr>
        <w:pStyle w:val="Heading2"/>
      </w:pPr>
      <w:r>
        <w:t>Anticholinerge Blasenmittel erhöhen Demenzrisiko bei älteren Frauen stärker als Beta-3-Agonisten</w:t>
      </w:r>
    </w:p>
    <w:p>
      <w:r>
        <w:rPr>
          <w:i/>
          <w:color w:val="666666"/>
          <w:sz w:val="18"/>
        </w:rPr>
        <w:t>Ito K et al.  ·  Int J Urol  ·  Okt. 2026  ·  PMID 42814029</w:t>
      </w:r>
    </w:p>
    <w:p>
      <w:r>
        <w:t>Retrospektive Kohortenstudie mit 3794 älteren Frauen (65–84 Jahre) in Japan, die neu mit Anticholinergika oder Beta-3-Agonisten gegen überaktive Blase behandelt wurden, mit mindestens 1 Jahr kontinuierlicher Therapie und 5-Jahre-Verfolgung.</w:t>
      </w:r>
    </w:p>
    <w:p>
      <w:r>
        <w:rPr>
          <w:b/>
        </w:rPr>
        <w:t xml:space="preserve">Ergebnis: </w:t>
      </w:r>
      <w:r>
        <w:t>Kein signifikanter Unterschied in Verschlechterung der Pflegebedürftigkeit (HR 1,03, 95% KI 0,87–1,22). Anticholinergikagruppe zeigte erhöhtes Demenzrisiko (HR 1,49, 95% KI 1,04–2,13). Elektronischer Gebrechlichkeitsindex unterschied sich nicht (p&gt;0,05).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(Shizuoka-Kasse); vergleichbares Alter und Gesundheitssystem; Ergebnis zur Deprescribing übertragbar</w:t>
      </w:r>
    </w:p>
    <w:p>
      <w:r>
        <w:rPr>
          <w:color w:val="5A7D3A"/>
          <w:sz w:val="18"/>
        </w:rPr>
        <w:t>https://pubmed.ncbi.nlm.nih.gov/42814029/</w:t>
      </w:r>
    </w:p>
    <w:p>
      <w:pPr>
        <w:pStyle w:val="Heading2"/>
      </w:pPr>
      <w:r>
        <w:t>Trauer um Ehepartner verschärft kognitiven Verfall bei älteren Menschen in verschiedenen Ländern</w:t>
      </w:r>
    </w:p>
    <w:p>
      <w:r>
        <w:rPr>
          <w:i/>
          <w:color w:val="666666"/>
          <w:sz w:val="18"/>
        </w:rPr>
        <w:t>Guo C et al.  ·  Epidemiol Psychiatr Sci  ·  30.09.2026  ·  PMID 42813925</w:t>
      </w:r>
    </w:p>
    <w:p>
      <w:r>
        <w:t>Prospektive Metaanalyse aus sechs harmonisierten Alterskohortensurveys (USA, England, Mexiko, China, Indien, Südafrika; n=18.551, Alter 61–71 Jahre) mit neuropsychologischem Assessment zur Auswirkung von Verwitwung auf kognitive Domänen.</w:t>
      </w:r>
    </w:p>
    <w:p>
      <w:r>
        <w:rPr>
          <w:b/>
        </w:rPr>
        <w:t xml:space="preserve">Ergebnis: </w:t>
      </w:r>
      <w:r>
        <w:t>Witwenschaft assoziiert mit Gedächtnisverschlechterung (β=−0,07, 95% KI −0,12 bis −0,01) und exekutiver Dysfunktion (β=−0,08, 95% KI −0,13 bis −0,03) in Metaanalyse. Geschlechtsspezifische Effekte: Männer zeigten größere exekutive Defizite (β=−0,14), Frauen Gedächtnisverluste (β=−0,07). Schutzfaktoren: höhere Schulbildung, Internetnutzung, Body-Mass-Index.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 aber heterogen; Übertragbarkeit begrenzt durch unterschiedliche Rentensysteme und Unterstützungsstrukturen</w:t>
      </w:r>
    </w:p>
    <w:p>
      <w:r>
        <w:rPr>
          <w:color w:val="5A7D3A"/>
          <w:sz w:val="18"/>
        </w:rPr>
        <w:t>https://pubmed.ncbi.nlm.nih.gov/42813925/</w:t>
      </w:r>
    </w:p>
    <w:p>
      <w:pPr>
        <w:pStyle w:val="Heading2"/>
      </w:pPr>
      <w:r>
        <w:t>Multidisziplinäres Programm reduziert Gebrechlichkeit bei älteren Herzpatienten im Krankenhaus</w:t>
      </w:r>
    </w:p>
    <w:p>
      <w:r>
        <w:rPr>
          <w:i/>
          <w:color w:val="666666"/>
          <w:sz w:val="18"/>
        </w:rPr>
        <w:t>Chai K et al.  ·  Nat Commun  ·  31.08.2026  ·  PMID 42811040</w:t>
      </w:r>
    </w:p>
    <w:p>
      <w:r>
        <w:t>Randomisierte kontrollierte Studie an 333 gebrechlichen Krankenhauspatienten ≥70 Jahren mit kardiovaskulären Erkrankungen in China, die RENAP-Programm (Rehabilitation, Ernährung, Edukation, Akupunktur, Deprescribing) oder Standardbehandlung erhielten mit Verfolgung über 12 Monate.</w:t>
      </w:r>
    </w:p>
    <w:p>
      <w:r>
        <w:rPr>
          <w:b/>
        </w:rPr>
        <w:t xml:space="preserve">Ergebnis: </w:t>
      </w:r>
      <w:r>
        <w:t>RENAP verbesserte Fried-Gebrechlichkeits-Phänotyp stärker (mittlere Differenz −0,79, 95% KI −1,11 bis −0,46, p&lt;0,001) und Short Physical Performance Battery um 2,02 Punkte (95% KI 1,04–2,99, p&lt;0,001). Keine schwerwiegenden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(Peking); unterschiedliche Versicherungsstruktur; Replikation in europäischen Gesundheitssystemen nötig</w:t>
      </w:r>
    </w:p>
    <w:p>
      <w:r>
        <w:rPr>
          <w:color w:val="5A7D3A"/>
          <w:sz w:val="18"/>
        </w:rPr>
        <w:t>https://pubmed.ncbi.nlm.nih.gov/42811040/</w:t>
      </w:r>
    </w:p>
    <w:p>
      <w:pPr>
        <w:pStyle w:val="Heading2"/>
      </w:pPr>
      <w:r>
        <w:t>Psychische Faktoren und Multimorbiditäten vorhersagen Gebrechlichkeit bei älteren Chilenen über 12 Monate</w:t>
      </w:r>
    </w:p>
    <w:p>
      <w:r>
        <w:rPr>
          <w:i/>
          <w:color w:val="666666"/>
          <w:sz w:val="18"/>
        </w:rPr>
        <w:t>Castillo-Carreño A et al.  ·  Rev Med Chil  ·  Juli 2026  ·  PMID 42809783</w:t>
      </w:r>
    </w:p>
    <w:p>
      <w:r>
        <w:t>Prospektive Kohortenstudie an 394 Personen 60–80 Jahre aus Santiago und Concepción (Chile) mit Baseline und 12-Monats-Follow-up zu Prädiktoren physischer Gebrechlichkeit (FRIED-Skala).</w:t>
      </w:r>
    </w:p>
    <w:p>
      <w:r>
        <w:rPr>
          <w:b/>
        </w:rPr>
        <w:t xml:space="preserve">Ergebnis: </w:t>
      </w:r>
      <w:r>
        <w:t>Baseline-Gebrechlichkeit 22,7%. Signifikante Prädiktoren für Gebrechlichkeitsentstehung: höheres Alter, niedrigere soziale Unterstützung (MSPSS), depressive/Angststörungssymptome, niedrigere kognitive Funktion, Hypertension, Gefäßerkrankung, BMI (p=0,040). Modell erklärte 28% der 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Südamerika; Unterschiede in Altersstruktur und Sozialsystem; Konzepte zu psychosozialen Prädiktoren teilweise übertragbar</w:t>
      </w:r>
    </w:p>
    <w:p>
      <w:r>
        <w:rPr>
          <w:color w:val="5A7D3A"/>
          <w:sz w:val="18"/>
        </w:rPr>
        <w:t>https://pubmed.ncbi.nlm.nih.gov/42809783/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