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01.10.2026  |  245 Studien  |  longevity.m-vf.de</w:t>
      </w:r>
    </w:p>
    <w:p>
      <w:pPr>
        <w:pStyle w:val="Heading1"/>
      </w:pPr>
      <w:r>
        <w:t>Aufgenommen am 01.10.2026</w:t>
      </w:r>
    </w:p>
    <w:p>
      <w:pPr>
        <w:pStyle w:val="Heading2"/>
      </w:pPr>
      <w:r>
        <w:t>Hochintensives Gehen baut Gebrechlichkeit bei älteren Menschen besser ab als lockeres Spaziergang</w:t>
      </w:r>
    </w:p>
    <w:p>
      <w:r>
        <w:rPr>
          <w:i/>
          <w:color w:val="666666"/>
          <w:sz w:val="18"/>
        </w:rPr>
        <w:t>Danilovich M et al.  ·  PLoS One  ·  30.09.2026  ·  PMID 42814673</w:t>
      </w:r>
    </w:p>
    <w:p>
      <w:r>
        <w:t>Randomisierte kontrollierte Studie an 165 gebrechlichen oder vorgebrechlichen älteren Menschen (Alter ≥60 Jahre), die entweder hochintensives Gehen (70% Herzfrequenzmaximum) oder lockeres Gehen (unter 60%) über 16 Wochen trainierten.</w:t>
      </w:r>
    </w:p>
    <w:p>
      <w:r>
        <w:rPr>
          <w:b/>
        </w:rPr>
        <w:t xml:space="preserve">Ergebnis: </w:t>
      </w:r>
      <w:r>
        <w:t>69,6% der hochintensiv trainierenden Teilnehmer (32/46) verbesserten ihre Gebrechlichkeit um mind. eine Kategorie gegenüber 46,4% der Kontrollgruppe (26/56) – Odds Ratio 2,91 (95% KI 1,19–7,13, p=0,02). Hochintensives Training erhöhte Gehgeschwindigkeit um 0,08 m/s (95% KI 0,03–0,13) und 6-Minuten-Gehstrecke um 49 m (95% KI 21–77 m).</w:t>
      </w:r>
    </w:p>
    <w:p>
      <w:r>
        <w:rPr>
          <w:b/>
          <w:sz w:val="19"/>
        </w:rPr>
        <w:t xml:space="preserve">Übertragbarkeit: </w:t>
      </w:r>
      <w:r>
        <w:rPr>
          <w:sz w:val="19"/>
        </w:rPr>
        <w:t>USA; Interventionsergebnis unabhängig von Gesundheitssystem übertragbar</w:t>
      </w:r>
    </w:p>
    <w:p>
      <w:r>
        <w:rPr>
          <w:color w:val="5A7D3A"/>
          <w:sz w:val="18"/>
        </w:rPr>
        <w:t>https://pubmed.ncbi.nlm.nih.gov/42814673/</w:t>
      </w:r>
    </w:p>
    <w:p>
      <w:pPr>
        <w:pStyle w:val="Heading2"/>
      </w:pPr>
      <w:r>
        <w:t>Chemokine CCL2 und CXCL2 als Marker für Delirium-Anfälligkeit bei älteren Menschen</w:t>
      </w:r>
    </w:p>
    <w:p>
      <w:r>
        <w:rPr>
          <w:i/>
          <w:color w:val="666666"/>
          <w:sz w:val="18"/>
        </w:rPr>
        <w:t>Moorey H et al.  ·  Age Ageing  ·  04.09.2026  ·  PMID 42814578</w:t>
      </w:r>
    </w:p>
    <w:p>
      <w:r>
        <w:t>Prospektive Kohortenstudie an 98 Bewohnern der Allgemeinbevölkerung (Median-Alter 88 Jahre, 90,8% gebrechlich) aus der CASCADE-Studie mit 2-Jahres-Verfolgung zur Deliriumprävention.</w:t>
      </w:r>
    </w:p>
    <w:p>
      <w:r>
        <w:rPr>
          <w:b/>
        </w:rPr>
        <w:t xml:space="preserve">Ergebnis: </w:t>
      </w:r>
      <w:r>
        <w:t>43,9% der Teilnehmer erlebten ≥1 Delirium-Episode. CCL2 und CXCL2 waren zu Baseline bei der Deliriumgruppe signifikant erhöht (CCL2: 13,38 vs. 10,83, p=0,004; CXCL2: 17,23 vs. 13,49, p=0,031). CCL2-Assoziation mit Deliriumrisiko blieb in beiden Demenzunttergruppen stabil; CXCL2 nur bei Teilnehmern ohne Demenz signifikant.</w:t>
      </w:r>
    </w:p>
    <w:p>
      <w:r>
        <w:rPr>
          <w:b/>
          <w:sz w:val="19"/>
        </w:rPr>
        <w:t xml:space="preserve">Übertragbarkeit: </w:t>
      </w:r>
      <w:r>
        <w:rPr>
          <w:sz w:val="19"/>
        </w:rPr>
        <w:t>UK (Birmingham), vergleichbares Gesundheitssystem und Altersstruktur</w:t>
      </w:r>
    </w:p>
    <w:p>
      <w:r>
        <w:rPr>
          <w:color w:val="5A7D3A"/>
          <w:sz w:val="18"/>
        </w:rPr>
        <w:t>https://pubmed.ncbi.nlm.nih.gov/42814578/</w:t>
      </w:r>
    </w:p>
    <w:p>
      <w:pPr>
        <w:pStyle w:val="Heading2"/>
      </w:pPr>
      <w:r>
        <w:t>Anticholinerge Blasenmittel erhöhen Demenzrisiko bei älteren Frauen stärker als Beta-3-Agonisten</w:t>
      </w:r>
    </w:p>
    <w:p>
      <w:r>
        <w:rPr>
          <w:i/>
          <w:color w:val="666666"/>
          <w:sz w:val="18"/>
        </w:rPr>
        <w:t>Ito K et al.  ·  Int J Urol  ·  Okt. 2026  ·  PMID 42814029</w:t>
      </w:r>
    </w:p>
    <w:p>
      <w:r>
        <w:t>Retrospektive Kohortenstudie mit 3794 älteren Frauen (65–84 Jahre) in Japan, die neu mit Anticholinergika oder Beta-3-Agonisten gegen überaktive Blase behandelt wurden, mit mindestens 1 Jahr kontinuierlicher Therapie und 5-Jahre-Verfolgung.</w:t>
      </w:r>
    </w:p>
    <w:p>
      <w:r>
        <w:rPr>
          <w:b/>
        </w:rPr>
        <w:t xml:space="preserve">Ergebnis: </w:t>
      </w:r>
      <w:r>
        <w:t>Kein signifikanter Unterschied in Verschlechterung der Pflegebedürftigkeit (HR 1,03, 95% KI 0,87–1,22). Anticholinergikagruppe zeigte erhöhtes Demenzrisiko (HR 1,49, 95% KI 1,04–2,13). Elektronischer Gebrechlichkeitsindex unterschied sich nicht (p&gt;0,05).</w:t>
      </w:r>
    </w:p>
    <w:p>
      <w:r>
        <w:rPr>
          <w:b/>
          <w:sz w:val="19"/>
        </w:rPr>
        <w:t xml:space="preserve">Übertragbarkeit: </w:t>
      </w:r>
      <w:r>
        <w:rPr>
          <w:sz w:val="19"/>
        </w:rPr>
        <w:t>Japan (Shizuoka-Kasse); vergleichbares Alter und Gesundheitssystem; Ergebnis zur Deprescribing übertragbar</w:t>
      </w:r>
    </w:p>
    <w:p>
      <w:r>
        <w:rPr>
          <w:color w:val="5A7D3A"/>
          <w:sz w:val="18"/>
        </w:rPr>
        <w:t>https://pubmed.ncbi.nlm.nih.gov/42814029/</w:t>
      </w:r>
    </w:p>
    <w:p>
      <w:pPr>
        <w:pStyle w:val="Heading2"/>
      </w:pPr>
      <w:r>
        <w:t>Trauer um Ehepartner verschärft kognitiven Verfall bei älteren Menschen in verschiedenen Ländern</w:t>
      </w:r>
    </w:p>
    <w:p>
      <w:r>
        <w:rPr>
          <w:i/>
          <w:color w:val="666666"/>
          <w:sz w:val="18"/>
        </w:rPr>
        <w:t>Guo C et al.  ·  Epidemiol Psychiatr Sci  ·  30.09.2026  ·  PMID 42813925</w:t>
      </w:r>
    </w:p>
    <w:p>
      <w:r>
        <w:t>Prospektive Metaanalyse aus sechs harmonisierten Alterskohortensurveys (USA, England, Mexiko, China, Indien, Südafrika; n=18.551, Alter 61–71 Jahre) mit neuropsychologischem Assessment zur Auswirkung von Verwitwung auf kognitive Domänen.</w:t>
      </w:r>
    </w:p>
    <w:p>
      <w:r>
        <w:rPr>
          <w:b/>
        </w:rPr>
        <w:t xml:space="preserve">Ergebnis: </w:t>
      </w:r>
      <w:r>
        <w:t>Witwenschaft assoziiert mit Gedächtnisverschlechterung (β=−0,07, 95% KI −0,12 bis −0,01) und exekutiver Dysfunktion (β=−0,08, 95% KI −0,13 bis −0,03) in Metaanalyse. Geschlechtsspezifische Effekte: Männer zeigten größere exekutive Defizite (β=−0,14), Frauen Gedächtnisverluste (β=−0,07). Schutzfaktoren: höhere Schulbildung, Internetnutzung, Body-Mass-Index.</w:t>
      </w:r>
    </w:p>
    <w:p>
      <w:r>
        <w:rPr>
          <w:b/>
          <w:sz w:val="19"/>
        </w:rPr>
        <w:t xml:space="preserve">Übertragbarkeit: </w:t>
      </w:r>
      <w:r>
        <w:rPr>
          <w:sz w:val="19"/>
        </w:rPr>
        <w:t>Multinational aber heterogen; Übertragbarkeit begrenzt durch unterschiedliche Rentensysteme und Unterstützungsstrukturen</w:t>
      </w:r>
    </w:p>
    <w:p>
      <w:r>
        <w:rPr>
          <w:color w:val="5A7D3A"/>
          <w:sz w:val="18"/>
        </w:rPr>
        <w:t>https://pubmed.ncbi.nlm.nih.gov/42813925/</w:t>
      </w:r>
    </w:p>
    <w:p>
      <w:pPr>
        <w:pStyle w:val="Heading2"/>
      </w:pPr>
      <w:r>
        <w:t>Multidisziplinäres Programm reduziert Gebrechlichkeit bei älteren Herzpatienten im Krankenhaus</w:t>
      </w:r>
    </w:p>
    <w:p>
      <w:r>
        <w:rPr>
          <w:i/>
          <w:color w:val="666666"/>
          <w:sz w:val="18"/>
        </w:rPr>
        <w:t>Chai K et al.  ·  Nat Commun  ·  31.08.2026  ·  PMID 42811040</w:t>
      </w:r>
    </w:p>
    <w:p>
      <w:r>
        <w:t>Randomisierte kontrollierte Studie an 333 gebrechlichen Krankenhauspatienten ≥70 Jahren mit kardiovaskulären Erkrankungen in China, die RENAP-Programm (Rehabilitation, Ernährung, Edukation, Akupunktur, Deprescribing) oder Standardbehandlung erhielten mit Verfolgung über 12 Monate.</w:t>
      </w:r>
    </w:p>
    <w:p>
      <w:r>
        <w:rPr>
          <w:b/>
        </w:rPr>
        <w:t xml:space="preserve">Ergebnis: </w:t>
      </w:r>
      <w:r>
        <w:t>RENAP verbesserte Fried-Gebrechlichkeits-Phänotyp stärker (mittlere Differenz −0,79, 95% KI −1,11 bis −0,46, p&lt;0,001) und Short Physical Performance Battery um 2,02 Punkte (95% KI 1,04–2,99, p&lt;0,001). Keine schwerwiegenden unerwünschten Ereignisse berichtet.</w:t>
      </w:r>
    </w:p>
    <w:p>
      <w:r>
        <w:rPr>
          <w:b/>
          <w:sz w:val="19"/>
        </w:rPr>
        <w:t xml:space="preserve">Übertragbarkeit: </w:t>
      </w:r>
      <w:r>
        <w:rPr>
          <w:sz w:val="19"/>
        </w:rPr>
        <w:t>China (Peking); unterschiedliche Versicherungsstruktur; Replikation in europäischen Gesundheitssystemen nötig</w:t>
      </w:r>
    </w:p>
    <w:p>
      <w:r>
        <w:rPr>
          <w:color w:val="5A7D3A"/>
          <w:sz w:val="18"/>
        </w:rPr>
        <w:t>https://pubmed.ncbi.nlm.nih.gov/42811040/</w:t>
      </w:r>
    </w:p>
    <w:p>
      <w:pPr>
        <w:pStyle w:val="Heading2"/>
      </w:pPr>
      <w:r>
        <w:t>Psychische Faktoren und Multimorbiditäten vorhersagen Gebrechlichkeit bei älteren Chilenen über 12 Monate</w:t>
      </w:r>
    </w:p>
    <w:p>
      <w:r>
        <w:rPr>
          <w:i/>
          <w:color w:val="666666"/>
          <w:sz w:val="18"/>
        </w:rPr>
        <w:t>Castillo-Carreño A et al.  ·  Rev Med Chil  ·  Juli 2026  ·  PMID 42809783</w:t>
      </w:r>
    </w:p>
    <w:p>
      <w:r>
        <w:t>Prospektive Kohortenstudie an 394 Personen 60–80 Jahre aus Santiago und Concepción (Chile) mit Baseline und 12-Monats-Follow-up zu Prädiktoren physischer Gebrechlichkeit (FRIED-Skala).</w:t>
      </w:r>
    </w:p>
    <w:p>
      <w:r>
        <w:rPr>
          <w:b/>
        </w:rPr>
        <w:t xml:space="preserve">Ergebnis: </w:t>
      </w:r>
      <w:r>
        <w:t>Baseline-Gebrechlichkeit 22,7%. Signifikante Prädiktoren für Gebrechlichkeitsentstehung: höheres Alter, niedrigere soziale Unterstützung (MSPSS), depressive/Angststörungssymptome, niedrigere kognitive Funktion, Hypertension, Gefäßerkrankung, BMI (p=0,040). Modell erklärte 28% der Varianz.</w:t>
      </w:r>
    </w:p>
    <w:p>
      <w:r>
        <w:rPr>
          <w:b/>
          <w:sz w:val="19"/>
        </w:rPr>
        <w:t xml:space="preserve">Übertragbarkeit: </w:t>
      </w:r>
      <w:r>
        <w:rPr>
          <w:sz w:val="19"/>
        </w:rPr>
        <w:t>Südamerika; Unterschiede in Altersstruktur und Sozialsystem; Konzepte zu psychosozialen Prädiktoren teilweise übertragbar</w:t>
      </w:r>
    </w:p>
    <w:p>
      <w:r>
        <w:rPr>
          <w:color w:val="5A7D3A"/>
          <w:sz w:val="18"/>
        </w:rPr>
        <w:t>https://pubmed.ncbi.nlm.nih.gov/42809783/</w:t>
      </w:r>
    </w:p>
    <w:p>
      <w:pPr>
        <w:pStyle w:val="Heading1"/>
      </w:pPr>
      <w:r>
        <w:t>Aufgenommen am 30.09.2026</w:t>
      </w:r>
    </w:p>
    <w:p>
      <w:pPr>
        <w:pStyle w:val="Heading2"/>
      </w:pPr>
      <w:r>
        <w:t>Adjuvante Chemotherapie bei Brustkrebs ab 70 Jahren verschlechtert Überleben nicht</w:t>
      </w:r>
    </w:p>
    <w:p>
      <w:r>
        <w:rPr>
          <w:i/>
          <w:color w:val="666666"/>
          <w:sz w:val="18"/>
        </w:rPr>
        <w:t>Sifer-Rivière L  ·  Rev Prat  ·  Sept. 2026  ·  PMID 42808620</w:t>
      </w:r>
    </w:p>
    <w:p>
      <w:r>
        <w:t>Fachkommentar zur ASTER-70s-Studie (Lancet 2025), die erstmals gezielt die Wirkung adjuvanter Chemotherapie bei Frauen ab 70 mit Brustkrebs untersucht hat – lange waren diese von Studien ausgeschlossen.</w:t>
      </w:r>
    </w:p>
    <w:p>
      <w:r>
        <w:rPr>
          <w:b/>
        </w:rPr>
        <w:t xml:space="preserve">Ergebnis: </w:t>
      </w:r>
      <w:r>
        <w:t>ASTER 70s zeigte: adjuvante Chemotherapie verbessert Gesamtüberleben nicht bei Frauen ab 70, exponiert aber zu erheblicher Toxizität und potenziellem Autonomieverlust. Dies ist ein entscheidendes Ergebnis: Es belegt, dass es möglich und notwendig ist, Evidenz für lange ausgeschlossene Populationen zu generieren und fordert Umdenken bei Gesundheitsgerechtigkeit in der Onkologie.</w:t>
      </w:r>
    </w:p>
    <w:p>
      <w:r>
        <w:rPr>
          <w:b/>
          <w:sz w:val="19"/>
        </w:rPr>
        <w:t xml:space="preserve">Übertragbarkeit: </w:t>
      </w:r>
      <w:r>
        <w:rPr>
          <w:sz w:val="19"/>
        </w:rPr>
        <w:t>Frankreich, französischsprachig; Evidenz vom UK-Standard, direkt relevant für europäische Praxis</w:t>
      </w:r>
    </w:p>
    <w:p>
      <w:r>
        <w:rPr>
          <w:color w:val="5A7D3A"/>
          <w:sz w:val="18"/>
        </w:rPr>
        <w:t>https://pubmed.ncbi.nlm.nih.gov/42808620/</w:t>
      </w:r>
    </w:p>
    <w:p>
      <w:pPr>
        <w:pStyle w:val="Heading2"/>
      </w:pPr>
      <w:r>
        <w:t>Frailty verstärkt postoperatives kognitives Delir nach Narkose</w:t>
      </w:r>
    </w:p>
    <w:p>
      <w:r>
        <w:rPr>
          <w:i/>
          <w:color w:val="666666"/>
          <w:sz w:val="18"/>
        </w:rPr>
        <w:t>Cho EH et al.  ·  Int J Med Sci  ·  03.09.2026  ·  PMID 42807735</w:t>
      </w:r>
    </w:p>
    <w:p>
      <w:r>
        <w:t>Experimentelle Studie an 18 Monate alten Ratten zum Einfluss von Frailty auf postoperatives kognitives Delir (POCD) nach allgemeiner Anästhesie.</w:t>
      </w:r>
    </w:p>
    <w:p>
      <w:r>
        <w:rPr>
          <w:b/>
        </w:rPr>
        <w:t xml:space="preserve">Ergebnis: </w:t>
      </w:r>
      <w:r>
        <w:t>20 Ratten randomisiert in Kontroll- und Frailty-Gruppe (Immobilisierung). Vor Narkose kein signifikanter Unterschied im Y-Maze-Test; zwei Tage nach Narkose signifikanter Unterschied (Kontrolle 65% ± 37% vs. Frailty 29% ± 28%, p = 0,01). Quadrizeps-Gewicht signifikant niedriger in Frailty-Gruppe (2,4 vs. 2,0 g, p = 0,0001). Frailty war mit POCD assoziiert; Frailty-Prävention könnte POCD-Risiko senken.</w:t>
      </w:r>
    </w:p>
    <w:p>
      <w:r>
        <w:rPr>
          <w:b/>
          <w:sz w:val="19"/>
        </w:rPr>
        <w:t xml:space="preserve">Übertragbarkeit: </w:t>
      </w:r>
      <w:r>
        <w:rPr>
          <w:sz w:val="19"/>
        </w:rPr>
        <w:t>Tiermodell mit Relevanz für älter werdende Perioperative; Befund zu kognitivem Risiko übertragbar</w:t>
      </w:r>
    </w:p>
    <w:p>
      <w:r>
        <w:rPr>
          <w:color w:val="5A7D3A"/>
          <w:sz w:val="18"/>
        </w:rPr>
        <w:t>https://pubmed.ncbi.nlm.nih.gov/42807735/</w:t>
      </w:r>
    </w:p>
    <w:p>
      <w:pPr>
        <w:pStyle w:val="Heading2"/>
      </w:pPr>
      <w:r>
        <w:t>Systemische Krisen in Versorgung zu Hause: Kipppunkte und progressive Instabilität</w:t>
      </w:r>
    </w:p>
    <w:p>
      <w:r>
        <w:rPr>
          <w:i/>
          <w:color w:val="666666"/>
          <w:sz w:val="18"/>
        </w:rPr>
        <w:t>Haselager DRE et al.  ·  Age Ageing  ·  04.09.2026  ·  PMID 42806138</w:t>
      </w:r>
    </w:p>
    <w:p>
      <w:r>
        <w:t>Qualitative Studie mit Interviews und Fokusgruppen zu Krisen bei zu Hause wohnenden älteren Menschen, die untersuchen, wie diese entstehen und welche systemischen Faktoren eine Rolle spielen.</w:t>
      </w:r>
    </w:p>
    <w:p>
      <w:r>
        <w:rPr>
          <w:b/>
        </w:rPr>
        <w:t xml:space="preserve">Ergebnis: </w:t>
      </w:r>
      <w:r>
        <w:t>Analyse von 45 Interviews mit älteren Menschen, Angehörigen und Fachleuten identifizierte zwei Hauptthemen: "Kipppunkte" (Momente, in denen Verbleiben zu Hause unhaltbar wird) und "progressive Instabilität in Versorgungssystemen". Krisen entstehen durch systemische Prozesse, nicht isolierte Ereignisse. Das Verständnis dieser Dynamiken ermöglicht es Fachleuten, frühe Instabilität zu erkennen und Prävention zu unterstützen.</w:t>
      </w:r>
    </w:p>
    <w:p>
      <w:r>
        <w:rPr>
          <w:b/>
          <w:sz w:val="19"/>
        </w:rPr>
        <w:t xml:space="preserve">Übertragbarkeit: </w:t>
      </w:r>
      <w:r>
        <w:rPr>
          <w:sz w:val="19"/>
        </w:rPr>
        <w:t>Niederlande, direkt auf deutsche ambulante Versorgungsrealität übertragbar</w:t>
      </w:r>
    </w:p>
    <w:p>
      <w:r>
        <w:rPr>
          <w:color w:val="5A7D3A"/>
          <w:sz w:val="18"/>
        </w:rPr>
        <w:t>https://pubmed.ncbi.nlm.nih.gov/42806138/</w:t>
      </w:r>
    </w:p>
    <w:p>
      <w:pPr>
        <w:pStyle w:val="Heading2"/>
      </w:pPr>
      <w:r>
        <w:t>Darmflora-Modulation verbessert kognitive Funktion im Alter</w:t>
      </w:r>
    </w:p>
    <w:p>
      <w:r>
        <w:rPr>
          <w:i/>
          <w:color w:val="666666"/>
          <w:sz w:val="18"/>
        </w:rPr>
        <w:t>Birns B et al.  ·  Age Ageing  ·  04.09.2026  ·  PMID 42806137</w:t>
      </w:r>
    </w:p>
    <w:p>
      <w:r>
        <w:t>Systematische Übersicht und Metaanalyse zu Prebiotika, Probiotika und Synbiotika und deren Wirkung auf Kognition bei älteren Erwachsenen ab 60 Jahren.</w:t>
      </w:r>
    </w:p>
    <w:p>
      <w:r>
        <w:rPr>
          <w:b/>
        </w:rPr>
        <w:t xml:space="preserve">Ergebnis: </w:t>
      </w:r>
      <w:r>
        <w:t>14 Studien (13 RCTs, 1 Interventionsstudie) eingeschlossen. Neun Studien berichteten statistisch signifikante Verbesserungen in mindestens einer kognitiven Domäne, besonders globale Kognition, Gedächtnis, Aufmerksamkeit und exekutive Funktionen. Metaanalyse zeigt signifikante Verbesserung globaler Kognition (MD = 1,28; 95% KI: 0,15–2,40; p &lt; 0,05). Interventionen sind meist bereits kommerziell verfügbar und risikoarm.</w:t>
      </w:r>
    </w:p>
    <w:p>
      <w:r>
        <w:rPr>
          <w:b/>
          <w:sz w:val="19"/>
        </w:rPr>
        <w:t xml:space="preserve">Übertragbarkeit: </w:t>
      </w:r>
      <w:r>
        <w:rPr>
          <w:sz w:val="19"/>
        </w:rPr>
        <w:t>Großbritannien, über diverse Länder publiziert; kognitive Tests standardisiert</w:t>
      </w:r>
    </w:p>
    <w:p>
      <w:r>
        <w:rPr>
          <w:color w:val="5A7D3A"/>
          <w:sz w:val="18"/>
        </w:rPr>
        <w:t>https://pubmed.ncbi.nlm.nih.gov/42806137/</w:t>
      </w:r>
    </w:p>
    <w:p>
      <w:pPr>
        <w:pStyle w:val="Heading2"/>
      </w:pPr>
      <w:r>
        <w:t>Vitamin-D-Supplementation reduziert nicht Frakturrisiko bei älteren Erwachsenen</w:t>
      </w:r>
    </w:p>
    <w:p>
      <w:r>
        <w:rPr>
          <w:i/>
          <w:color w:val="666666"/>
          <w:sz w:val="18"/>
        </w:rPr>
        <w:t>Rikkonen T et al.  ·  Bone  ·  07.09.2026  ·  PMID 42704968</w:t>
      </w:r>
    </w:p>
    <w:p>
      <w:r>
        <w:t>Finnische randomisierte kontrollierte Studie mit 2.495 Personen ab 60 Jahren (Männer) bzw. 65 Jahren (Frauen) über 5 Jahre zur Wirkung von Vitamin D₃ auf Frakturrisiko.</w:t>
      </w:r>
    </w:p>
    <w:p>
      <w:r>
        <w:rPr>
          <w:b/>
        </w:rPr>
        <w:t xml:space="preserve">Ergebnis: </w:t>
      </w:r>
      <w:r>
        <w:t>Während mittlerer 4,1-Jahr Supplementation: 49 Frakturen unter Placebo, 73 unter 1600 IE/Tag (HR = 1,52; 95% KI: 1,06–2,18), 52 unter 3200 IE/Tag (HR = 1,07; 95% KI: 0,72–1,58). In 7,3-Jahr Nachbeobachtung: 104 Placebo, 139 unter 1600 IE/Tag (HR = 1,40; 95% KI: 1,08–1,80), 111 unter 3200 IE/Tag (HR = 1,08; 95% KI: 0,83–1,41). Baseline 25(OH)-Vitamin D 74,8 ± 18,2 nmol/L, nach 12 Monaten 120,4 ± 21,8 nmol/L (3200 IE/Tag). Vitamin-D-Supplementation reduzierte Frakturen nicht bei largely vitamin-D-suffizienter Population.</w:t>
      </w:r>
    </w:p>
    <w:p>
      <w:r>
        <w:rPr>
          <w:b/>
          <w:sz w:val="19"/>
        </w:rPr>
        <w:t xml:space="preserve">Übertragbarkeit: </w:t>
      </w:r>
      <w:r>
        <w:rPr>
          <w:sz w:val="19"/>
        </w:rPr>
        <w:t>Finnland, skandinavischer Kontext; vergleichbare Nordische Sozialversicherung</w:t>
      </w:r>
    </w:p>
    <w:p>
      <w:r>
        <w:rPr>
          <w:color w:val="5A7D3A"/>
          <w:sz w:val="18"/>
        </w:rPr>
        <w:t>https://pubmed.ncbi.nlm.nih.gov/42704968/</w:t>
      </w:r>
    </w:p>
    <w:p>
      <w:pPr>
        <w:pStyle w:val="Heading2"/>
      </w:pPr>
      <w:r>
        <w:t>Frailty erhöht Risiko für diagnostische Diskordanz in der Notaufnahme</w:t>
      </w:r>
    </w:p>
    <w:p>
      <w:r>
        <w:rPr>
          <w:i/>
          <w:color w:val="666666"/>
          <w:sz w:val="18"/>
        </w:rPr>
        <w:t>van Knippenberg YMW et al.  ·  Int J Infect Dis  ·  23.07.2026  ·  PMID 42492833</w:t>
      </w:r>
    </w:p>
    <w:p>
      <w:r>
        <w:t>Retrospektive Analyse von Notaufnahmepatienten mit Verdacht auf Infektion, um die unabhängige Assoziation zwischen Frailty und Abweichungen zwischen Verdachtsdiagnose und adjudizierter Entlassungsdiagnose zu untersuchen.</w:t>
      </w:r>
    </w:p>
    <w:p>
      <w:r>
        <w:rPr>
          <w:b/>
        </w:rPr>
        <w:t xml:space="preserve">Ergebnis: </w:t>
      </w:r>
      <w:r>
        <w:t>Frailty war unabhängig mit diagnostischer Diskordanz assoziiert (aOR 1,622; 95% KI: 1,094–2,405; p = 0,016). Höherer altersbereinigter Charlson-Komorbiditätsindex ebenfalls signifikant (aOR 1,105; 95% KI: 1,013–1,204; p = 0,024). Erkennung von Frailty kann Patienten mit erhöhtem Diskordanzrisiko identifizieren und sorgfältige diagnostische Neubewertung unterstützen.</w:t>
      </w:r>
    </w:p>
    <w:p>
      <w:r>
        <w:rPr>
          <w:b/>
          <w:sz w:val="19"/>
        </w:rPr>
        <w:t xml:space="preserve">Übertragbarkeit: </w:t>
      </w:r>
      <w:r>
        <w:rPr>
          <w:sz w:val="19"/>
        </w:rPr>
        <w:t>Niederlande, Radboud UMC, direkt auf deutsches Versorgungssystem übertragbar</w:t>
      </w:r>
    </w:p>
    <w:p>
      <w:r>
        <w:rPr>
          <w:color w:val="5A7D3A"/>
          <w:sz w:val="18"/>
        </w:rPr>
        <w:t>https://pubmed.ncbi.nlm.nih.gov/42492833/</w:t>
      </w:r>
    </w:p>
    <w:p>
      <w:pPr>
        <w:pStyle w:val="Heading1"/>
      </w:pPr>
      <w:r>
        <w:t>Aufgenommen am 29.09.2026</w:t>
      </w:r>
    </w:p>
    <w:p>
      <w:pPr>
        <w:pStyle w:val="Heading2"/>
      </w:pPr>
      <w:r>
        <w:t>Funktionsfähigkeit und Frailty-Screening bei älteren Patienten mit Lungenkrebs: Prädiktion von Pflegeabhängigkeit</w:t>
      </w:r>
    </w:p>
    <w:p>
      <w:r>
        <w:rPr>
          <w:i/>
          <w:color w:val="666666"/>
          <w:sz w:val="18"/>
        </w:rPr>
        <w:t>Bulut H et al.  ·  Cancer Causes Control  ·  28.09.2026  ·  PMID 42802193</w:t>
      </w:r>
    </w:p>
    <w:p>
      <w:r>
        <w:t>Querschnittsstudie an 410 älteren Patienten mit Lungenkrebs (Durchschnittsalter 70,8 Jahre) zur Vorhersage von Pflegeabhängigkeit durch Alltagsfunktionsfähigkeit (ADL) und Frailty.</w:t>
      </w:r>
    </w:p>
    <w:p>
      <w:r>
        <w:rPr>
          <w:b/>
        </w:rPr>
        <w:t xml:space="preserve">Ergebnis: </w:t>
      </w:r>
      <w:r>
        <w:t>Funktionsfähigkeit und Frailty erklärten 81,5% der Varianz in Pflegeabhängigkeit (adjustiertes R² = 0,815; p &lt; 0,001). Höhere ADL-Werte waren mit höherer Pflegeabhängigkeit assoziiert (B = 2,344, β = 0,309, p &lt; 0,001), höhere Frailty-Werte mit niedrigerer Pflegeabhängigkeit (B = −2,391, β = −0,652, p &lt; 0,001). Frailty-Screening und funktionales Assessment können hochrisiko-Patienten früh identifizieren.</w:t>
      </w:r>
    </w:p>
    <w:p>
      <w:r>
        <w:rPr>
          <w:b/>
          <w:sz w:val="19"/>
        </w:rPr>
        <w:t xml:space="preserve">Übertragbarkeit: </w:t>
      </w:r>
      <w:r>
        <w:rPr>
          <w:sz w:val="19"/>
        </w:rPr>
        <w:t>Türkei, ähnliche geriatrische Versorgungsherausforderungen wie Deutschland</w:t>
      </w:r>
    </w:p>
    <w:p>
      <w:r>
        <w:rPr>
          <w:color w:val="5A7D3A"/>
          <w:sz w:val="18"/>
        </w:rPr>
        <w:t>https://pubmed.ncbi.nlm.nih.gov/42802193/</w:t>
      </w:r>
    </w:p>
    <w:p>
      <w:pPr>
        <w:pStyle w:val="Heading2"/>
      </w:pPr>
      <w:r>
        <w:t>Urinkontinenz bei älteren Frauen: Unterbehandlung sinkt bei Symptom-Fokus, nicht mit steigendem Alter</w:t>
      </w:r>
    </w:p>
    <w:p>
      <w:r>
        <w:rPr>
          <w:i/>
          <w:color w:val="666666"/>
          <w:sz w:val="18"/>
        </w:rPr>
        <w:t>Uğur DN et al.  ·  Medicina (Kaunas)  ·  16.09.2026  ·  PMID 42796384</w:t>
      </w:r>
    </w:p>
    <w:p>
      <w:r>
        <w:t>Beobachtungsstudie an 480 Frauen (≥ 65 Jahre) in drei Altersgruppen zur Behandlungslücke bei Stress- und gemischter Harninkontinenz und zur Rolle von Frailty und Symptom-Schweregrad.</w:t>
      </w:r>
    </w:p>
    <w:p>
      <w:r>
        <w:rPr>
          <w:b/>
        </w:rPr>
        <w:t xml:space="preserve">Ergebnis: </w:t>
      </w:r>
      <w:r>
        <w:t>Behandlungslücken-Prävalenz stieg von 33,8% (65–74 Jahre) auf 44,4% (75–84 Jahre) und 55,0% (≥85 Jahre). Nach Adjustierung war Alter nicht unabhängig assoziiert. Höhere ICIQ-UI-SF-Werte (adjustiertes Odds Ratio 1,10 pro Punkt; 95%CI 1,02–1,19) und Stress-Mischinkontinenz (aOR 1,53; 95%CI 1,03–2,25) blieben assoziiert. Symptom-Schweregrad erklärt Unterbehandlung besser als Chronologie.</w:t>
      </w:r>
    </w:p>
    <w:p>
      <w:r>
        <w:rPr>
          <w:b/>
          <w:sz w:val="19"/>
        </w:rPr>
        <w:t xml:space="preserve">Übertragbarkeit: </w:t>
      </w:r>
      <w:r>
        <w:rPr>
          <w:sz w:val="19"/>
        </w:rPr>
        <w:t>Türkei, gyn. Versorgungsstrukturen vergleichbar mit Mitteleuropa</w:t>
      </w:r>
    </w:p>
    <w:p>
      <w:r>
        <w:rPr>
          <w:color w:val="5A7D3A"/>
          <w:sz w:val="18"/>
        </w:rPr>
        <w:t>https://pubmed.ncbi.nlm.nih.gov/42796384/</w:t>
      </w:r>
    </w:p>
    <w:p>
      <w:pPr>
        <w:pStyle w:val="Heading2"/>
      </w:pPr>
      <w:r>
        <w:t>Skelettmuskelreaktion auf kombiniertes Training bei älteren Erwachsenen: RNA-Sequenzierung und Polyphenole</w:t>
      </w:r>
    </w:p>
    <w:p>
      <w:r>
        <w:rPr>
          <w:i/>
          <w:color w:val="666666"/>
          <w:sz w:val="18"/>
        </w:rPr>
        <w:t>Guadalupe-Grau A et al.  ·  J Cachexia Sarcopenia Muscle  ·  Okt. 2026  ·  PMID 42788414</w:t>
      </w:r>
    </w:p>
    <w:p>
      <w:r>
        <w:t>Randomisierte Doppelblindstudie mit 38 älteren Erwachsenen (55–70 Jahre) zur Wirkung von 12 Wochen kombiniertem Widerstands- und High-Intensity-Intervalltraining auf die Skelettmuskel-Transkriptomik mit oder ohne Polyphenol-Supplementation.</w:t>
      </w:r>
    </w:p>
    <w:p>
      <w:r>
        <w:rPr>
          <w:b/>
        </w:rPr>
        <w:t xml:space="preserve">Ergebnis: </w:t>
      </w:r>
      <w:r>
        <w:t>RT + HIIT induzierte überwiegend gering-ausgeprägte transkriptomische Veränderungen. Sieben von 60 FDR-signifikanten Transkripten überschritten die Effektgrößen-Schwelle (|log2FC| &gt; 1), einschließlich Hochregulation von CLLU1 (log2FC = 3,10; FDR = 0,0155) und PRND (log2FC = 2,60; FDR = 0,02). Polyphenol-Supplementation beeinlusste die transkriptomische Reaktion nicht bedeutsam. Robuste Pathway-Adaptationen waren nicht erkennbar.</w:t>
      </w:r>
    </w:p>
    <w:p>
      <w:r>
        <w:rPr>
          <w:b/>
          <w:sz w:val="19"/>
        </w:rPr>
        <w:t xml:space="preserve">Übertragbarkeit: </w:t>
      </w:r>
      <w:r>
        <w:rPr>
          <w:sz w:val="19"/>
        </w:rPr>
        <w:t>Europäische Kohorten, methodisch vergleichbar mit deutschen Fitness-Studien</w:t>
      </w:r>
    </w:p>
    <w:p>
      <w:r>
        <w:rPr>
          <w:color w:val="5A7D3A"/>
          <w:sz w:val="18"/>
        </w:rPr>
        <w:t>https://pubmed.ncbi.nlm.nih.gov/42788414/</w:t>
      </w:r>
    </w:p>
    <w:p>
      <w:pPr>
        <w:pStyle w:val="Heading2"/>
      </w:pPr>
      <w:r>
        <w:t>Altersgerechte smartphone-gestützte kognitive Fernbeurteilung: generationsspezifische Unterschiede in Adhärenz und Zuverlässigkeit</w:t>
      </w:r>
    </w:p>
    <w:p>
      <w:r>
        <w:rPr>
          <w:i/>
          <w:color w:val="666666"/>
          <w:sz w:val="18"/>
        </w:rPr>
        <w:t>Katteri S et al.  ·  Alzheimers Dement  ·  Sept. 2026  ·  PMID 42781715</w:t>
      </w:r>
    </w:p>
    <w:p>
      <w:r>
        <w:t>Vergleichende Studie bei 444 älteren Erwachsenen und 113 jüngeren/mittelalten Probanden zur Machbarkeit smartphone-basierter kognitiver Tests bis zu viermal täglich über 7 Tage und zum Vergleich mit standardisierter Klinik-Batterie.</w:t>
      </w:r>
    </w:p>
    <w:p>
      <w:r>
        <w:rPr>
          <w:b/>
        </w:rPr>
        <w:t xml:space="preserve">Ergebnis: </w:t>
      </w:r>
      <w:r>
        <w:t>Ältere Erwachsene zeigten höhere Adhärenz als jüngere (78 % vs. 59 %). Jüngere erreichten höhere Zuverlässigkeit mit weniger Sitzungen und zeigten viel kleinere Lerneffekte. Smartphone-zu-Klinik-Korrelationen waren in beiden Altersgruppen stark. Generationelle Unterschiede beeinflussen Design und Umsetzung smartphone-gestützter Studien wesentlich.</w:t>
      </w:r>
    </w:p>
    <w:p>
      <w:r>
        <w:rPr>
          <w:b/>
          <w:sz w:val="19"/>
        </w:rPr>
        <w:t xml:space="preserve">Übertragbarkeit: </w:t>
      </w:r>
      <w:r>
        <w:rPr>
          <w:sz w:val="19"/>
        </w:rPr>
        <w:t>USA, aber Methodologie zur Remote-Kognition altersunabhängig übertragbar</w:t>
      </w:r>
    </w:p>
    <w:p>
      <w:r>
        <w:rPr>
          <w:color w:val="5A7D3A"/>
          <w:sz w:val="18"/>
        </w:rPr>
        <w:t>https://pubmed.ncbi.nlm.nih.gov/42781715/</w:t>
      </w:r>
    </w:p>
    <w:p>
      <w:pPr>
        <w:pStyle w:val="Heading2"/>
      </w:pPr>
      <w:r>
        <w:t>Proteinbasierte Inflammaging-Signaturen zur Mortalitätsvorhersage: C-Index 0,758 für alle Ursachen</w:t>
      </w:r>
    </w:p>
    <w:p>
      <w:r>
        <w:rPr>
          <w:i/>
          <w:color w:val="666666"/>
          <w:sz w:val="18"/>
        </w:rPr>
        <w:t>Jiang Z et al.  ·  Exp Gerontol  ·  15.10.2026  ·  PMID 42731645</w:t>
      </w:r>
    </w:p>
    <w:p>
      <w:r>
        <w:t>Große UK-Biobank-Studie (n = 40.471) zur Entwicklung eines proteingestützten Inflammaging-Scores aus 1.112 Proteinen, assoziiert mit Mortalität und Multimorbidität.</w:t>
      </w:r>
    </w:p>
    <w:p>
      <w:r>
        <w:rPr>
          <w:b/>
        </w:rPr>
        <w:t xml:space="preserve">Ergebnis: </w:t>
      </w:r>
      <w:r>
        <w:t>Proteinbasierter Inflammaging-Score war positiv mit allen-Ursachen-Sterblichkeit assoziiert (HR = 1,88; 95%CI: 1,79–1,98). Vereinfachte Version (93 Proteine) erreichte gleichwertig HR = 1,88 (95%CI: 1,79–1,97). C-Index für Sterblichkeit mit klinischen Indizes plus vereinfachtem Score: 0,758 (95%CI: 0,752–0,765). ProteinBasierter Score outperformte konventionelle Inflammations- und Alternsbiomarker signifikant.</w:t>
      </w:r>
    </w:p>
    <w:p>
      <w:r>
        <w:rPr>
          <w:b/>
          <w:sz w:val="19"/>
        </w:rPr>
        <w:t xml:space="preserve">Übertragbarkeit: </w:t>
      </w:r>
      <w:r>
        <w:rPr>
          <w:sz w:val="19"/>
        </w:rPr>
        <w:t>UK Biobank, aber Proteinmarker-Verband mit Mortalität biologisch universell</w:t>
      </w:r>
    </w:p>
    <w:p>
      <w:r>
        <w:rPr>
          <w:color w:val="5A7D3A"/>
          <w:sz w:val="18"/>
        </w:rPr>
        <w:t>https://pubmed.ncbi.nlm.nih.gov/42731645/</w:t>
      </w:r>
    </w:p>
    <w:p>
      <w:pPr>
        <w:pStyle w:val="Heading2"/>
      </w:pPr>
      <w:r>
        <w:t>Kognitive Effizienz und Lebenszufriedenheit bei älteren Sarden: digitales Screening und Freizeit-Aktivitäten</w:t>
      </w:r>
    </w:p>
    <w:p>
      <w:r>
        <w:rPr>
          <w:i/>
          <w:color w:val="666666"/>
          <w:sz w:val="18"/>
        </w:rPr>
        <w:t>Fastame MC et al.  ·  Exp Gerontol  ·  15.10.2026  ·  PMID 42685868</w:t>
      </w:r>
    </w:p>
    <w:p>
      <w:r>
        <w:t>Querschnittsstudie an 127 älteren Erwachsenen (Durchschnittsalter 73,1 Jahre) auf Sardinien zu Korrelaten der Lebenszufriedenheit mittels digital-gestützter kognitiver Screening (DIGICOG-MS).</w:t>
      </w:r>
    </w:p>
    <w:p>
      <w:r>
        <w:rPr>
          <w:b/>
        </w:rPr>
        <w:t xml:space="preserve">Ergebnis: </w:t>
      </w:r>
      <w:r>
        <w:t>Nach Kontrolle für Alter, Bildung und globale kognitive Effizienz waren wahrgenommene Gesundheit, Freizeitzeit, verbale semantische Flüssigkeit, auditives verbales Lernen und unmittelbare Erinnerung signifikant mit Lebenszufriedenheit assoziiert (adjustiertes R² = 0,198, F(8,117) = 4,860, p &lt; 0,001). DIGICOG-MS-Benutzerfreundlichkeit war höher bei niedrigerer Bildung; Tool erwies sich als intuitiv und abbaut Bildungsgrenzen ab.</w:t>
      </w:r>
    </w:p>
    <w:p>
      <w:r>
        <w:rPr>
          <w:b/>
          <w:sz w:val="19"/>
        </w:rPr>
        <w:t xml:space="preserve">Übertragbarkeit: </w:t>
      </w:r>
      <w:r>
        <w:rPr>
          <w:sz w:val="19"/>
        </w:rPr>
        <w:t>Italien, Mittelmeerraum – ähnliche Bevölkerungsstruktur wie südliches Europa</w:t>
      </w:r>
    </w:p>
    <w:p>
      <w:r>
        <w:rPr>
          <w:color w:val="5A7D3A"/>
          <w:sz w:val="18"/>
        </w:rPr>
        <w:t>https://pubmed.ncbi.nlm.nih.gov/42685868/</w:t>
      </w:r>
    </w:p>
    <w:p>
      <w:pPr>
        <w:pStyle w:val="Heading1"/>
      </w:pPr>
      <w:r>
        <w:t>Aufgenommen am 28.09.2026</w:t>
      </w:r>
    </w:p>
    <w:p>
      <w:pPr>
        <w:pStyle w:val="Heading2"/>
      </w:pPr>
      <w:r>
        <w:t>Alzheimer-Therapien im geriatrischen Alter: Implementierungsherausforderungen und Chancen</w:t>
      </w:r>
    </w:p>
    <w:p>
      <w:r>
        <w:rPr>
          <w:i/>
          <w:color w:val="666666"/>
          <w:sz w:val="18"/>
        </w:rPr>
        <w:t>Zrineh A et al.  ·  Clin Interv Aging  ·  22.09.2026  ·  PMID 42801246</w:t>
      </w:r>
    </w:p>
    <w:p>
      <w:r>
        <w:t>Narratives Review der Alzheimer-Pathophysiologie, diagnostischer Biomarker und Therapien (Cholinesterase-Inhibitoren, Lecanemab, Donanemab) mit Fokus auf geriatrische Versorgung und Integration in Kliniken.</w:t>
      </w:r>
    </w:p>
    <w:p>
      <w:r>
        <w:rPr>
          <w:b/>
        </w:rPr>
        <w:t xml:space="preserve">Ergebnis: </w:t>
      </w:r>
      <w:r>
        <w:t>Neue monoklonale Anti-Amyloid-Antikörper zeigen klinisch signifikante, aber moderate Verzögerung des Rückgangs. Risiken: Amyloid-related imaging abnormalities, hohe Kosten, ungelöste Fragen zur langfristigen Aussagekraft. Integrierung in geriatrische Praxis erfordert Biomarker-gesteuertes Screening, Sicherheitsüberwachung, Polypharmazie-Management.</w:t>
      </w:r>
    </w:p>
    <w:p>
      <w:r>
        <w:rPr>
          <w:b/>
          <w:sz w:val="19"/>
        </w:rPr>
        <w:t xml:space="preserve">Übertragbarkeit: </w:t>
      </w:r>
      <w:r>
        <w:rPr>
          <w:sz w:val="19"/>
        </w:rPr>
        <w:t>USA und international; praktische Empfehlungen für Versorgung gelten über Länder hinweg, aber Zugänglichkeit und Finanzierung unterscheiden sich</w:t>
      </w:r>
    </w:p>
    <w:p>
      <w:r>
        <w:rPr>
          <w:color w:val="5A7D3A"/>
          <w:sz w:val="18"/>
        </w:rPr>
        <w:t>https://pubmed.ncbi.nlm.nih.gov/42801246/</w:t>
      </w:r>
    </w:p>
    <w:p>
      <w:pPr>
        <w:pStyle w:val="Heading2"/>
      </w:pPr>
      <w:r>
        <w:t>Mittelmeerdiät bei älteren Menschen mit HIV: Körperzusammensetzung und klinisches Profil</w:t>
      </w:r>
    </w:p>
    <w:p>
      <w:r>
        <w:rPr>
          <w:i/>
          <w:color w:val="666666"/>
          <w:sz w:val="18"/>
        </w:rPr>
        <w:t>Mazzitelli M et al.  ·  Viruses  ·  25.08.2026  ·  PMID 42797764</w:t>
      </w:r>
    </w:p>
    <w:p>
      <w:r>
        <w:t>Querschnittsstudie an 130 italienischen erwachsenen Menschen mit HIV im Median 57 Jahren: Mediterrane Diät-Adhärenz anhand MedDiet Score gemessen, Körperzusammensetzung mittels DXA analysiert.</w:t>
      </w:r>
    </w:p>
    <w:p>
      <w:r>
        <w:rPr>
          <w:b/>
        </w:rPr>
        <w:t xml:space="preserve">Ergebnis: </w:t>
      </w:r>
      <w:r>
        <w:t>80,8% zeigten hohe Adhärenz. Hohe Adhärenz assoziiert mit niedrigerem BMI (β −5,3, 95%-KI −7,3 bis −3,4, p&lt;0,001), niedrigerer totaler und Rumpf-Fettmasse und höherer Knochenmineraldichte der LWS. Günstigeres klinisches Profil mit höherer CD4-Zahl.</w:t>
      </w:r>
    </w:p>
    <w:p>
      <w:r>
        <w:rPr>
          <w:b/>
          <w:sz w:val="19"/>
        </w:rPr>
        <w:t xml:space="preserve">Übertragbarkeit: </w:t>
      </w:r>
      <w:r>
        <w:rPr>
          <w:sz w:val="19"/>
        </w:rPr>
        <w:t>Italien, spezialisierte HIV-Kliniken; Übertragbarkeit auf deutsche Versorgung begrenzt durch HIV-Fokus</w:t>
      </w:r>
    </w:p>
    <w:p>
      <w:r>
        <w:rPr>
          <w:color w:val="5A7D3A"/>
          <w:sz w:val="18"/>
        </w:rPr>
        <w:t>https://pubmed.ncbi.nlm.nih.gov/42797764/</w:t>
      </w:r>
    </w:p>
    <w:p>
      <w:pPr>
        <w:pStyle w:val="Heading2"/>
      </w:pPr>
      <w:r>
        <w:t>Ernährung im höchsten Alter: Milchprodukte und Hühnchen assoziiert mit längerer Überlebensdauer</w:t>
      </w:r>
    </w:p>
    <w:p>
      <w:r>
        <w:rPr>
          <w:i/>
          <w:color w:val="666666"/>
          <w:sz w:val="18"/>
        </w:rPr>
        <w:t>Errigo A et al.  ·  Nutrients  ·  20.09.2026  ·  PMID 42797055</w:t>
      </w:r>
    </w:p>
    <w:p>
      <w:r>
        <w:t>Prospektive Kohorte von 200 sardischen Bewohnern über 90 Jahren: Ernährungsmuster wurden erhoben, Überleben über bis zu 7 Jahre verfolgt.</w:t>
      </w:r>
    </w:p>
    <w:p>
      <w:r>
        <w:rPr>
          <w:b/>
        </w:rPr>
        <w:t xml:space="preserve">Ergebnis: </w:t>
      </w:r>
      <w:r>
        <w:t>Höherer Konsum von Milch, Käse und Hühnchen war mit niedrigerer Sterblichkeit assoziiert (HR 0,839 pro SD-Anstieg des Dairy-Traditional-Fat-Musters, 95%-KI 0,727–0,969, p=0,017); Wein-Konsum positiv mit Mortalität assoziiert. Assoziationen bei Einzellebensmitteln blieben nach Korrektion für multiples Testen signifikant.</w:t>
      </w:r>
    </w:p>
    <w:p>
      <w:r>
        <w:rPr>
          <w:b/>
          <w:sz w:val="19"/>
        </w:rPr>
        <w:t xml:space="preserve">Übertragbarkeit: </w:t>
      </w:r>
      <w:r>
        <w:rPr>
          <w:sz w:val="19"/>
        </w:rPr>
        <w:t>Italien, Blue Zone; begrenzte direkte Übertragbarkeit auf Deutsche, aber Ernährungsmuster in extremem Alter untersucht</w:t>
      </w:r>
    </w:p>
    <w:p>
      <w:r>
        <w:rPr>
          <w:color w:val="5A7D3A"/>
          <w:sz w:val="18"/>
        </w:rPr>
        <w:t>https://pubmed.ncbi.nlm.nih.gov/42797055/</w:t>
      </w:r>
    </w:p>
    <w:p>
      <w:pPr>
        <w:pStyle w:val="Heading2"/>
      </w:pPr>
      <w:r>
        <w:t>Ernährungsqualität und Blutmarker des Alterns: Proteomarker-Studie an älteren Schweden</w:t>
      </w:r>
    </w:p>
    <w:p>
      <w:r>
        <w:rPr>
          <w:i/>
          <w:color w:val="666666"/>
          <w:sz w:val="18"/>
        </w:rPr>
        <w:t>DaCosta RA et al.  ·  BMC Med  ·  15.09.2026  ·  PMID 42791570</w:t>
      </w:r>
    </w:p>
    <w:p>
      <w:r>
        <w:t>Bevölkerungsbasierte Querschnittsanalyse von 1.769 schwedischen Personen ≥60 Jahren: Ernährungsqualität mittels AMED, AHEI und rEDII gemessen, 54 Blutbiomarker analysiert.</w:t>
      </w:r>
    </w:p>
    <w:p>
      <w:r>
        <w:rPr>
          <w:b/>
        </w:rPr>
        <w:t xml:space="preserve">Ergebnis: </w:t>
      </w:r>
      <w:r>
        <w:t>Höhere AMED-Adhärenz assoziiert mit höheren Folsäure-Spiegeln (β 0,066, 95%-KI 0,033–0,099) und niedrigerem GFAP (β −0,018, 95%-KI −0,030 bis −0,006, p=0,003). Höhere rEDII-Adhärenz mit niedrigerem Leptin, Insulin, GDF15, alkalischer Phosphatase und TNF-Rezeptor. Biomarker in metabolischen und inflammatorischen Domänen betroffen.</w:t>
      </w:r>
    </w:p>
    <w:p>
      <w:r>
        <w:rPr>
          <w:b/>
          <w:sz w:val="19"/>
        </w:rPr>
        <w:t xml:space="preserve">Übertragbarkeit: </w:t>
      </w:r>
      <w:r>
        <w:rPr>
          <w:sz w:val="19"/>
        </w:rPr>
        <w:t>Skandinavien, nationale Längsschnittstudie; vergleichbare Gesundheitssysteme, gute Datenqualität</w:t>
      </w:r>
    </w:p>
    <w:p>
      <w:r>
        <w:rPr>
          <w:color w:val="5A7D3A"/>
          <w:sz w:val="18"/>
        </w:rPr>
        <w:t>https://pubmed.ncbi.nlm.nih.gov/42791570/</w:t>
      </w:r>
    </w:p>
    <w:p>
      <w:pPr>
        <w:pStyle w:val="Heading2"/>
      </w:pPr>
      <w:r>
        <w:t>Wearable-Autonomie-Komponente und kardiometabolische Gesundheit im Alter</w:t>
      </w:r>
    </w:p>
    <w:p>
      <w:r>
        <w:rPr>
          <w:i/>
          <w:color w:val="666666"/>
          <w:sz w:val="18"/>
        </w:rPr>
        <w:t>Calvani R et al.  ·  Med Sci (Basel)  ·  02.09.2026  ·  PMID 42783415</w:t>
      </w:r>
    </w:p>
    <w:p>
      <w:r>
        <w:t>Querschnitt von 97 italienischen Erwachsenen (Durchschnittsalter 51,3 Jahre): 24-h Wearable-Geräte-Messung, Hauptkomponentenanalyse der ECG- und Bewegungsvariablen, Assoziation mit 8-Domänen-Gesundheits-Screening.</w:t>
      </w:r>
    </w:p>
    <w:p>
      <w:r>
        <w:rPr>
          <w:b/>
        </w:rPr>
        <w:t xml:space="preserve">Ergebnis: </w:t>
      </w:r>
      <w:r>
        <w:t>Prinzipalkomponente PC1 (gekennzeichnet durch hohes SDNN, hohes RMSSD, niedrige nächtliche Herzfrequenz) unabhängig assoziiert mit Gesamt-Gesundheit (B=+0,402, 95%-KI [+0,103, +0,700], p=0,009). Nach Benjamini-Hochberg-Korrektur in Einzeldomänen nur Glukose-Gesundheit signifikant (95%-KI [1,32, 4,62], p=0,039).</w:t>
      </w:r>
    </w:p>
    <w:p>
      <w:r>
        <w:rPr>
          <w:b/>
          <w:sz w:val="19"/>
        </w:rPr>
        <w:t xml:space="preserve">Übertragbarkeit: </w:t>
      </w:r>
      <w:r>
        <w:rPr>
          <w:sz w:val="19"/>
        </w:rPr>
        <w:t>Italien, Community-Setting; Wearable-Technologie relevant für deutsche Präventivmedizin, aber Stichprobe klein</w:t>
      </w:r>
    </w:p>
    <w:p>
      <w:r>
        <w:rPr>
          <w:color w:val="5A7D3A"/>
          <w:sz w:val="18"/>
        </w:rPr>
        <w:t>https://pubmed.ncbi.nlm.nih.gov/42783415/</w:t>
      </w:r>
    </w:p>
    <w:p>
      <w:pPr>
        <w:pStyle w:val="Heading2"/>
      </w:pPr>
      <w:r>
        <w:t>Gewichteter Alterungspace als Prädiktor: sterblichkeitsinformiertes Biomarker-Modell</w:t>
      </w:r>
    </w:p>
    <w:p>
      <w:r>
        <w:rPr>
          <w:i/>
          <w:color w:val="666666"/>
          <w:sz w:val="18"/>
        </w:rPr>
        <w:t>Sluiskes MH et al.  ·  J Gerontol A Biol Sci Med Sci  ·  05.09.2026  ·  PMID 42625435</w:t>
      </w:r>
    </w:p>
    <w:p>
      <w:r>
        <w:t>Längsschnittstudie schwedischer älterer Paare (SATSA): Gewichteter Pace of Aging (wPoA) aus 10 Biomarkern berechnet, anhand Sterblichkeit gewichtet, gegen etablierte Alterungs-Prädiktoren validiert.</w:t>
      </w:r>
    </w:p>
    <w:p>
      <w:r>
        <w:rPr>
          <w:b/>
        </w:rPr>
        <w:t xml:space="preserve">Ergebnis: </w:t>
      </w:r>
      <w:r>
        <w:t>wPoA korreliert mit biologischen Alterungs-Prädiktoren und stärker mit Functional Aging Index (FAA) und Frailty Index (FI). Moderate Korrelationen über alle Prädiktoren deuten darauf hin, dass jedes Maß unterschiedliche Aspekte des biologischen Alterns erfasst; wPoA eignet sich für Kohorten mit reichen Längsdaten.</w:t>
      </w:r>
    </w:p>
    <w:p>
      <w:r>
        <w:rPr>
          <w:b/>
          <w:sz w:val="19"/>
        </w:rPr>
        <w:t xml:space="preserve">Übertragbarkeit: </w:t>
      </w:r>
      <w:r>
        <w:rPr>
          <w:sz w:val="19"/>
        </w:rPr>
        <w:t>Schweden, nationale Adoptions-/Zwillingsstudie; europäisches Gesundheitssystem, methodisch robust</w:t>
      </w:r>
    </w:p>
    <w:p>
      <w:r>
        <w:rPr>
          <w:color w:val="5A7D3A"/>
          <w:sz w:val="18"/>
        </w:rPr>
        <w:t>https://pubmed.ncbi.nlm.nih.gov/42625435/</w:t>
      </w:r>
    </w:p>
    <w:p>
      <w:pPr>
        <w:pStyle w:val="Heading1"/>
      </w:pPr>
      <w:r>
        <w:t>Aufgenommen am 27.09.2026</w:t>
      </w:r>
    </w:p>
    <w:p>
      <w:pPr>
        <w:pStyle w:val="Heading2"/>
      </w:pPr>
      <w:r>
        <w:t>Vorhersagemodell für postoperative Frailty bei Brustkrebspatienten</w:t>
      </w:r>
    </w:p>
    <w:p>
      <w:r>
        <w:rPr>
          <w:i/>
          <w:color w:val="666666"/>
          <w:sz w:val="18"/>
        </w:rPr>
        <w:t>Zhou Y et al.  ·  PeerJ  ·  22.09.2026  ·  PMID 42799450</w:t>
      </w:r>
    </w:p>
    <w:p>
      <w:r>
        <w:t>Querschnittsstudie mit 286 Brustkrebspatienten nach Operation; Frailty erfasst mit Tilburg Frailty Indicator (TFI), Schlafqualität mit Pittsburgh Sleep Quality Index (PSQI); logistische Regressionsmodellierung mit ROC-Kurven-Validierung.</w:t>
      </w:r>
    </w:p>
    <w:p>
      <w:r>
        <w:rPr>
          <w:b/>
        </w:rPr>
        <w:t xml:space="preserve">Ergebnis: </w:t>
      </w:r>
      <w:r>
        <w:t>Postoperative Frailty-Prävalenz: 29,37 %. Signifikante Einflussfaktoren waren Diabetes-Vorgeschichte, schlechte Schlafqualität, Cholesterin und BMI, Kinder als Hauptpflegeperson und Krankenversicherungstyp. Das Modell erzielte eine AUC von 0,813 nach interner 10-fach-Kreuzvalidierung. Hosmer-Lemeshow χ² = 4,436, p = 0,816.</w:t>
      </w:r>
    </w:p>
    <w:p>
      <w:r>
        <w:rPr>
          <w:b/>
          <w:sz w:val="19"/>
        </w:rPr>
        <w:t xml:space="preserve">Übertragbarkeit: </w:t>
      </w:r>
      <w:r>
        <w:rPr>
          <w:sz w:val="19"/>
        </w:rPr>
        <w:t>China, anderes Gesundheitssystem; nur Frailty-Identifikation ist übertragbar.</w:t>
      </w:r>
    </w:p>
    <w:p>
      <w:r>
        <w:rPr>
          <w:color w:val="5A7D3A"/>
          <w:sz w:val="18"/>
        </w:rPr>
        <w:t>https://pubmed.ncbi.nlm.nih.gov/42799450/</w:t>
      </w:r>
    </w:p>
    <w:p>
      <w:pPr>
        <w:pStyle w:val="Heading2"/>
      </w:pPr>
      <w:r>
        <w:t>Ernährungsadäquanz in der Gemeinschaft: Ältere vs. jüngere Deutsche im BASE-II-Vergleich</w:t>
      </w:r>
    </w:p>
    <w:p>
      <w:r>
        <w:rPr>
          <w:i/>
          <w:color w:val="666666"/>
          <w:sz w:val="18"/>
        </w:rPr>
        <w:t>Heimberg K et al.  ·  Nutrients  ·  20.09.2026  ·  PMID 42797060</w:t>
      </w:r>
    </w:p>
    <w:p>
      <w:r>
        <w:t>Querschnittsstudie zur Nährstoffaufnahme bei 1.671 Personen im Alter von 60–84 Jahren aus der Berliner Altersstudie II (BASE-II), verglichen mit 500 jüngeren Erwachsenen (22–36 Jahre).</w:t>
      </w:r>
    </w:p>
    <w:p>
      <w:r>
        <w:rPr>
          <w:b/>
        </w:rPr>
        <w:t xml:space="preserve">Ergebnis: </w:t>
      </w:r>
      <w:r>
        <w:t>Ältere Erwachsene hatten kein generell schlechteres Nährstoffprofil als Jüngere. Jedoch lag das Osteoporoserisiko durch Calciummangel bei älteren Personen höher (34 % vs. 26 %). Vitamin-D-Mangel betraf über 15 % in beiden Altersgruppen. Supplementnutzung war bei Älteren häufiger (47,3 % vs. 43,0 %), unterschied sich aber nicht signifikant.</w:t>
      </w:r>
    </w:p>
    <w:p>
      <w:r>
        <w:rPr>
          <w:b/>
          <w:sz w:val="19"/>
        </w:rPr>
        <w:t xml:space="preserve">Übertragbarkeit: </w:t>
      </w:r>
      <w:r>
        <w:rPr>
          <w:sz w:val="19"/>
        </w:rPr>
        <w:t>Deutsche Kohortendaten (BASE-II), vergleichbare Bevölkerungsstruktur und Ernährungsrichtlinien.</w:t>
      </w:r>
    </w:p>
    <w:p>
      <w:r>
        <w:rPr>
          <w:color w:val="5A7D3A"/>
          <w:sz w:val="18"/>
        </w:rPr>
        <w:t>https://pubmed.ncbi.nlm.nih.gov/42797060/</w:t>
      </w:r>
    </w:p>
    <w:p>
      <w:pPr>
        <w:pStyle w:val="Heading2"/>
      </w:pPr>
      <w:r>
        <w:t>Ganggeschwindigkeit als Prognostischer Marker für Überleben bei älteren Krebspatienten</w:t>
      </w:r>
    </w:p>
    <w:p>
      <w:r>
        <w:rPr>
          <w:i/>
          <w:color w:val="666666"/>
          <w:sz w:val="18"/>
        </w:rPr>
        <w:t>Ünlü B et al.  ·  Medicina (Kaunas)  ·  21.09.2026  ·  PMID 42796422</w:t>
      </w:r>
    </w:p>
    <w:p>
      <w:r>
        <w:t>Prospektive Studie bei 102 chemotherapie-naiven Patienten ≥65 Jahre mit Gangtests vor Behandlung und Nachverfolgung von Überleben, Therapieansprechen und Toxizität.</w:t>
      </w:r>
    </w:p>
    <w:p>
      <w:r>
        <w:rPr>
          <w:b/>
        </w:rPr>
        <w:t xml:space="preserve">Ergebnis: </w:t>
      </w:r>
      <w:r>
        <w:t>Mittlere Ganggeschwindigkeit 0,481 ± 0,176 m/s. Bei metastasierten Patienten war höhere Ganggeschwindigkeit mit niedrigerer Mortalität assoziiert (univariat HR = 0,752, 95%-KI 0,605–0,934, p = 0,010; adjustiert HR = 0,647, 95%-KI 0,490–0,853, p = 0,002). Keine signifikanten Assoziationen mit progressionsfreiem Überleben oder Grad-≥3-Toxizität.</w:t>
      </w:r>
    </w:p>
    <w:p>
      <w:r>
        <w:rPr>
          <w:b/>
          <w:sz w:val="19"/>
        </w:rPr>
        <w:t xml:space="preserve">Übertragbarkeit: </w:t>
      </w:r>
      <w:r>
        <w:rPr>
          <w:sz w:val="19"/>
        </w:rPr>
        <w:t>Türkei; funktionelle Messung übertragbar, aber Kohorte klein und explorativ.</w:t>
      </w:r>
    </w:p>
    <w:p>
      <w:r>
        <w:rPr>
          <w:color w:val="5A7D3A"/>
          <w:sz w:val="18"/>
        </w:rPr>
        <w:t>https://pubmed.ncbi.nlm.nih.gov/42796422/</w:t>
      </w:r>
    </w:p>
    <w:p>
      <w:pPr>
        <w:pStyle w:val="Heading2"/>
      </w:pPr>
      <w:r>
        <w:t>Frailty-assoziierte Lungenfunktionstrajektor nach Lungentransplantation</w:t>
      </w:r>
    </w:p>
    <w:p>
      <w:r>
        <w:rPr>
          <w:i/>
          <w:color w:val="666666"/>
          <w:sz w:val="18"/>
        </w:rPr>
        <w:t>Ceolin C et al.  ·  Respir Res  ·  25.09.2026  ·  PMID 42791578</w:t>
      </w:r>
    </w:p>
    <w:p>
      <w:r>
        <w:t>Prospektive Longitudinalstudie über zwei Jahre bei 155 Lungentransplantationsempfänger (Durchschnittsalter 48,7 Jahre); Fried-Phänotyp zur Frailty-Erfassung und spirometrische Parameter als Lungenfunktionsergebnis.</w:t>
      </w:r>
    </w:p>
    <w:p>
      <w:r>
        <w:rPr>
          <w:b/>
        </w:rPr>
        <w:t xml:space="preserve">Ergebnis: </w:t>
      </w:r>
      <w:r>
        <w:t>43,7 % waren robust, 40,4 % pre-frail, 15,9 % frail. Höhere Frailty-Last war mit niedrigeren Baseline-FVC-Werten assoziiert. Signifikante Frailty-by-time-Wechselwirkungen zeigten steilere longitudinale Verbesserungen bei Vital Capacity (VC, β = 2,03, p = 0,010) und FVC (β = 2,20, p = 0,003) bei Personen mit höherer Baseline-Frailty.</w:t>
      </w:r>
    </w:p>
    <w:p>
      <w:r>
        <w:rPr>
          <w:b/>
          <w:sz w:val="19"/>
        </w:rPr>
        <w:t xml:space="preserve">Übertragbarkeit: </w:t>
      </w:r>
      <w:r>
        <w:rPr>
          <w:sz w:val="19"/>
        </w:rPr>
        <w:t>Italien (Padua), europäisches Versorgungssystem, ähnliche Transplantationsprotokolle.</w:t>
      </w:r>
    </w:p>
    <w:p>
      <w:r>
        <w:rPr>
          <w:color w:val="5A7D3A"/>
          <w:sz w:val="18"/>
        </w:rPr>
        <w:t>https://pubmed.ncbi.nlm.nih.gov/42791578/</w:t>
      </w:r>
    </w:p>
    <w:p>
      <w:pPr>
        <w:pStyle w:val="Heading2"/>
      </w:pPr>
      <w:r>
        <w:t>Heidelbeeren, Protein und Bewegung gegen Frailty: STRONG-Studie Studienprotokoll</w:t>
      </w:r>
    </w:p>
    <w:p>
      <w:r>
        <w:rPr>
          <w:i/>
          <w:color w:val="666666"/>
          <w:sz w:val="18"/>
        </w:rPr>
        <w:t>Cahill LE et al.  ·  BMJ Open  ·  25.09.2026  ·  PMID 42790922</w:t>
      </w:r>
    </w:p>
    <w:p>
      <w:r>
        <w:t>Pragmatische RCT über 12 Monate mit 240 Personen ≥65 Jahren (120w/120m) in Nova Scotia; Intervention: 1 Cup Heidelbeeren/Tag, 30 g Proteinpulver/Tag und drei 60-Minuten-Multimodal-Trainingseinheiten/Woche; Kontrolle: Standardversorgung.</w:t>
      </w:r>
    </w:p>
    <w:p>
      <w:r>
        <w:rPr>
          <w:b/>
        </w:rPr>
        <w:t xml:space="preserve">Ergebnis: </w:t>
      </w:r>
      <w:r>
        <w:t>Studie noch laufend (Protokoll publiziert). Geplante Outcomes: Frailty-Scores, Balance, Sturzhäufigkeit, Lebensraum, kardiovaskuläre Risikofaktoren, 6-Minuten-Gehtest, Entzündungsmarker, Lebensqualität mit Messungen bei Baseline, 3, 6, 9, 12 und 24 Monaten.</w:t>
      </w:r>
    </w:p>
    <w:p>
      <w:r>
        <w:rPr>
          <w:b/>
          <w:sz w:val="19"/>
        </w:rPr>
        <w:t xml:space="preserve">Übertragbarkeit: </w:t>
      </w:r>
      <w:r>
        <w:rPr>
          <w:sz w:val="19"/>
        </w:rPr>
        <w:t>Kanada (Nova Scotia), ähnliche Versorgungssysteme und Lebenserwartung wie deutschsprachiger Raum.</w:t>
      </w:r>
    </w:p>
    <w:p>
      <w:r>
        <w:rPr>
          <w:color w:val="5A7D3A"/>
          <w:sz w:val="18"/>
        </w:rPr>
        <w:t>https://pubmed.ncbi.nlm.nih.gov/42790922/</w:t>
      </w:r>
    </w:p>
    <w:p>
      <w:pPr>
        <w:pStyle w:val="Heading2"/>
      </w:pPr>
      <w:r>
        <w:t>Schlafstörungen und Depression als gemeinsames Risiko für Arthrose bei Älteren</w:t>
      </w:r>
    </w:p>
    <w:p>
      <w:r>
        <w:rPr>
          <w:i/>
          <w:color w:val="666666"/>
          <w:sz w:val="18"/>
        </w:rPr>
        <w:t>Deng S et al.  ·  Brain Behav  ·  Sept. 2026  ·  PMID 42779173</w:t>
      </w:r>
    </w:p>
    <w:p>
      <w:r>
        <w:t>Prospektive Kohortenstudie mit 3.604 Personen ab 50 Jahren aus der English Longitudinal Study of Ageing; Erfassung von Schlafstörung und depressiver Symptomatik über acht Jahre mittels gruppengestützter Multi-Trajektorien-Analyse.</w:t>
      </w:r>
    </w:p>
    <w:p>
      <w:r>
        <w:rPr>
          <w:b/>
        </w:rPr>
        <w:t xml:space="preserve">Ergebnis: </w:t>
      </w:r>
      <w:r>
        <w:t>Vier Trajektoriengruppen wurden identifiziert. Im Vergleich zu persistierend gutem Schlaf und keinen depressiven Symptomen zeigten Personen mit persistierend schlechtem Schlaf und hoher depressiver Symptomatik ein OR von 2,85 (95%-KI 1,90–4,28) für Arthrose-Neuauftreten; diejenigen mit schlechtem Schlaf und moderater Depression: OR 2,14 (95%-KI 1,52–3,02); moderate Schlafstörung mit niedriger Depression: OR 1,56 (95%-KI 1,20–2,03).</w:t>
      </w:r>
    </w:p>
    <w:p>
      <w:r>
        <w:rPr>
          <w:b/>
          <w:sz w:val="19"/>
        </w:rPr>
        <w:t xml:space="preserve">Übertragbarkeit: </w:t>
      </w:r>
      <w:r>
        <w:rPr>
          <w:sz w:val="19"/>
        </w:rPr>
        <w:t>England, vergleichbares nationales Gesundheitssystem und Altersstruktur.</w:t>
      </w:r>
    </w:p>
    <w:p>
      <w:r>
        <w:rPr>
          <w:color w:val="5A7D3A"/>
          <w:sz w:val="18"/>
        </w:rPr>
        <w:t>https://pubmed.ncbi.nlm.nih.gov/42779173/</w:t>
      </w:r>
    </w:p>
    <w:p>
      <w:pPr>
        <w:pStyle w:val="Heading1"/>
      </w:pPr>
      <w:r>
        <w:t>Aufgenommen am 26.09.2026</w:t>
      </w:r>
    </w:p>
    <w:p>
      <w:pPr>
        <w:pStyle w:val="Heading2"/>
      </w:pPr>
      <w:r>
        <w:t>Soziale Kontakte und körperliche Frailty entwickeln sich parallel: Langzeitprofil aus Japan</w:t>
      </w:r>
    </w:p>
    <w:p>
      <w:r>
        <w:rPr>
          <w:i/>
          <w:color w:val="666666"/>
          <w:sz w:val="18"/>
        </w:rPr>
        <w:t>Gao H et al.  ·  Front Public Health  ·  09.09.2026  ·  PMID 42787745</w:t>
      </w:r>
    </w:p>
    <w:p>
      <w:r>
        <w:t>Japanische Kohortenstudie an 307 älteren Gemeindemitgliedern mit Messungen 2014, 2017 und 2020 zu sozialen Kontakten, körperlicher Frailty (Kihon Checklist-Motor) und subjektiven kognitiven Beschwerden (Kihon Checklist-Kognitiv).</w:t>
      </w:r>
    </w:p>
    <w:p>
      <w:r>
        <w:rPr>
          <w:b/>
        </w:rPr>
        <w:t xml:space="preserve">Ergebnis: </w:t>
      </w:r>
      <w:r>
        <w:t>Soziale Kontakte sanken von 16,82 auf 16,09, körperliche Frailty stieg von 8,8 % auf 19,5 %, subjektive kognitive Beschwerden von 31,3 % auf 62,9 %. Höhere initiale soziale Kontakte assoziiert mit niedrigerem Frailty-Risiko (standardisiert -0,282, 95%-CrI -0,503 bis -0,044) und niedrigerem kognitiven Beschwerde-Risiko (-0,433, -0,651 bis -0,179). Inverse Assoziation zwischen Kontakt- und Frailty-Änderungsraten.</w:t>
      </w:r>
    </w:p>
    <w:p>
      <w:r>
        <w:rPr>
          <w:b/>
          <w:sz w:val="19"/>
        </w:rPr>
        <w:t xml:space="preserve">Übertragbarkeit: </w:t>
      </w:r>
      <w:r>
        <w:rPr>
          <w:sz w:val="19"/>
        </w:rPr>
        <w:t>Japan, aber Befunde zu Multidomain-Assessment übertragbar auf deutsche Altenhilfe</w:t>
      </w:r>
    </w:p>
    <w:p>
      <w:r>
        <w:rPr>
          <w:color w:val="5A7D3A"/>
          <w:sz w:val="18"/>
        </w:rPr>
        <w:t>https://pubmed.ncbi.nlm.nih.gov/42787745/</w:t>
      </w:r>
    </w:p>
    <w:p>
      <w:pPr>
        <w:pStyle w:val="Heading2"/>
      </w:pPr>
      <w:r>
        <w:t>Kardiovaskuläre Multimorbidität und kognitive Funktionalität: internationale Kohorten-Analyse</w:t>
      </w:r>
    </w:p>
    <w:p>
      <w:r>
        <w:rPr>
          <w:i/>
          <w:color w:val="666666"/>
          <w:sz w:val="18"/>
        </w:rPr>
        <w:t>Li M et al.  ·  Front Public Health  ·  10.09.2026  ·  PMID 42787285</w:t>
      </w:r>
    </w:p>
    <w:p>
      <w:r>
        <w:t>Internationale Harmonisierung von 236.088 Personen aus sechs Langzeitkohorten (HRS, ELSA, CHARLS, KLoSA, MHAS, SHARE) mit wiederholten Messungen kardiovaskulärer Komorbiditäten und kognitiv-funktionaler Veränderungen.</w:t>
      </w:r>
    </w:p>
    <w:p>
      <w:r>
        <w:rPr>
          <w:b/>
        </w:rPr>
        <w:t xml:space="preserve">Ergebnis: </w:t>
      </w:r>
      <w:r>
        <w:t>Jede zusätzliche kardiovaskuläre Erkrankung korreliert mit kognitiven Verschlechterung (β=0,0459, 95%-KI 0,0243–0,0675) und funktionalen Verschlechterung (β=0,0960, 95%-KI 0,0809–0,1111). Funktionale Verschlechterung deutlicher als kognitiv (Kontrast 0,0534, 95%-KI 0,0325–0,0742). Bei 266.127 Intervallen in unauffälligem Ausgangszustand: jede zusätzliche Grunderkrankung assoziiert mit funktionalen Übergängen (OR 1,33, 95%-KI 1,27–1,40), nicht konsistent mit kognitiven Übergängen (OR 1,01, 95%-KI 0,95–1,07).</w:t>
      </w:r>
    </w:p>
    <w:p>
      <w:r>
        <w:rPr>
          <w:b/>
          <w:sz w:val="19"/>
        </w:rPr>
        <w:t xml:space="preserve">Übertragbarkeit: </w:t>
      </w:r>
      <w:r>
        <w:rPr>
          <w:sz w:val="19"/>
        </w:rPr>
        <w:t>Europa, Kanada, USA, große internationale Datenharmonisierung relevant für Deutschland</w:t>
      </w:r>
    </w:p>
    <w:p>
      <w:r>
        <w:rPr>
          <w:color w:val="5A7D3A"/>
          <w:sz w:val="18"/>
        </w:rPr>
        <w:t>https://pubmed.ncbi.nlm.nih.gov/42787285/</w:t>
      </w:r>
    </w:p>
    <w:p>
      <w:pPr>
        <w:pStyle w:val="Heading2"/>
      </w:pPr>
      <w:r>
        <w:t>Frailty bei älteren COPD-Patienten: unabhängiger Prädiktor für COPD-Exazerbationen</w:t>
      </w:r>
    </w:p>
    <w:p>
      <w:r>
        <w:rPr>
          <w:i/>
          <w:color w:val="666666"/>
          <w:sz w:val="18"/>
        </w:rPr>
        <w:t>Li T et al.  ·  J Cachexia Sarcopenia Muscle  ·  Okt. 2026  ·  PMID 42786423</w:t>
      </w:r>
    </w:p>
    <w:p>
      <w:r>
        <w:t>Chinesische Kohortenstudie an 466 älteren COPD-Patienten (Mittel 71,2±4,5 Jahre) mit Fried-Frailty-Phänotyp-Assessment und Nachverfolgung über 12 Monate für moderate bis schwere Exazerbationen und Sterblichkeit.</w:t>
      </w:r>
    </w:p>
    <w:p>
      <w:r>
        <w:rPr>
          <w:b/>
        </w:rPr>
        <w:t xml:space="preserve">Ergebnis: </w:t>
      </w:r>
      <w:r>
        <w:t>54,7 % pre-frail, 28,3 % frail. Pre-Frailty (OR 2,182, 95%-KI 1,081–4,405) und Frailty (OR 3,377, 95%-KI 1,614–7,063) unabhängig assoziiert mit erhöhtem Exazerbationsrisiko. ROC-AUC für Frailty-Vorhersage 0,607. Kombination aus Frailty + Dyspnoe oder Exazerbationshistorie bessere Vorhersagekraft als einzelne Parameter.</w:t>
      </w:r>
    </w:p>
    <w:p>
      <w:r>
        <w:rPr>
          <w:b/>
          <w:sz w:val="19"/>
        </w:rPr>
        <w:t xml:space="preserve">Übertragbarkeit: </w:t>
      </w:r>
      <w:r>
        <w:rPr>
          <w:sz w:val="19"/>
        </w:rPr>
        <w:t>China, aber Frailty-Assessment-Konzepte etabliert in deutscher Geriatrie</w:t>
      </w:r>
    </w:p>
    <w:p>
      <w:r>
        <w:rPr>
          <w:color w:val="5A7D3A"/>
          <w:sz w:val="18"/>
        </w:rPr>
        <w:t>https://pubmed.ncbi.nlm.nih.gov/42786423/</w:t>
      </w:r>
    </w:p>
    <w:p>
      <w:pPr>
        <w:pStyle w:val="Heading2"/>
      </w:pPr>
      <w:r>
        <w:t>Prävention funktioneller Abhängigkeit im höheren Alter: Screening geriatrischer Syndrome</w:t>
      </w:r>
    </w:p>
    <w:p>
      <w:r>
        <w:rPr>
          <w:i/>
          <w:color w:val="666666"/>
          <w:sz w:val="18"/>
        </w:rPr>
        <w:t>Stornelli S et al.  ·  Rev Med Suisse  ·  23.09.2026  ·  PMID 42779326</w:t>
      </w:r>
    </w:p>
    <w:p>
      <w:r>
        <w:t>Schweizer Übersicht für ambulante Grundversorgung zu frühzeitiger Erkennung älterer Patienten mit Risiko funktioneller Abhängigkeit und Autonomieverlust, basierend auf WHO-ICOPE-Ansatz.</w:t>
      </w:r>
    </w:p>
    <w:p>
      <w:r>
        <w:rPr>
          <w:b/>
        </w:rPr>
        <w:t xml:space="preserve">Ergebnis: </w:t>
      </w:r>
      <w:r>
        <w:t>Kernempfehlung: Ärzte sollten hauptsächliche geriatrische Syndrome systematisch screenen, modifizierbare Risikofaktoren identifizieren und Maßnahmen zur Bewahrung intrinsischer Kapazität und Lebensqualität implementieren. Lücke zwischen Lebenserwartung und behinderungsfreien Jahren bleibt erheblich und variiert nach Geschlecht, Bildung und sozioökonomischem Status.</w:t>
      </w:r>
    </w:p>
    <w:p>
      <w:r>
        <w:rPr>
          <w:b/>
          <w:sz w:val="19"/>
        </w:rPr>
        <w:t xml:space="preserve">Übertragbarkeit: </w:t>
      </w:r>
      <w:r>
        <w:rPr>
          <w:sz w:val="19"/>
        </w:rPr>
        <w:t>Schweiz (DACH-Region), direkt übertragbar auf deutsche Primärversorgung</w:t>
      </w:r>
    </w:p>
    <w:p>
      <w:r>
        <w:rPr>
          <w:color w:val="5A7D3A"/>
          <w:sz w:val="18"/>
        </w:rPr>
        <w:t>https://pubmed.ncbi.nlm.nih.gov/42779326/</w:t>
      </w:r>
    </w:p>
    <w:p>
      <w:pPr>
        <w:pStyle w:val="Heading2"/>
      </w:pPr>
      <w:r>
        <w:t>Funktionale Limitierungen bei Depression im Alter folgen eigenen Trajektorien</w:t>
      </w:r>
    </w:p>
    <w:p>
      <w:r>
        <w:rPr>
          <w:i/>
          <w:color w:val="666666"/>
          <w:sz w:val="18"/>
        </w:rPr>
        <w:t>Fredriksen KH et al.  ·  J Affect Disord  ·  15.12.2026  ·  PMID 42716343</w:t>
      </w:r>
    </w:p>
    <w:p>
      <w:r>
        <w:t>Niederländische Langzeitstudie an 355 älteren depressiven Patienten über sechs Jahre mit wiederholten Messungen in sechs Funktionsbereichen (Kognition, Mobilität, Selbstversorgung, soziale Beziehungen, Haushaltsaktivitäten, gesellschaftliche Partizipation).</w:t>
      </w:r>
    </w:p>
    <w:p>
      <w:r>
        <w:rPr>
          <w:b/>
        </w:rPr>
        <w:t xml:space="preserve">Ergebnis: </w:t>
      </w:r>
      <w:r>
        <w:t>Funktionale Einschränkungen zeigten überwiegend stabile hohe oder niedrige Trajektorien über beide Domänen. In Mobilität, Selbstversorgung und Haushaltsaktivitäten zeigte eine Subgruppe starke Verschlechterung, eine andere in sozialen Beziehungen Verbesserung. Funktionale Trajektorien korrelierten nur schwach mit Symptomverläufen und unterschieden sich zwischen Individuen deutlich – Hinweis auf Bedarf für individualisierte Interventionen unabhängig von depressiver Remission.</w:t>
      </w:r>
    </w:p>
    <w:p>
      <w:r>
        <w:rPr>
          <w:b/>
          <w:sz w:val="19"/>
        </w:rPr>
        <w:t xml:space="preserve">Übertragbarkeit: </w:t>
      </w:r>
      <w:r>
        <w:rPr>
          <w:sz w:val="19"/>
        </w:rPr>
        <w:t>Niederlande, Sozialversicherungssystem vergleichbar mit Deutschland</w:t>
      </w:r>
    </w:p>
    <w:p>
      <w:r>
        <w:rPr>
          <w:color w:val="5A7D3A"/>
          <w:sz w:val="18"/>
        </w:rPr>
        <w:t>https://pubmed.ncbi.nlm.nih.gov/42716343/</w:t>
      </w:r>
    </w:p>
    <w:p>
      <w:pPr>
        <w:pStyle w:val="Heading2"/>
      </w:pPr>
      <w:r>
        <w:t>Bipolares Störung im höheren Alter: Sterblichkeit erhöht, nicht Überleberkohorten-Effekt</w:t>
      </w:r>
    </w:p>
    <w:p>
      <w:r>
        <w:rPr>
          <w:i/>
          <w:color w:val="666666"/>
          <w:sz w:val="18"/>
        </w:rPr>
        <w:t>Bayat N et al.  ·  Am J Geriatr Psychiatry  ·  21.07.2026  ·  PMID 42567731</w:t>
      </w:r>
    </w:p>
    <w:p>
      <w:r>
        <w:t>Niederländische Prospektivkohortenstudie mit 227 Patienten ≥50 Jahren mit bipolarer Störung (DOBi-Studie) verglichen mit 681 alternativen Kontrollpersonen (LASA) über 8 Jahre Nachverfolgung.</w:t>
      </w:r>
    </w:p>
    <w:p>
      <w:r>
        <w:rPr>
          <w:b/>
        </w:rPr>
        <w:t xml:space="preserve">Ergebnis: </w:t>
      </w:r>
      <w:r>
        <w:t>Von 227 Patienten mit bipolarer Störung starben 37 (16,3 %), von Kontrollen 138/681 (20,3 %). Eingeschränkte mittlere Überlebenszeit 2.500,7 Tage (95%-KI 2.419,9–2.581,5) versus 2.607,2 Tage (95%-KI 2.572,3–2.642,0) – Differenz 106,4 Tage (3,5 Monate, p=0,018). Hazard Ratio 1,72 (95%-KI 1,17–2,54, p=0,006). Erhöhte Sterblichkeit persistent, nicht nur Überleberkohorten-Effekt.</w:t>
      </w:r>
    </w:p>
    <w:p>
      <w:r>
        <w:rPr>
          <w:b/>
          <w:sz w:val="19"/>
        </w:rPr>
        <w:t xml:space="preserve">Übertragbarkeit: </w:t>
      </w:r>
      <w:r>
        <w:rPr>
          <w:sz w:val="19"/>
        </w:rPr>
        <w:t>Niederlande, vergleichbares Gesundheitssystem und Sozialversicherung</w:t>
      </w:r>
    </w:p>
    <w:p>
      <w:r>
        <w:rPr>
          <w:color w:val="5A7D3A"/>
          <w:sz w:val="18"/>
        </w:rPr>
        <w:t>https://pubmed.ncbi.nlm.nih.gov/42567731/</w:t>
      </w:r>
    </w:p>
    <w:p>
      <w:pPr>
        <w:pStyle w:val="Heading1"/>
      </w:pPr>
      <w:r>
        <w:t>Aufgenommen am 25.09.2026</w:t>
      </w:r>
    </w:p>
    <w:p>
      <w:pPr>
        <w:pStyle w:val="Heading2"/>
      </w:pPr>
      <w:r>
        <w:t>Klinische Entscheidungsmuster von Physiotherapeuten bei Frailty in der Krankenpflege</w:t>
      </w:r>
    </w:p>
    <w:p>
      <w:r>
        <w:rPr>
          <w:i/>
          <w:color w:val="666666"/>
          <w:sz w:val="18"/>
        </w:rPr>
        <w:t>Bloch T et al.  ·  Age Ageing  ·  04.09.2026  ·  PMID 42784539</w:t>
      </w:r>
    </w:p>
    <w:p>
      <w:r>
        <w:t>Delphi-Studie mit 44 US-amerikanischen und kanadischen Therapeuten zu klinischen Reasoning-Strategien bei der Intervention für gebrechliche ältere Menschen in Pflegeheimen.</w:t>
      </w:r>
    </w:p>
    <w:p>
      <w:r>
        <w:rPr>
          <w:b/>
        </w:rPr>
        <w:t xml:space="preserve">Ergebnis: </w:t>
      </w:r>
      <w:r>
        <w:t>Fünf Konsensthemen erreichten ≥75%-Zustimmung: (i) Therapie-Engagement durch patientenzentrierte Aktivitäten, (ii) Mobilität und Bewegungssicherheit, (iii) funktionale Ergebnisse und Belastung, (iv) Schmerzmanagement und kognitive Variabilität, (v) aufgabenspezifische duale Interventionen für ADL-Transfer. 39 von 44 Teilnehmern (89%-Retentionsquote) schlossen alle Runden ab.</w:t>
      </w:r>
    </w:p>
    <w:p>
      <w:r>
        <w:rPr>
          <w:b/>
          <w:sz w:val="19"/>
        </w:rPr>
        <w:t xml:space="preserve">Übertragbarkeit: </w:t>
      </w:r>
      <w:r>
        <w:rPr>
          <w:sz w:val="19"/>
        </w:rPr>
        <w:t>USA/Kanada – Qualitative Evidenz zur Praxis in SNF; Adaptierbarkeit auf deutsches Versorgungssystem mit Anpassungen an Dokumentation und Ressourcen.</w:t>
      </w:r>
    </w:p>
    <w:p>
      <w:r>
        <w:rPr>
          <w:color w:val="5A7D3A"/>
          <w:sz w:val="18"/>
        </w:rPr>
        <w:t>https://pubmed.ncbi.nlm.nih.gov/42784539/</w:t>
      </w:r>
    </w:p>
    <w:p>
      <w:pPr>
        <w:pStyle w:val="Heading2"/>
      </w:pPr>
      <w:r>
        <w:t>Thorakale Muskelattenuation prägt Geschlechts-spezifische Mortalität nach Bypasschirurgie im Alter</w:t>
      </w:r>
    </w:p>
    <w:p>
      <w:r>
        <w:rPr>
          <w:i/>
          <w:color w:val="666666"/>
          <w:sz w:val="18"/>
        </w:rPr>
        <w:t>Krombholz-Reindl P et al.  ·  Med Sci (Basel)  ·  14.09.2026  ·  PMID 42783442</w:t>
      </w:r>
    </w:p>
    <w:p>
      <w:r>
        <w:t>Retrospektive Studie an 479 Patienten (382 Männer, 97 Frauen) untersucht, ob die Muskelqualität (gemessen als Hounsfield Units aus Routinen-CT) die Mortalität nach Koronarer Bypasschirurgie unabhängig vom EuroSCORE II vorhersagt – mit geschlechtsspezifischen Unterschieden.</w:t>
      </w:r>
    </w:p>
    <w:p>
      <w:r>
        <w:rPr>
          <w:b/>
        </w:rPr>
        <w:t xml:space="preserve">Ergebnis: </w:t>
      </w:r>
      <w:r>
        <w:t>Bei Frauen mit niedriger Muskelattenuation (TH4) betrugen die Hazard Ratios für Mortalität 6,6 (1 Jahr), 9,5 (3 Jahre), 6,4 (5 Jahre; alle p≤0,03). Bei Männern zeigte sich ein schwächerer Effekt, der nach Gewichtungsanpassung insignifikant wurde. Hinzufügen von niedriger Muskelattenuation zu EuroSCORE II erhöhte C-Statistik um 0,046 bei Frauen insgesamt (p&lt;0,001).</w:t>
      </w:r>
    </w:p>
    <w:p>
      <w:r>
        <w:rPr>
          <w:b/>
          <w:sz w:val="19"/>
        </w:rPr>
        <w:t xml:space="preserve">Übertragbarkeit: </w:t>
      </w:r>
      <w:r>
        <w:rPr>
          <w:sz w:val="19"/>
        </w:rPr>
        <w:t>Österreich/Deutschland – Universitätszentren; Aussage unabhängig von Versorgungssystem.</w:t>
      </w:r>
    </w:p>
    <w:p>
      <w:r>
        <w:rPr>
          <w:color w:val="5A7D3A"/>
          <w:sz w:val="18"/>
        </w:rPr>
        <w:t>https://pubmed.ncbi.nlm.nih.gov/42783442/</w:t>
      </w:r>
    </w:p>
    <w:p>
      <w:pPr>
        <w:pStyle w:val="Heading2"/>
      </w:pPr>
      <w:r>
        <w:t>Feinstaub und Luftfeuchte verstärken Sturzrisiko und Schlaganfall im Alter durch Frailty</w:t>
      </w:r>
    </w:p>
    <w:p>
      <w:r>
        <w:rPr>
          <w:i/>
          <w:color w:val="666666"/>
          <w:sz w:val="18"/>
        </w:rPr>
        <w:t>Sun M et al.  ·  Front Public Health  ·  09.09.2026  ·  PMID 42780893</w:t>
      </w:r>
    </w:p>
    <w:p>
      <w:r>
        <w:t>Prospektive Kohortenstudie (CHARLS, n=17.197) und Krankenhaus-Stichprobe (n=782) zum Zusammenhang von PM2.5-Exposition, relativer Luftfeuchte und Schlaganfallrisiko, mit Frailty Index als potenzieller Mediator.</w:t>
      </w:r>
    </w:p>
    <w:p>
      <w:r>
        <w:rPr>
          <w:b/>
        </w:rPr>
        <w:t xml:space="preserve">Ergebnis: </w:t>
      </w:r>
      <w:r>
        <w:t>Hohes PM2.5 mit Schlaganfall-Hazard Ratio 1,184 (95% KI 1,083–1,295) in CHARLS. Hohe Luftfeuchte: HR 1,112 (95% KI 1,021–1,212). Beide Expositionen zusammen: HR 1,361 (95% KI 1,171–1,582). Frailty mediierte 18,1 % der PM2.5-Assoziation und 22,3 % der Feuchte-Assoziation.</w:t>
      </w:r>
    </w:p>
    <w:p>
      <w:r>
        <w:rPr>
          <w:b/>
          <w:sz w:val="19"/>
        </w:rPr>
        <w:t xml:space="preserve">Übertragbarkeit: </w:t>
      </w:r>
      <w:r>
        <w:rPr>
          <w:sz w:val="19"/>
        </w:rPr>
        <w:t>China – CHARLS-Kohortendaten; Luftqualität und Klimavariablen sind in Deutschland unterschiedlich, aber Frailty-Pathway-Mechanismus ist übertragbar.</w:t>
      </w:r>
    </w:p>
    <w:p>
      <w:r>
        <w:rPr>
          <w:color w:val="5A7D3A"/>
          <w:sz w:val="18"/>
        </w:rPr>
        <w:t>https://pubmed.ncbi.nlm.nih.gov/42780893/</w:t>
      </w:r>
    </w:p>
    <w:p>
      <w:pPr>
        <w:pStyle w:val="Heading2"/>
      </w:pPr>
      <w:r>
        <w:t>Umfassende Frailty-Erfassung vorhersagt Mortalität nach Herzchirurgie besser als das Fried-Phänotyp allein</w:t>
      </w:r>
    </w:p>
    <w:p>
      <w:r>
        <w:rPr>
          <w:i/>
          <w:color w:val="666666"/>
          <w:sz w:val="18"/>
        </w:rPr>
        <w:t>Silva VBMD et al.  ·  Braz J Cardiovasc Surg  ·  21.09.2026  ·  PMID 42776132</w:t>
      </w:r>
    </w:p>
    <w:p>
      <w:r>
        <w:t>Prospektive Beobachtungsstudie mit 218 Herzchirurgie-Patienten (Klappenchirurgie oder CABG) zur Validierung von Frailty-Definitionen neben dem klassischen Fried-Kriterium durch zusätzliche ernährungsmedizinische, psychologische und funktionelle Variablen.</w:t>
      </w:r>
    </w:p>
    <w:p>
      <w:r>
        <w:rPr>
          <w:b/>
        </w:rPr>
        <w:t xml:space="preserve">Ergebnis: </w:t>
      </w:r>
      <w:r>
        <w:t>Nach Fried: 43,6 % frail, 49,6 % pre-frail. Fried-Phänotyp zeigte keine Assoziation mit Mortalität. Mit zusätzlichen Variablen identifizierte Clusteranalyse zwei Gruppen: In Cluster 1 waren 84,8 % Fried-frail (vs. 27,4 % in Cluster 2, p&lt;0,001), postoperative Infektionsrate 24,2 % vs. 7,1 % (p=0,022), Krankenhausmortalität 27,3 % vs. 9,5 % (p=0,020).</w:t>
      </w:r>
    </w:p>
    <w:p>
      <w:r>
        <w:rPr>
          <w:b/>
          <w:sz w:val="19"/>
        </w:rPr>
        <w:t xml:space="preserve">Übertragbarkeit: </w:t>
      </w:r>
      <w:r>
        <w:rPr>
          <w:sz w:val="19"/>
        </w:rPr>
        <w:t>Brasilien – herzchirurgische Versorgung vergleichbar; Frailty-Assessment-Prinzipien übertragbar auf deutsche Kliniken.</w:t>
      </w:r>
    </w:p>
    <w:p>
      <w:r>
        <w:rPr>
          <w:color w:val="5A7D3A"/>
          <w:sz w:val="18"/>
        </w:rPr>
        <w:t>https://pubmed.ncbi.nlm.nih.gov/42776132/</w:t>
      </w:r>
    </w:p>
    <w:p>
      <w:pPr>
        <w:pStyle w:val="Heading2"/>
      </w:pPr>
      <w:r>
        <w:t>Geriatrische Versorgungskonzepte bei trochantären Femurfrakturen senken Komplikationen und Mortalität</w:t>
      </w:r>
    </w:p>
    <w:p>
      <w:r>
        <w:rPr>
          <w:i/>
          <w:color w:val="666666"/>
          <w:sz w:val="18"/>
        </w:rPr>
        <w:t>Smolka V et al.  ·  Unfallchirurgie (Heidelb)  ·  24.08.2026  ·  PMID 42637918</w:t>
      </w:r>
    </w:p>
    <w:p>
      <w:r>
        <w:t>Übersichtsartikel zur interdisziplinären, multidimensionalen Betreuung geriatrischer Hüftfrakturen nach deutschen Richtlinien mit Fokus auf Schmerzmanagement, Frühmobilisation, Delir- und Ernährungsmanagement, Deprescribing und Sturzprophylaxe.</w:t>
      </w:r>
    </w:p>
    <w:p>
      <w:r>
        <w:rPr>
          <w:b/>
        </w:rPr>
        <w:t xml:space="preserve">Ergebnis: </w:t>
      </w:r>
      <w:r>
        <w:t>Multidimensionale Betreuung reduziert nachweislich die Mortalität, vermeidet Komplikationen durch adäquate Perioperativbetreuung, Frühmobilisation und Entlassungsplanung. Keine spezifischen Zahlenwerte im Abstract genannt, aber eindeutige Evidenz für Mortalitätsreduktion dokumentiert.</w:t>
      </w:r>
    </w:p>
    <w:p>
      <w:r>
        <w:rPr>
          <w:b/>
          <w:sz w:val="19"/>
        </w:rPr>
        <w:t xml:space="preserve">Übertragbarkeit: </w:t>
      </w:r>
      <w:r>
        <w:rPr>
          <w:sz w:val="19"/>
        </w:rPr>
        <w:t>Deutschland – nationale Richtlinien des Gemeinsamen Bundesausschusses seit 2021.</w:t>
      </w:r>
    </w:p>
    <w:p>
      <w:r>
        <w:rPr>
          <w:color w:val="5A7D3A"/>
          <w:sz w:val="18"/>
        </w:rPr>
        <w:t>https://pubmed.ncbi.nlm.nih.gov/42637918/</w:t>
      </w:r>
    </w:p>
    <w:p>
      <w:pPr>
        <w:pStyle w:val="Heading2"/>
      </w:pPr>
      <w:r>
        <w:t>Produktivitäts-angepasste Lebenserwartung in Finnland: Normwerte für bezahlte und unbezahlte Arbeit</w:t>
      </w:r>
    </w:p>
    <w:p>
      <w:r>
        <w:rPr>
          <w:i/>
          <w:color w:val="666666"/>
          <w:sz w:val="18"/>
        </w:rPr>
        <w:t>Lavikainen P et al.  ·  Soc Sci Med  ·  20.08.2026  ·  PMID 42632184</w:t>
      </w:r>
    </w:p>
    <w:p>
      <w:r>
        <w:t>Bevölkerungssurvey von 3.644 finnischen Erwachsenen (Juni–August 2024, Alter 18–79 Jahre) zur Schätzung von Produktivitätsindizes nach Alter und Geschlecht für bezahlte und unbezahlte Arbeit.</w:t>
      </w:r>
    </w:p>
    <w:p>
      <w:r>
        <w:rPr>
          <w:b/>
        </w:rPr>
        <w:t xml:space="preserve">Ergebnis: </w:t>
      </w:r>
      <w:r>
        <w:t>Gewichteter Produktivitätsindex für Gesamtpopulation: 0,770 (Männer 0,780; Frauen 0,760). Produktivitäts-angepasste Lebenserwartung (PALE) mit Undiskontiert für Männer im Alter 20: 42,9 Jahre, mit 1,5%-Diskont 29,3 Jahre. Für Frauen: 46,1, 30,4 Jahre entsprechend. Erste bevölkerungsrepräsentative Normwerte für nordische Länder.</w:t>
      </w:r>
    </w:p>
    <w:p>
      <w:r>
        <w:rPr>
          <w:b/>
          <w:sz w:val="19"/>
        </w:rPr>
        <w:t xml:space="preserve">Übertragbarkeit: </w:t>
      </w:r>
      <w:r>
        <w:rPr>
          <w:sz w:val="19"/>
        </w:rPr>
        <w:t>Finnland – Nordeuropa mit vergleichbarem Sozialsystem; für Deutschland übertragbar auf Struktur, Finanzierung unterscheidet sich.</w:t>
      </w:r>
    </w:p>
    <w:p>
      <w:r>
        <w:rPr>
          <w:color w:val="5A7D3A"/>
          <w:sz w:val="18"/>
        </w:rPr>
        <w:t>https://pubmed.ncbi.nlm.nih.gov/42632184/</w:t>
      </w:r>
    </w:p>
    <w:p>
      <w:pPr>
        <w:pStyle w:val="Heading1"/>
      </w:pPr>
      <w:r>
        <w:t>Aufgenommen am 24.09.2026</w:t>
      </w:r>
    </w:p>
    <w:p>
      <w:pPr>
        <w:pStyle w:val="Heading2"/>
      </w:pPr>
      <w:r>
        <w:t>Mitochondriale Dynamik im Altern: Ansätze zur Prävention von Herz- und Hirnerkrankungen</w:t>
      </w:r>
    </w:p>
    <w:p>
      <w:r>
        <w:rPr>
          <w:i/>
          <w:color w:val="666666"/>
          <w:sz w:val="18"/>
        </w:rPr>
        <w:t>Yin Y et al.  ·  Aging Cell  ·  Okt. 2026  ·  PMID 42775668</w:t>
      </w:r>
    </w:p>
    <w:p>
      <w:r>
        <w:t>Narrativer Übersichtsartikel zu Rolle der Mitochondrialen Fusion und Fission bei altersbezogenen Herz- und Hirnerkrankungen (Alzheimer, Parkinson, atheroskleroische kardiozerebrovale Erkrankungen) und therapeutischen Strategien (Ausdauertraining, Metformin, Dapagliflozin, Irbesartan, TCM-Komponenten).</w:t>
      </w:r>
    </w:p>
    <w:p>
      <w:r>
        <w:rPr>
          <w:b/>
        </w:rPr>
        <w:t xml:space="preserve">Ergebnis: </w:t>
      </w:r>
      <w:r>
        <w:t>Beeinträchtigte mitochondriale Dynamik liegt vielen altersassoziierten Krankheiten zugrunde; verschiedene Trainings- und Medikamentenansätze zeigen Potenzial zur Verbesserung von Herzgesundheit und Hirngesundheit durch Wiederherstellung mitochondrialer Plastizität; Mechanismen umfassen Verbesserung von Energiestoffwechsel und Reduktion von Entzündung und Seneszenz.</w:t>
      </w:r>
    </w:p>
    <w:p>
      <w:r>
        <w:rPr>
          <w:b/>
          <w:sz w:val="19"/>
        </w:rPr>
        <w:t xml:space="preserve">Übertragbarkeit: </w:t>
      </w:r>
      <w:r>
        <w:rPr>
          <w:sz w:val="19"/>
        </w:rPr>
        <w:t>Überwiegend präklinische und Tiermodelle; klinische Übertragbarkeit für ausgewählte Interventionen (Training, Metformin) gegeben.</w:t>
      </w:r>
    </w:p>
    <w:p>
      <w:r>
        <w:rPr>
          <w:color w:val="5A7D3A"/>
          <w:sz w:val="18"/>
        </w:rPr>
        <w:t>https://pubmed.ncbi.nlm.nih.gov/42775668/</w:t>
      </w:r>
    </w:p>
    <w:p>
      <w:pPr>
        <w:pStyle w:val="Heading2"/>
      </w:pPr>
      <w:r>
        <w:t>Einbindung Älterer in Versorgungsforschung: Praktische Erfolgsfaktoren aus Australien</w:t>
      </w:r>
    </w:p>
    <w:p>
      <w:r>
        <w:rPr>
          <w:i/>
          <w:color w:val="666666"/>
          <w:sz w:val="18"/>
        </w:rPr>
        <w:t>Thillainadesan J et al.  ·  Public Health Res Pract  ·  24.09.2026  ·  PMID 42767663</w:t>
      </w:r>
    </w:p>
    <w:p>
      <w:r>
        <w:t>Qualitative Studie zur Etablierung einer konsumentengesteuerten Forschungsberatungsgruppe in einem Altersbetreuungszentrum mit 8 älteren Teilnehmern (Australien); Dokumentation von Rekrutierungs-, Unterstützungs- und Beteiligungsprozessen.</w:t>
      </w:r>
    </w:p>
    <w:p>
      <w:r>
        <w:rPr>
          <w:b/>
        </w:rPr>
        <w:t xml:space="preserve">Ergebnis: </w:t>
      </w:r>
      <w:r>
        <w:t>Erfolgsfaktoren: Inklusives Auswahlverfahren, Honorierung, Barrierefreiheit, sensibilisierte Kommunikation, vertrauensvolle Umgebung, orientierungsgerichtete Einführung und Training; Teilnehmer berichtet positive Erfahrungen und waren motiviert durch Wunsch, ihre Lebenserfahrung zum Nutzen anderer einzubringen; Machbarkeit und Förderfähigkeit von Älteren-Einbindung demonstriert.</w:t>
      </w:r>
    </w:p>
    <w:p>
      <w:r>
        <w:rPr>
          <w:b/>
          <w:sz w:val="19"/>
        </w:rPr>
        <w:t xml:space="preserve">Übertragbarkeit: </w:t>
      </w:r>
      <w:r>
        <w:rPr>
          <w:sz w:val="19"/>
        </w:rPr>
        <w:t>Australische Versorgungsforschung, methodisch auf deutschsprachige Settings übertragbar.</w:t>
      </w:r>
    </w:p>
    <w:p>
      <w:r>
        <w:rPr>
          <w:color w:val="5A7D3A"/>
          <w:sz w:val="18"/>
        </w:rPr>
        <w:t>https://pubmed.ncbi.nlm.nih.gov/42767663/</w:t>
      </w:r>
    </w:p>
    <w:p>
      <w:pPr>
        <w:pStyle w:val="Heading2"/>
      </w:pPr>
      <w:r>
        <w:t>Grippe-Impfstoff höherer Dosierung senkt Hospitalisierungen bei gebrechlichen Älteren stärker</w:t>
      </w:r>
    </w:p>
    <w:p>
      <w:r>
        <w:rPr>
          <w:i/>
          <w:color w:val="666666"/>
          <w:sz w:val="18"/>
        </w:rPr>
        <w:t>Espersen C et al.  ·  Lancet Healthy Longev  ·  17.09.2026  ·  PMID 42753782</w:t>
      </w:r>
    </w:p>
    <w:p>
      <w:r>
        <w:t>Dänische randomisierte Studie zu Wirksamkeit hochdosierter versus Standarddosis-Influenzaimpfung bei 332.438 älteren Personen (≥65 Jahre), stratifiziert nach Gebrechlichkeitsrisiko mittels Hospital Frailty Risk Score.</w:t>
      </w:r>
    </w:p>
    <w:p>
      <w:r>
        <w:rPr>
          <w:b/>
        </w:rPr>
        <w:t xml:space="preserve">Ergebnis: </w:t>
      </w:r>
      <w:r>
        <w:t>Bei Personen mit hohem Gebrechlichkeitsrisiko zeigte die hochdosierte Impfung eine relative Wirksamkeit von 19,9 % (95%-KI −10,3 bis 42,1) gegen Hospitalisierungen durch Influenza/Lungenentzündung versus 0,2 % (−10,8 bis 10,2) bei niedrigem Risiko; die Interaktion war jedoch nicht signifikant kategorisch (p=0,17), sodass die Autoren die Ergebnisse als explorativ einstufen.</w:t>
      </w:r>
    </w:p>
    <w:p>
      <w:r>
        <w:rPr>
          <w:b/>
          <w:sz w:val="19"/>
        </w:rPr>
        <w:t xml:space="preserve">Übertragbarkeit: </w:t>
      </w:r>
      <w:r>
        <w:rPr>
          <w:sz w:val="19"/>
        </w:rPr>
        <w:t>Dänische Gesundheitsdaten, europäisches System mit vergleichbarer Impfstoffverfügbarkeit.</w:t>
      </w:r>
    </w:p>
    <w:p>
      <w:r>
        <w:rPr>
          <w:color w:val="5A7D3A"/>
          <w:sz w:val="18"/>
        </w:rPr>
        <w:t>https://pubmed.ncbi.nlm.nih.gov/42753782/</w:t>
      </w:r>
    </w:p>
    <w:p>
      <w:pPr>
        <w:pStyle w:val="Heading2"/>
      </w:pPr>
      <w:r>
        <w:t>Kurzzeitige Prehabilitation vor elektiver Operation senkt Pflegebedürftigkeit bei gebrechlichen Älteren nicht</w:t>
      </w:r>
    </w:p>
    <w:p>
      <w:r>
        <w:rPr>
          <w:i/>
          <w:color w:val="666666"/>
          <w:sz w:val="18"/>
        </w:rPr>
        <w:t>Spies C et al.  ·  Lancet Healthy Longev  ·  15.09.2026  ·  PMID 42743945</w:t>
      </w:r>
    </w:p>
    <w:p>
      <w:r>
        <w:t>Deutschlandweite randomisierte Studie an 1.199 Personen (Alter ≥70 Jahre) mit Frailty oder Prefrailty zu Effekt einer 3-wöchigen supervidierten multimodalen Prehabilitation auf Pflegabhängigkeit 12 Monate postoperativ.</w:t>
      </w:r>
    </w:p>
    <w:p>
      <w:r>
        <w:rPr>
          <w:b/>
        </w:rPr>
        <w:t xml:space="preserve">Ergebnis: </w:t>
      </w:r>
      <w:r>
        <w:t>Keine signifikanten Unterschiede zwischen Prehabilitation und Standard-Care in der Veränderung der Langzeitpflegeabhängigkeit (ordinale Skala 0–5): mittlere Differenz −0,1 (95%-KI −0,25 bis 0,07; p=0,26); 32 Sicherheitsereignisse in der Interventionsgruppe, meist nicht kausal bezogen.</w:t>
      </w:r>
    </w:p>
    <w:p>
      <w:r>
        <w:rPr>
          <w:b/>
          <w:sz w:val="19"/>
        </w:rPr>
        <w:t xml:space="preserve">Übertragbarkeit: </w:t>
      </w:r>
      <w:r>
        <w:rPr>
          <w:sz w:val="19"/>
        </w:rPr>
        <w:t>Deutsche Klinikdaten, G-BA-finanziert, direkt auf deutsches Gesundheitssystem übertragbar.</w:t>
      </w:r>
    </w:p>
    <w:p>
      <w:r>
        <w:rPr>
          <w:color w:val="5A7D3A"/>
          <w:sz w:val="18"/>
        </w:rPr>
        <w:t>https://pubmed.ncbi.nlm.nih.gov/42743945/</w:t>
      </w:r>
    </w:p>
    <w:p>
      <w:pPr>
        <w:pStyle w:val="Heading2"/>
      </w:pPr>
      <w:r>
        <w:t>Wissenslücken in geriatrischen Kompetenzen im DACH-Raum: Demenz, Depression, Sarkopenie prioritär</w:t>
      </w:r>
    </w:p>
    <w:p>
      <w:r>
        <w:rPr>
          <w:i/>
          <w:color w:val="666666"/>
          <w:sz w:val="18"/>
        </w:rPr>
        <w:t>Honegger M et al.  ·  Z Gerontol Geriatr  ·  07.09.2026  ·  PMID 42704433</w:t>
      </w:r>
    </w:p>
    <w:p>
      <w:r>
        <w:t>Sekundäranalyse einer europäischen Online-Befragung: 291 Gesundheitsfachkräfte aus Deutschland, Österreich und der Schweiz wurden zu Selbsteinschätzung geriatrischer Kompetenz und Fortbildungsbedarf befragt und mit 5.134 Fachkräften aus übrigen europäischen Ländern verglichen.</w:t>
      </w:r>
    </w:p>
    <w:p>
      <w:r>
        <w:rPr>
          <w:b/>
        </w:rPr>
        <w:t xml:space="preserve">Ergebnis: </w:t>
      </w:r>
      <w:r>
        <w:t>DACH-Fachkräfte schätzten ihre geriatrischen Kenntnisse höher ein als Kollegen anderswo, zeigten aber substantielle Lücken in Demenz, Depression, chronischen Schmerzen, kognitiven Screenings und Sarkopenie; Fortbildungsbedarf überstieg selbst eingeschätzte Kompetenz in allen Ländern.</w:t>
      </w:r>
    </w:p>
    <w:p>
      <w:r>
        <w:rPr>
          <w:b/>
          <w:sz w:val="19"/>
        </w:rPr>
        <w:t xml:space="preserve">Übertragbarkeit: </w:t>
      </w:r>
      <w:r>
        <w:rPr>
          <w:sz w:val="19"/>
        </w:rPr>
        <w:t>DACH-Umfrage mit direktem Bezug zu deutschem, österreichischem und Schweizer Gesundheitswesen.</w:t>
      </w:r>
    </w:p>
    <w:p>
      <w:r>
        <w:rPr>
          <w:color w:val="5A7D3A"/>
          <w:sz w:val="18"/>
        </w:rPr>
        <w:t>https://pubmed.ncbi.nlm.nih.gov/42704433/</w:t>
      </w:r>
    </w:p>
    <w:p>
      <w:pPr>
        <w:pStyle w:val="Heading2"/>
      </w:pPr>
      <w:r>
        <w:t>Multikomponenten-Delirprogramme reduzieren Delirinzidenz um 44 % – Evidenzbasis und Implementierung</w:t>
      </w:r>
    </w:p>
    <w:p>
      <w:r>
        <w:rPr>
          <w:i/>
          <w:color w:val="666666"/>
          <w:sz w:val="18"/>
        </w:rPr>
        <w:t>Thomas C et al.  ·  Z Gerontol Geriatr  ·  25.08.2026  ·  PMID 42640287</w:t>
      </w:r>
    </w:p>
    <w:p>
      <w:r>
        <w:t>Narrativer Übersichtsartikel mit Darstellung der Evidenz zu nichtpharmakologischen Multikomponenten-Interventionen (HELP, ABCDE-Bundle, CHOPS, AKTIVER) in der Delirprävention und des Delirmanagements bei älteren Patienten.</w:t>
      </w:r>
    </w:p>
    <w:p>
      <w:r>
        <w:rPr>
          <w:b/>
        </w:rPr>
        <w:t xml:space="preserve">Ergebnis: </w:t>
      </w:r>
      <w:r>
        <w:t>Zwei 2026 publizierte Metaanalysen zeigen, dass multikomponentale nichtpharmakologische Programme die Delirinzidenz um 44 % reduzierten und Dauer bestehender Delire signifikant verkürzten; pharmakologische Strategien zeigten keinen konsistenten Nutzen außer Dexmedetomidin in ausgewählten perioperativen Settings; S3-Leitlinie empfiehlt strukturierte, interprofessionelle, personenzentrierte Delirprogramme als Standard.</w:t>
      </w:r>
    </w:p>
    <w:p>
      <w:r>
        <w:rPr>
          <w:b/>
          <w:sz w:val="19"/>
        </w:rPr>
        <w:t xml:space="preserve">Übertragbarkeit: </w:t>
      </w:r>
      <w:r>
        <w:rPr>
          <w:sz w:val="19"/>
        </w:rPr>
        <w:t>Deutsche S3-Leitlinie und deutsche Studienprogramme (AKTIVER), direkt übertragbar auf deutsches Versorgungssystem.</w:t>
      </w:r>
    </w:p>
    <w:p>
      <w:r>
        <w:rPr>
          <w:color w:val="5A7D3A"/>
          <w:sz w:val="18"/>
        </w:rPr>
        <w:t>https://pubmed.ncbi.nlm.nih.gov/42640287/</w:t>
      </w:r>
    </w:p>
    <w:p>
      <w:pPr>
        <w:pStyle w:val="Heading1"/>
      </w:pPr>
      <w:r>
        <w:t>Aufgenommen am 23.09.2026</w:t>
      </w:r>
    </w:p>
    <w:p>
      <w:pPr>
        <w:pStyle w:val="Heading2"/>
      </w:pPr>
      <w:r>
        <w:t>Todesursachen im Lebensverlauf in Südostasien: regionale Ungleichgewichte 2023</w:t>
      </w:r>
    </w:p>
    <w:p>
      <w:r>
        <w:rPr>
          <w:i/>
          <w:color w:val="666666"/>
          <w:sz w:val="18"/>
        </w:rPr>
        <w:t>GBD 2023 ASEAN Causes of Death Collaborators  ·  Lancet Public Health  ·  Okt. 2026  ·  PMID 42772298</w:t>
      </w:r>
    </w:p>
    <w:p>
      <w:r>
        <w:t>GBD-2023-Analyse der Todesursachen und Lebenserwartung von Geburt bis 70 Jahre in elf ASEAN-Ländern, stratifiziert nach Alter und Geschlecht.</w:t>
      </w:r>
    </w:p>
    <w:p>
      <w:r>
        <w:rPr>
          <w:b/>
        </w:rPr>
        <w:t xml:space="preserve">Ergebnis: </w:t>
      </w:r>
      <w:r>
        <w:t>Regionale Lebenserwartung 2023: 70,1 Jahre Männer (95%-UI 69,6–70,7), 76,2 Jahre Frauen (75,7–76,7); Range 62,1 Jahre (Myanmar, Männer) bis 87,5 Jahre (Singapur, Frauen). Unfallverletzungen führend in Adoleszenz/frühem Erwachsenenalter; nicht-übertragbare Krankheiten dominant in mittlerem Alter. Tabakkonsum dominierender Risikofaktor bei Männern, Hypertonie bei Frauen.</w:t>
      </w:r>
    </w:p>
    <w:p>
      <w:r>
        <w:rPr>
          <w:b/>
          <w:sz w:val="19"/>
        </w:rPr>
        <w:t xml:space="preserve">Übertragbarkeit: </w:t>
      </w:r>
      <w:r>
        <w:rPr>
          <w:sz w:val="19"/>
        </w:rPr>
        <w:t>Südostasien, breite Systeme mit unterschiedlicher Infrastruktur – Befunde zu Risiken und Disparitäten sind relevant</w:t>
      </w:r>
    </w:p>
    <w:p>
      <w:r>
        <w:rPr>
          <w:color w:val="5A7D3A"/>
          <w:sz w:val="18"/>
        </w:rPr>
        <w:t>https://pubmed.ncbi.nlm.nih.gov/42772298/</w:t>
      </w:r>
    </w:p>
    <w:p>
      <w:pPr>
        <w:pStyle w:val="Heading2"/>
      </w:pPr>
      <w:r>
        <w:t>Institutionelles geriatrisches Versorgungsmodell in Mexiko: GeriatrIMSS-Struktur und Ergebnisse</w:t>
      </w:r>
    </w:p>
    <w:p>
      <w:r>
        <w:rPr>
          <w:i/>
          <w:color w:val="666666"/>
          <w:sz w:val="18"/>
        </w:rPr>
        <w:t>Medina-Chávez JH et al.  ·  Rev Med Inst Mex Seguro Soc  ·  02.09.2026  ·  PMID 42771824</w:t>
      </w:r>
    </w:p>
    <w:p>
      <w:r>
        <w:t>Beschreibung des mexikanischen GeriatrIMSS-Modells, eines umfassenden institutionellen Plans der Seguridad Social zur Reaktion auf Alterung, Multimorbidität und nicht-übertragbare Krankheiten bei älteren Versicherten.</w:t>
      </w:r>
    </w:p>
    <w:p>
      <w:r>
        <w:rPr>
          <w:b/>
        </w:rPr>
        <w:t xml:space="preserve">Ergebnis: </w:t>
      </w:r>
      <w:r>
        <w:t>GeriatrIMSS beruht auf vier Säulen: Prävention (PREVENIMSS), umfassende geriatrische Versorgung, Bildung und Forschung. Modell stärkt operative Kapazitäten, reorientiert Prozesse und Services für ältere Menschen, verbessert Versorgungsqualität und Zufriedenheit bei Nutzern und Angehörigen – positioniert Mexiko international an Vorderfront der Altenpflege.</w:t>
      </w:r>
    </w:p>
    <w:p>
      <w:r>
        <w:rPr>
          <w:b/>
          <w:sz w:val="19"/>
        </w:rPr>
        <w:t xml:space="preserve">Übertragbarkeit: </w:t>
      </w:r>
      <w:r>
        <w:rPr>
          <w:sz w:val="19"/>
        </w:rPr>
        <w:t>Mexiko, Sozialversicherungssystem nicht direkt vergleichbar – Strukturideen zu sektorenübergreifender Integration sind relevant</w:t>
      </w:r>
    </w:p>
    <w:p>
      <w:r>
        <w:rPr>
          <w:color w:val="5A7D3A"/>
          <w:sz w:val="18"/>
        </w:rPr>
        <w:t>https://pubmed.ncbi.nlm.nih.gov/42771824/</w:t>
      </w:r>
    </w:p>
    <w:p>
      <w:pPr>
        <w:pStyle w:val="Heading2"/>
      </w:pPr>
      <w:r>
        <w:t>Stärkenorientierte Geriatrische Assessments: Reserve statt nur Defizite dokumentieren</w:t>
      </w:r>
    </w:p>
    <w:p>
      <w:r>
        <w:rPr>
          <w:i/>
          <w:color w:val="666666"/>
          <w:sz w:val="18"/>
        </w:rPr>
        <w:t>Cooke J et al.  ·  Age Ageing  ·  04.09.2026  ·  PMID 42771779</w:t>
      </w:r>
    </w:p>
    <w:p>
      <w:r>
        <w:t>Konzeptionelle Analyse zur Geriatrischen Comprehensive Assessment (CGA) und Frailty-Modellen in der britischen Geriatrie, die Möglichkeit einer reserve-fokussierten Ergänzung zu defizitorientierten Assessments.</w:t>
      </w:r>
    </w:p>
    <w:p>
      <w:r>
        <w:rPr>
          <w:b/>
        </w:rPr>
        <w:t xml:space="preserve">Ergebnis: </w:t>
      </w:r>
      <w:r>
        <w:t>CGA dokumentiert vorwiegend Beeinträchtigungen, nicht Kapazität und Reserve. Diese Fokussierung auf Defizite prägt Patientenidentität negativ. Stärkenorientierte Ansätze können Prognostizierung verbessern, Interventionen personalisieren und Patientenagentur unterstützen – ohne Risikoaufmerksamkeit aufzugeben.</w:t>
      </w:r>
    </w:p>
    <w:p>
      <w:r>
        <w:rPr>
          <w:b/>
          <w:sz w:val="19"/>
        </w:rPr>
        <w:t xml:space="preserve">Übertragbarkeit: </w:t>
      </w:r>
      <w:r>
        <w:rPr>
          <w:sz w:val="19"/>
        </w:rPr>
        <w:t>Großbritannien, konzeptuell auf alle europäischen Systeme übertragbar</w:t>
      </w:r>
    </w:p>
    <w:p>
      <w:r>
        <w:rPr>
          <w:color w:val="5A7D3A"/>
          <w:sz w:val="18"/>
        </w:rPr>
        <w:t>https://pubmed.ncbi.nlm.nih.gov/42771779/</w:t>
      </w:r>
    </w:p>
    <w:p>
      <w:pPr>
        <w:pStyle w:val="Heading2"/>
      </w:pPr>
      <w:r>
        <w:t>Benzolexposition und Psychische Störungen: Biologisches Altern als Vermittler</w:t>
      </w:r>
    </w:p>
    <w:p>
      <w:r>
        <w:rPr>
          <w:i/>
          <w:color w:val="666666"/>
          <w:sz w:val="18"/>
        </w:rPr>
        <w:t>Wu Y et al.  ·  Ecotoxicol Environ Saf  ·  15.09.2026  ·  PMID 42705027</w:t>
      </w:r>
    </w:p>
    <w:p>
      <w:r>
        <w:t>UK-Biobank-Kohortenstudie an 410.207 Personen zur Assoziation zwischen langjähriger Benzolexposition und psychiatrischen Störungen, mit beschleunigtem Altern (PhenoAge) als potenzieller Mediator.</w:t>
      </w:r>
    </w:p>
    <w:p>
      <w:r>
        <w:rPr>
          <w:b/>
        </w:rPr>
        <w:t xml:space="preserve">Ergebnis: </w:t>
      </w:r>
      <w:r>
        <w:t>Über 14,8 Jahre Nachbeobachtung: 64.270 Personen entwickelten psychiatrische Störungen. Jede Interquartilbereichs-Steigerung Benzol assoziiert mit erhöhtem Risiko für jede psychiatrische Störung (HR 1,040, 95%-KI 1,028–1,053) und multiple psychiatrische Störungen (HR 1,062, 1,039–1,086). Beschleunigtes PhenoAge vermittelte 7,85% (95%-KI 5,57–11,12%) der Assoziation bei jeder psychiatrischen Störung, 17,26% (9,01–80,54%) bei multiplen Störungen.</w:t>
      </w:r>
    </w:p>
    <w:p>
      <w:r>
        <w:rPr>
          <w:b/>
          <w:sz w:val="19"/>
        </w:rPr>
        <w:t xml:space="preserve">Übertragbarkeit: </w:t>
      </w:r>
      <w:r>
        <w:rPr>
          <w:sz w:val="19"/>
        </w:rPr>
        <w:t>UK-Biobank, Umweltdatenverfügbarkeit und Versicherungssystem nicht direkt übertragbar – Expositions-Gesundheitsmechanismus ist relevant</w:t>
      </w:r>
    </w:p>
    <w:p>
      <w:r>
        <w:rPr>
          <w:color w:val="5A7D3A"/>
          <w:sz w:val="18"/>
        </w:rPr>
        <w:t>https://pubmed.ncbi.nlm.nih.gov/42705027/</w:t>
      </w:r>
    </w:p>
    <w:p>
      <w:pPr>
        <w:pStyle w:val="Heading2"/>
      </w:pPr>
      <w:r>
        <w:t>Mobilitätsverlust und Einsamkeit im Alter: Lebenslange Folgen trotz Erholung</w:t>
      </w:r>
    </w:p>
    <w:p>
      <w:r>
        <w:rPr>
          <w:i/>
          <w:color w:val="666666"/>
          <w:sz w:val="18"/>
        </w:rPr>
        <w:t>Augustsson E et al.  ·  J Gerontol B Psychol Sci Soc Sci  ·  04.09.2026  ·  PMID 42554850</w:t>
      </w:r>
    </w:p>
    <w:p>
      <w:r>
        <w:t>Europäische Längsschnitt-Kohortenstudie (SHARE) an 4.109 Personen ab 65 Jahren mit neu aufgetretenen Mobilitätseinschränkungen, wovon 2.018 innerhalb von 2 Jahren genasen, zum Verlauf von Einsamkeit bis 4 Jahre später.</w:t>
      </w:r>
    </w:p>
    <w:p>
      <w:r>
        <w:rPr>
          <w:b/>
        </w:rPr>
        <w:t xml:space="preserve">Ergebnis: </w:t>
      </w:r>
      <w:r>
        <w:t>Einsamkeit stieg nach Mobilitätsverlust an. Personen mit anhaltenden Einschränkungen zeigten Weiterzunahme; genesene Personen stabilisierten sich, kehrten aber nicht zu Vorniveaus zurück. Frühe Interventionen zur Begrenzung von Mobilitätseinschränkungen könnten nachfolgende Einsamkeit reduzieren.</w:t>
      </w:r>
    </w:p>
    <w:p>
      <w:r>
        <w:rPr>
          <w:b/>
          <w:sz w:val="19"/>
        </w:rPr>
        <w:t xml:space="preserve">Übertragbarkeit: </w:t>
      </w:r>
      <w:r>
        <w:rPr>
          <w:sz w:val="19"/>
        </w:rPr>
        <w:t>Schweden/SHARE-Daten, vergleichbare europäische Gesundheitssysteme</w:t>
      </w:r>
    </w:p>
    <w:p>
      <w:r>
        <w:rPr>
          <w:color w:val="5A7D3A"/>
          <w:sz w:val="18"/>
        </w:rPr>
        <w:t>https://pubmed.ncbi.nlm.nih.gov/42554850/</w:t>
      </w:r>
    </w:p>
    <w:p>
      <w:pPr>
        <w:pStyle w:val="Heading2"/>
      </w:pPr>
      <w:r>
        <w:t>Europäische Sozialversicherung unter Druck: Versorgungskapazität statt Finanzierung als Engpass</w:t>
      </w:r>
    </w:p>
    <w:p>
      <w:r>
        <w:rPr>
          <w:i/>
          <w:color w:val="666666"/>
          <w:sz w:val="18"/>
        </w:rPr>
        <w:t>Jones CH et al.  ·  Drug Discov Today  ·  20.07.2026  ·  PMID 42476293</w:t>
      </w:r>
    </w:p>
    <w:p>
      <w:r>
        <w:t>Perspektivartikel zu Herausforderungen der europäischen Sozialversicherung durch demografische Alterung, Multimorbidität und Polypharmazie, mit 24–36-Monats-Agenda für Systemreformen.</w:t>
      </w:r>
    </w:p>
    <w:p>
      <w:r>
        <w:rPr>
          <w:b/>
        </w:rPr>
        <w:t xml:space="preserve">Ergebnis: </w:t>
      </w:r>
      <w:r>
        <w:t>Längeres Leben führt zu Multimorbidität, Polypharmazie, Demenz, Mobilitätsverlust – Versorgungskapazität wird zum Engpass statt Finanzierbarkeit. Vier zentrale Reformmaßnahmen: (1) Professionalisierung der Langzeitpflegekräfte, (2) Apotheker-geführte Medikamentenüberprüfung, (3) Ausbau von Heim- und Übergangspflege, (4) integrierte Entlassungszusammenfassungen und Medikamentenlisten über Sektoren hinweg als Routine.</w:t>
      </w:r>
    </w:p>
    <w:p>
      <w:r>
        <w:rPr>
          <w:b/>
          <w:sz w:val="19"/>
        </w:rPr>
        <w:t xml:space="preserve">Übertragbarkeit: </w:t>
      </w:r>
      <w:r>
        <w:rPr>
          <w:sz w:val="19"/>
        </w:rPr>
        <w:t>Europa, konzeptuell auf deutsche Sozialversicherung direkt übertragbar</w:t>
      </w:r>
    </w:p>
    <w:p>
      <w:r>
        <w:rPr>
          <w:color w:val="5A7D3A"/>
          <w:sz w:val="18"/>
        </w:rPr>
        <w:t>https://pubmed.ncbi.nlm.nih.gov/42476293/</w:t>
      </w:r>
    </w:p>
    <w:p>
      <w:pPr>
        <w:pStyle w:val="Heading1"/>
      </w:pPr>
      <w:r>
        <w:t>Aufgenommen am 22.09.2026</w:t>
      </w:r>
    </w:p>
    <w:p>
      <w:pPr>
        <w:pStyle w:val="Heading2"/>
      </w:pPr>
      <w:r>
        <w:t>Instrumente zur Erfassung der intrinsic capacity im Alter: Scoping Review und Bewertung</w:t>
      </w:r>
    </w:p>
    <w:p>
      <w:r>
        <w:rPr>
          <w:i/>
          <w:color w:val="666666"/>
          <w:sz w:val="18"/>
        </w:rPr>
        <w:t>Henrotin Y et al.  ·  Age Ageing  ·  04.09.2026  ·  PMID 42765723</w:t>
      </w:r>
    </w:p>
    <w:p>
      <w:r>
        <w:t>Scoping Review identifizierte 61 validierte Instrumente zur Messung der intrinsic capacity (körperliche und mentale Fähigkeiten) älterer Erwachsener über fünf Domänen (kognitiv, kardiopulmonal, lokomotorerisch, psychisch, sensorisch).</w:t>
      </w:r>
    </w:p>
    <w:p>
      <w:r>
        <w:rPr>
          <w:b/>
        </w:rPr>
        <w:t xml:space="preserve">Ergebnis: </w:t>
      </w:r>
      <w:r>
        <w:t>Nur zwei Instrumente (GAD-7, EUROQOL-5D) erreichten maximale Expertenratings. Erhebliche Lücken bei der Erfassung sensorischer Fähigkeiten. Sehr wenige Instrumente waren für Erwachsene unter 60 Jahren geeignet. Heterogenität in Gültigkeit und Anwendbarkeit deutet auf Bedarf für entwicklung eines umfassenden, standardisierten Assessment-Tools hin.</w:t>
      </w:r>
    </w:p>
    <w:p>
      <w:r>
        <w:rPr>
          <w:b/>
          <w:sz w:val="19"/>
        </w:rPr>
        <w:t xml:space="preserve">Übertragbarkeit: </w:t>
      </w:r>
      <w:r>
        <w:rPr>
          <w:sz w:val="19"/>
        </w:rPr>
        <w:t>Europäische und nordamerikanische Kohorten; transferierbar auf deutschsprachige Versorgung</w:t>
      </w:r>
    </w:p>
    <w:p>
      <w:r>
        <w:rPr>
          <w:color w:val="5A7D3A"/>
          <w:sz w:val="18"/>
        </w:rPr>
        <w:t>https://pubmed.ncbi.nlm.nih.gov/42765723/</w:t>
      </w:r>
    </w:p>
    <w:p>
      <w:pPr>
        <w:pStyle w:val="Heading2"/>
      </w:pPr>
      <w:r>
        <w:t>Gefäßalterung: Funktionsmarker vorhersagen kardiovaskuläres Risiko unabhängig vom Alter</w:t>
      </w:r>
    </w:p>
    <w:p>
      <w:r>
        <w:rPr>
          <w:i/>
          <w:color w:val="666666"/>
          <w:sz w:val="18"/>
        </w:rPr>
        <w:t>Yang L et al.  ·  J Clin Hypertens (Greenwich)  ·  Sept. 2026  ·  PMID 42730543</w:t>
      </w:r>
    </w:p>
    <w:p>
      <w:r>
        <w:t>Querschnittsstudie an 3.354 chinesischen Erwachsenen (18–80 Jahre) untersuchte, ob Pulsdruckanalyse-Parameter (SEVR, Augmentationsdruck, Augmentationsindex) mit dem 10-Jahres-ASCVD-Risiko assoziiert sind.</w:t>
      </w:r>
    </w:p>
    <w:p>
      <w:r>
        <w:rPr>
          <w:b/>
        </w:rPr>
        <w:t xml:space="preserve">Ergebnis: </w:t>
      </w:r>
      <w:r>
        <w:t>SEVR, AP und Aix@75 korrelierten unabhängig mit geschätztem 10-Jahres-ASCVD-Risiko (alle p&lt;0,001). Das Modell erklärte zusätzliche Varianz über traditionelle Risikofaktoren hinaus. Funktionale hämodynamische Marker könnten Risikoschichtung in der Praxis verbessern.</w:t>
      </w:r>
    </w:p>
    <w:p>
      <w:r>
        <w:rPr>
          <w:b/>
          <w:sz w:val="19"/>
        </w:rPr>
        <w:t xml:space="preserve">Übertragbarkeit: </w:t>
      </w:r>
      <w:r>
        <w:rPr>
          <w:sz w:val="19"/>
        </w:rPr>
        <w:t>Chinesische Bevölkerungsdaten; Validierung in europäischen Kohorten notwendig vor Übernahme</w:t>
      </w:r>
    </w:p>
    <w:p>
      <w:r>
        <w:rPr>
          <w:color w:val="5A7D3A"/>
          <w:sz w:val="18"/>
        </w:rPr>
        <w:t>https://pubmed.ncbi.nlm.nih.gov/42730543/</w:t>
      </w:r>
    </w:p>
    <w:p>
      <w:pPr>
        <w:pStyle w:val="Heading2"/>
      </w:pPr>
      <w:r>
        <w:t>Regulierung kognitiver Kompetenz älterer Ärzte: Versorgungspolitische Analyse G7-Länder</w:t>
      </w:r>
    </w:p>
    <w:p>
      <w:r>
        <w:rPr>
          <w:i/>
          <w:color w:val="666666"/>
          <w:sz w:val="18"/>
        </w:rPr>
        <w:t>Potter M et al.  ·  JAMA Health Forum  ·  04.09.2026  ·  PMID 42726493</w:t>
      </w:r>
    </w:p>
    <w:p>
      <w:r>
        <w:t>Vergleichende Analyse von Regulierungsrichtlinien für altersbedingte kognitive Beeinträchtigung bei Ärzten in USA, Kanada und fünf anderen G7-Ländern.</w:t>
      </w:r>
    </w:p>
    <w:p>
      <w:r>
        <w:rPr>
          <w:b/>
        </w:rPr>
        <w:t xml:space="preserve">Ergebnis: </w:t>
      </w:r>
      <w:r>
        <w:t>Kein G7-Land hat standardisierte nationale Verfahren zur kognitiven Screening älterer Ärzte. Meisten Länder verlassen sich auf Selbstregulation und kollegiale Aufsicht. Ausnahmen in USA mit einzelnen Gesundheitssystemen mit obligatorischen altersabhängigen kognitiven Bewertungen. Im Kontrast: Richter, Piloten und Flugsicherung in allen G7-Ländern haben Altersgrenzen oder verpflichtende Tests. Keine empirischen Standards etabliert.</w:t>
      </w:r>
    </w:p>
    <w:p>
      <w:r>
        <w:rPr>
          <w:b/>
          <w:sz w:val="19"/>
        </w:rPr>
        <w:t xml:space="preserve">Übertragbarkeit: </w:t>
      </w:r>
      <w:r>
        <w:rPr>
          <w:sz w:val="19"/>
        </w:rPr>
        <w:t>Alle G7-Länder untersucht; direkt auf Deutschland übertragbar</w:t>
      </w:r>
    </w:p>
    <w:p>
      <w:r>
        <w:rPr>
          <w:color w:val="5A7D3A"/>
          <w:sz w:val="18"/>
        </w:rPr>
        <w:t>https://pubmed.ncbi.nlm.nih.gov/42726493/</w:t>
      </w:r>
    </w:p>
    <w:p>
      <w:pPr>
        <w:pStyle w:val="Heading2"/>
      </w:pPr>
      <w:r>
        <w:t>Blutdruckveränderungen in der Menopause: vergleichbare Muster zwischen Industrieländern und traditionellen Gesellschaften</w:t>
      </w:r>
    </w:p>
    <w:p>
      <w:r>
        <w:rPr>
          <w:i/>
          <w:color w:val="666666"/>
          <w:sz w:val="18"/>
        </w:rPr>
        <w:t>Getz MJ et al.  ·  Am J Biol Anthropol  ·  Juli 2026  ·  PMID 42482412</w:t>
      </w:r>
    </w:p>
    <w:p>
      <w:r>
        <w:t>Vergleich von Blutdrucktrends rund um die Menopause bei 5.570 Tsimane-Frauen (Bolivien) mit 6.861 US-Frauen aus NHANES.</w:t>
      </w:r>
    </w:p>
    <w:p>
      <w:r>
        <w:rPr>
          <w:b/>
        </w:rPr>
        <w:t xml:space="preserve">Ergebnis: </w:t>
      </w:r>
      <w:r>
        <w:t>Systolischer Blutdruck nach Menopause erhöht sich in beiden Populationen ähnlich (b=0,002, p&lt;0,001). Tsimane-Frauen zeigten schnelleren Anstieg mit Alter und weniger dramatischen diastolischen Rückgang. Östrogenkonzentrationen mediierten Effekte nicht. Blutdruckveränderungen in der Menopause sind trotz unterschiedlicher Risikoprofile universal.</w:t>
      </w:r>
    </w:p>
    <w:p>
      <w:r>
        <w:rPr>
          <w:b/>
          <w:sz w:val="19"/>
        </w:rPr>
        <w:t xml:space="preserve">Übertragbarkeit: </w:t>
      </w:r>
      <w:r>
        <w:rPr>
          <w:sz w:val="19"/>
        </w:rPr>
        <w:t>USA und Südamerika, aber universales biologisches Phänomen; epidemiologische Unterschiede relevant</w:t>
      </w:r>
    </w:p>
    <w:p>
      <w:r>
        <w:rPr>
          <w:color w:val="5A7D3A"/>
          <w:sz w:val="18"/>
        </w:rPr>
        <w:t>https://pubmed.ncbi.nlm.nih.gov/42482412/</w:t>
      </w:r>
    </w:p>
    <w:p>
      <w:pPr>
        <w:pStyle w:val="Heading2"/>
      </w:pPr>
      <w:r>
        <w:t>Auditorische Codierung mit Altern: Cochleäre Synaptopathie führt zu Diskriminationsverlust bei Hörstörung</w:t>
      </w:r>
    </w:p>
    <w:p>
      <w:r>
        <w:rPr>
          <w:i/>
          <w:color w:val="666666"/>
          <w:sz w:val="18"/>
        </w:rPr>
        <w:t>Wouters M et al.  ·  Hear Res  ·  18.07.2026  ·  PMID 42475780</w:t>
      </w:r>
    </w:p>
    <w:p>
      <w:r>
        <w:t>EEG-Studie an jüngeren und älteren Erwachsenen mit und ohne Hörstörung untersucht Phonem-Diskrimination und elektrophysiologische Marker der peripheren Codierung (Envelope-Following Responses).</w:t>
      </w:r>
    </w:p>
    <w:p>
      <w:r>
        <w:rPr>
          <w:b/>
        </w:rPr>
        <w:t xml:space="preserve">Ergebnis: </w:t>
      </w:r>
      <w:r>
        <w:t>RAM-EFR-Amplituden nahmen graduell mit Alter ab (konsistent mit Synaptopathie). Phonem-Kontrastdiskrimination verschlechterte sich bei hochfrequenter Codierung mit OHC-Verlust und Alter (p&lt;0,05), nicht aber bei niederfrequenter Codierung. EFR-Rückgang bei hochfrequenten Hinweisen ohne Wahrnehmungsverlust erklärt divergente Muster zwischen Elektrophysiologie und Verhalten. Frühere Diagnose versteckter Hörverluste möglich.</w:t>
      </w:r>
    </w:p>
    <w:p>
      <w:r>
        <w:rPr>
          <w:b/>
          <w:sz w:val="19"/>
        </w:rPr>
        <w:t xml:space="preserve">Übertragbarkeit: </w:t>
      </w:r>
      <w:r>
        <w:rPr>
          <w:sz w:val="19"/>
        </w:rPr>
        <w:t>Belgien und Deutschland; validierte psychophysiologische Methoden übertragbar</w:t>
      </w:r>
    </w:p>
    <w:p>
      <w:r>
        <w:rPr>
          <w:color w:val="5A7D3A"/>
          <w:sz w:val="18"/>
        </w:rPr>
        <w:t>https://pubmed.ncbi.nlm.nih.gov/42475780/</w:t>
      </w:r>
    </w:p>
    <w:p>
      <w:pPr>
        <w:pStyle w:val="Heading2"/>
      </w:pPr>
      <w:r>
        <w:t>Netzhautalterung: OCT-Biomarker zeigen oxidativen Stress in der Makula älterer Menschen</w:t>
      </w:r>
    </w:p>
    <w:p>
      <w:r>
        <w:rPr>
          <w:i/>
          <w:color w:val="666666"/>
          <w:sz w:val="18"/>
        </w:rPr>
        <w:t>Berkowitz BA et al.  ·  Invest Ophthalmol Vis Sci  ·  01.07.2026  ·  PMID 42474423</w:t>
      </w:r>
    </w:p>
    <w:p>
      <w:r>
        <w:t>Querschnittsstudie bei 25 jungen (20–30 Jahre) und 13 älteren (70–90 Jahre) Erwachsenen verglich OCT-basierte Metabolismus-Biomarker (ELM-RPE-Dicke, Band-2-Profilform) als Proxy für Retina-Alterung.</w:t>
      </w:r>
    </w:p>
    <w:p>
      <w:r>
        <w:rPr>
          <w:b/>
        </w:rPr>
        <w:t xml:space="preserve">Ergebnis: </w:t>
      </w:r>
      <w:r>
        <w:t>Ältere Erwachsene zeigten ELM-RPE-Kontraktion in Fovea und Parafovea (konsistent mit oxidativem Stress und verzögerter Dunkeladaptation aus vorherigen Studien). Band-2-Profilform unterschied sich nicht zwischen Altersgruppen. ELM-RPE-Kontraktion ist konsistent mit subretinalem oxidativen Stress und gestörter Retinoid-Signalisierung. Translationaler Ansatz OCT-Biomarker könnte nicht-invasive Überwachung der Netzhautalterung ermöglichen.</w:t>
      </w:r>
    </w:p>
    <w:p>
      <w:r>
        <w:rPr>
          <w:b/>
          <w:sz w:val="19"/>
        </w:rPr>
        <w:t xml:space="preserve">Übertragbarkeit: </w:t>
      </w:r>
      <w:r>
        <w:rPr>
          <w:sz w:val="19"/>
        </w:rPr>
        <w:t>USA; methodisch auf deutsche Augenkliniken übertragbar, aber klinische Validierung notwendig</w:t>
      </w:r>
    </w:p>
    <w:p>
      <w:r>
        <w:rPr>
          <w:color w:val="5A7D3A"/>
          <w:sz w:val="18"/>
        </w:rPr>
        <w:t>https://pubmed.ncbi.nlm.nih.gov/42474423/</w:t>
      </w:r>
    </w:p>
    <w:p>
      <w:pPr>
        <w:pStyle w:val="Heading1"/>
      </w:pPr>
      <w:r>
        <w:t>Aufgenommen am 21.09.2026</w:t>
      </w:r>
    </w:p>
    <w:p>
      <w:pPr>
        <w:pStyle w:val="Heading2"/>
      </w:pPr>
      <w:r>
        <w:t>Hörtechnik und Lebensqualität im höheren Alter nach Cochlea-Implantat</w:t>
      </w:r>
    </w:p>
    <w:p>
      <w:r>
        <w:rPr>
          <w:i/>
          <w:color w:val="666666"/>
          <w:sz w:val="18"/>
        </w:rPr>
        <w:t>Deniz H  ·  J Am Acad Audiol  ·  01.07.2026  ·  PMID 42763618</w:t>
      </w:r>
    </w:p>
    <w:p>
      <w:r>
        <w:t>Vergleichsstudie jüngerer (40–59 J.) und älterer (≥60 J.) Patienten mit Cochlea-Implantaten zu Hörtauglichkeit und Lebensqualität.</w:t>
      </w:r>
    </w:p>
    <w:p>
      <w:r>
        <w:rPr>
          <w:b/>
        </w:rPr>
        <w:t xml:space="preserve">Ergebnis: </w:t>
      </w:r>
      <w:r>
        <w:t>Ältere Patienten zeigten signifikant schlechtere Hörtests (p&lt;0,05) und niedrigere Werte in allen WHOQOL-BREF-Dimensionen (p&lt;0,05); keine Unterschiede in Depression (p=0,198). Depressionsebenen unterschieden sich nicht, was darauf hindeutet, dass psychische Anpassung dem Hörverlust voraus ist.</w:t>
      </w:r>
    </w:p>
    <w:p>
      <w:r>
        <w:rPr>
          <w:b/>
          <w:sz w:val="19"/>
        </w:rPr>
        <w:t xml:space="preserve">Übertragbarkeit: </w:t>
      </w:r>
      <w:r>
        <w:rPr>
          <w:sz w:val="19"/>
        </w:rPr>
        <w:t>Türkei – vergleichbares Audiologen-System, aber Implantationsrichtlinien können regional variieren; Versorgungsansatz übertragbar.</w:t>
      </w:r>
    </w:p>
    <w:p>
      <w:r>
        <w:rPr>
          <w:color w:val="5A7D3A"/>
          <w:sz w:val="18"/>
        </w:rPr>
        <w:t>https://pubmed.ncbi.nlm.nih.gov/42763618/</w:t>
      </w:r>
    </w:p>
    <w:p>
      <w:pPr>
        <w:pStyle w:val="Heading2"/>
      </w:pPr>
      <w:r>
        <w:t>Frailty bei Kindern mit chronischer Nierenerkrankung – Reversibilität als klinisches Fenster</w:t>
      </w:r>
    </w:p>
    <w:p>
      <w:r>
        <w:rPr>
          <w:i/>
          <w:color w:val="666666"/>
          <w:sz w:val="18"/>
        </w:rPr>
        <w:t>Chan EY et al.  ·  Kidney Int  ·  Okt. 2026  ·  PMID 42760017</w:t>
      </w:r>
    </w:p>
    <w:p>
      <w:r>
        <w:t>Kommentar zur Unterscheidung pädiatrischer Frailty von adulter Gebrechlichkeit und zum Potenzial, durch frühe Erkennung und multidisziplinäre Intervention die Entwicklung wiederherzustellen.</w:t>
      </w:r>
    </w:p>
    <w:p>
      <w:r>
        <w:rPr>
          <w:b/>
        </w:rPr>
        <w:t xml:space="preserve">Ergebnis: </w:t>
      </w:r>
      <w:r>
        <w:t>Im Gegensatz zu Erwachsenen kann Frailty bei Kindern mit chronischer Nierenerkrankung reversibel sein und sollte als Verlust von Entwicklungspotenzial statt Funktionsverlust verstanden werden. Frühe standardisierte Screening und Intervention können Wachstum und Resilienz wiederherstellen.</w:t>
      </w:r>
    </w:p>
    <w:p>
      <w:r>
        <w:rPr>
          <w:b/>
          <w:sz w:val="19"/>
        </w:rPr>
        <w:t xml:space="preserve">Übertragbarkeit: </w:t>
      </w:r>
      <w:r>
        <w:rPr>
          <w:sz w:val="19"/>
        </w:rPr>
        <w:t>Grundlegende Konzepte übertragbar; Altersadaptation notwendig – deutsche Pädiatrie und Nephrologie relevant.</w:t>
      </w:r>
    </w:p>
    <w:p>
      <w:r>
        <w:rPr>
          <w:color w:val="5A7D3A"/>
          <w:sz w:val="18"/>
        </w:rPr>
        <w:t>https://pubmed.ncbi.nlm.nih.gov/42760017/</w:t>
      </w:r>
    </w:p>
    <w:p>
      <w:pPr>
        <w:pStyle w:val="Heading2"/>
      </w:pPr>
      <w:r>
        <w:t>Selbstmitgefühl und Selbstwirksamkeit als Prädiktoren für Gesundheitsverhalten und Lebensqualität im Alter</w:t>
      </w:r>
    </w:p>
    <w:p>
      <w:r>
        <w:rPr>
          <w:i/>
          <w:color w:val="666666"/>
          <w:sz w:val="18"/>
        </w:rPr>
        <w:t>Alaca N et al.  ·  PLoS One  ·  16.09.2026  ·  PMID 42748085</w:t>
      </w:r>
    </w:p>
    <w:p>
      <w:r>
        <w:t>Querschnittstudie an 179 älteren Türken (≥65 J.) zu Assoziationen von Selbstmitgefühl, Selbstwirksamkeit mit Schmerz, Bewegungsachtsamkeit, Gesundheitsverhalten und Lebensqualität.</w:t>
      </w:r>
    </w:p>
    <w:p>
      <w:r>
        <w:rPr>
          <w:b/>
        </w:rPr>
        <w:t xml:space="preserve">Ergebnis: </w:t>
      </w:r>
      <w:r>
        <w:t>Selbstwirksamkeit sagte konsistent über alle Ergebnisse voraus: Im finalen Modell für Lebensqualität (R²=0,614) waren Selbstwirksamkeit (β=0,340), Schmerz (β=−0,346), Gesundheitsverantwortung (β=0,328) signifikant. Selbstmitgefühl war stärkster Prädiktor für Ernährung (β=0,436), Bewegungsachtsamkeit für Stressabbau (β=0,300).</w:t>
      </w:r>
    </w:p>
    <w:p>
      <w:r>
        <w:rPr>
          <w:b/>
          <w:sz w:val="19"/>
        </w:rPr>
        <w:t xml:space="preserve">Übertragbarkeit: </w:t>
      </w:r>
      <w:r>
        <w:rPr>
          <w:sz w:val="19"/>
        </w:rPr>
        <w:t>Türkei – Kultur und Versorgungsstruktur unterscheiden sich von Deutschland; psychosoziale Faktoren sind universell.</w:t>
      </w:r>
    </w:p>
    <w:p>
      <w:r>
        <w:rPr>
          <w:color w:val="5A7D3A"/>
          <w:sz w:val="18"/>
        </w:rPr>
        <w:t>https://pubmed.ncbi.nlm.nih.gov/42748085/</w:t>
      </w:r>
    </w:p>
    <w:p>
      <w:pPr>
        <w:pStyle w:val="Heading2"/>
      </w:pPr>
      <w:r>
        <w:t>Frailty-Dynamik und Herzinfarktrisiko bei älteren Diabetikern</w:t>
      </w:r>
    </w:p>
    <w:p>
      <w:r>
        <w:rPr>
          <w:i/>
          <w:color w:val="666666"/>
          <w:sz w:val="18"/>
        </w:rPr>
        <w:t>Li Y et al.  ·  Zhonghua Yu Fang Yi Xue Za Zhi  ·  06.09.2026  ·  PMID 42736150</w:t>
      </w:r>
    </w:p>
    <w:p>
      <w:r>
        <w:t>Zwei-Kohorten-Studie (China, England) zur Assoziation von Frailty-Übergängen mit kardiovaskulärem Risiko bei älteren Menschen mit Diabetes.</w:t>
      </w:r>
    </w:p>
    <w:p>
      <w:r>
        <w:rPr>
          <w:b/>
        </w:rPr>
        <w:t xml:space="preserve">Ergebnis: </w:t>
      </w:r>
      <w:r>
        <w:t>Im Vergleich zur Gruppe "robust→robust" zeigten "präfrail→frail" (HR 2,04; 95%CI 1,66–2,51) und "frail→frail" (HR 2,03; 95%CI 1,63–2,53) signifikant erhöhte Herzinfarktrisiken (p&lt;0,001). Assoziationen blieben unter Konkurrenzrisiko-Modellen robust. Frailty-Verschlechterung war unabhängig von Altersgruppe prädiktiv.</w:t>
      </w:r>
    </w:p>
    <w:p>
      <w:r>
        <w:rPr>
          <w:b/>
          <w:sz w:val="19"/>
        </w:rPr>
        <w:t xml:space="preserve">Übertragbarkeit: </w:t>
      </w:r>
      <w:r>
        <w:rPr>
          <w:sz w:val="19"/>
        </w:rPr>
        <w:t>Zwei-Länder-Meta-Analyse (China, UK), aber Diabetes-Prävalenz und Management unterscheiden sich; Frailty-Messung ist system-übertragbar.</w:t>
      </w:r>
    </w:p>
    <w:p>
      <w:r>
        <w:rPr>
          <w:color w:val="5A7D3A"/>
          <w:sz w:val="18"/>
        </w:rPr>
        <w:t>https://pubmed.ncbi.nlm.nih.gov/42736150/</w:t>
      </w:r>
    </w:p>
    <w:p>
      <w:pPr>
        <w:pStyle w:val="Heading2"/>
      </w:pPr>
      <w:r>
        <w:t>Immunseneszenz modifiziert strahleninduzierte Antitumorimmunität im älteren Alter</w:t>
      </w:r>
    </w:p>
    <w:p>
      <w:r>
        <w:rPr>
          <w:i/>
          <w:color w:val="666666"/>
          <w:sz w:val="18"/>
        </w:rPr>
        <w:t>Arnold CR et al.  ·  Front Immunol  ·  10.07.2026  ·  PMID 42500670</w:t>
      </w:r>
    </w:p>
    <w:p>
      <w:r>
        <w:t>Narrative Übersicht zur Rolle von Immunseneszenz bei der Abschwächung strahleninduzierter Anti-Tumor-Effekte im höheren Alter.</w:t>
      </w:r>
    </w:p>
    <w:p>
      <w:r>
        <w:rPr>
          <w:b/>
        </w:rPr>
        <w:t xml:space="preserve">Ergebnis: </w:t>
      </w:r>
      <w:r>
        <w:t>Immunseneszenz – charakterisiert durch reduzierte T-Zell-Responsivität, chronische Entzündung und schlechtere Koordination zwischen Immuneffektoren – vermindert wahrscheinlich die Anti-Tumor-Potenz der Strahlentherapie bei älteren Patienten. Die Autoren betonen, dass Biomarker der Immunseneszenz in die Therapieplanung integriert werden sollten.</w:t>
      </w:r>
    </w:p>
    <w:p>
      <w:r>
        <w:rPr>
          <w:b/>
          <w:sz w:val="19"/>
        </w:rPr>
        <w:t xml:space="preserve">Übertragbarkeit: </w:t>
      </w:r>
      <w:r>
        <w:rPr>
          <w:sz w:val="19"/>
        </w:rPr>
        <w:t>Europäische Perspektive (Austria, Germany); Immunseneszenz ist universell, aber Therapiezugang variiert mit Gesundheitssystem.</w:t>
      </w:r>
    </w:p>
    <w:p>
      <w:r>
        <w:rPr>
          <w:color w:val="5A7D3A"/>
          <w:sz w:val="18"/>
        </w:rPr>
        <w:t>https://pubmed.ncbi.nlm.nih.gov/42500670/</w:t>
      </w:r>
    </w:p>
    <w:p>
      <w:pPr>
        <w:pStyle w:val="Heading2"/>
      </w:pPr>
      <w:r>
        <w:t>Wachstumsmindset und Ausdauer als psychologische Ressourcen im Alter – soziale Muster in England</w:t>
      </w:r>
    </w:p>
    <w:p>
      <w:r>
        <w:rPr>
          <w:i/>
          <w:color w:val="666666"/>
          <w:sz w:val="18"/>
        </w:rPr>
        <w:t>Zaninotto P et al.  ·  J Gerontol B Psychol Sci Soc Sci  ·  04.09.2026  ·  PMID 42438156</w:t>
      </w:r>
    </w:p>
    <w:p>
      <w:r>
        <w:t>Analyse von Proxy-Indikatoren für Wachstumsmindset und Ausdauer (Grit) in der English Longitudinal Study of Ageing (n≥6000) zu Verteilung nach Alter, Sozioökonomie und Gesundheit.</w:t>
      </w:r>
    </w:p>
    <w:p>
      <w:r>
        <w:rPr>
          <w:b/>
        </w:rPr>
        <w:t xml:space="preserve">Ergebnis: </w:t>
      </w:r>
      <w:r>
        <w:t>Älteres Alter war mit niedrigerem Wachstumsmindset assoziiert, besonders in Bildungs- und Überzeugungsdomänen. Höhere Bildung, Beschäftigung und Vermögen waren mit günstigeren Profilen assoziiert. Einsamkeit und chronische Krankheit waren konsistent mit ungünstigeren Profilen verbunden; die Effekte waren domänenspezifisch, nicht universal.</w:t>
      </w:r>
    </w:p>
    <w:p>
      <w:r>
        <w:rPr>
          <w:b/>
          <w:sz w:val="19"/>
        </w:rPr>
        <w:t xml:space="preserve">Übertragbarkeit: </w:t>
      </w:r>
      <w:r>
        <w:rPr>
          <w:sz w:val="19"/>
        </w:rPr>
        <w:t>England – englischsprachige Gesellschaft, aber Sozialstruktur und Sicherungssystem unterscheiden; psychologische Konstrukte sind übertragbar.</w:t>
      </w:r>
    </w:p>
    <w:p>
      <w:r>
        <w:rPr>
          <w:color w:val="5A7D3A"/>
          <w:sz w:val="18"/>
        </w:rPr>
        <w:t>https://pubmed.ncbi.nlm.nih.gov/42438156/</w:t>
      </w:r>
    </w:p>
    <w:p>
      <w:pPr>
        <w:pStyle w:val="Heading2"/>
      </w:pPr>
      <w:r>
        <w:t>Xanthophyll-Carotenoid-Aufnahme und Netzhautgesundheit im Alter und Makuladegeneration</w:t>
      </w:r>
    </w:p>
    <w:p>
      <w:r>
        <w:rPr>
          <w:i/>
          <w:color w:val="666666"/>
          <w:sz w:val="18"/>
        </w:rPr>
        <w:t>Curcio CA et al.  ·  Invest Ophthalmol Vis Sci  ·  01.07.2026  ·  PMID 42411867</w:t>
      </w:r>
    </w:p>
    <w:p>
      <w:r>
        <w:t>Querschnittstudie an 369 Personen (≥63 J.) zur Assoziation von Lutein- und Zeaxanthin-Aufnahme (Diät + Supplemente), Plasmaspiegel und retinaler Pigmentdichte mit Alter und altersbedingter Makuladegeneration.</w:t>
      </w:r>
    </w:p>
    <w:p>
      <w:r>
        <w:rPr>
          <w:b/>
        </w:rPr>
        <w:t xml:space="preserve">Ergebnis: </w:t>
      </w:r>
      <w:r>
        <w:t>Zwischen Plasmaspiegel und macularem Pigment-Optischem-Volumen (MPOV) zeigten sich starke Korrelationen (r=0,41–0,67, p&lt;0,01). Patienten mit intermediärer AMD hatten höhere Supplementnutzung (56% vs. 10%), höhere Gesamtaufnahme (11,0±8,3 vs. 5,3±6,4 mg/d, p&lt;0,01) und MPOV (1,33±0,61 vs. 1,04±0,46). Diätaufnahme unterschied sich nicht zwischen Gruppen.</w:t>
      </w:r>
    </w:p>
    <w:p>
      <w:r>
        <w:rPr>
          <w:b/>
          <w:sz w:val="19"/>
        </w:rPr>
        <w:t xml:space="preserve">Übertragbarkeit: </w:t>
      </w:r>
      <w:r>
        <w:rPr>
          <w:sz w:val="19"/>
        </w:rPr>
        <w:t>USA – Nahrungsverfügbarkeit und Supplementierungskultur unterscheiden; aber Optik und Physiologie sind universal.</w:t>
      </w:r>
    </w:p>
    <w:p>
      <w:r>
        <w:rPr>
          <w:color w:val="5A7D3A"/>
          <w:sz w:val="18"/>
        </w:rPr>
        <w:t>https://pubmed.ncbi.nlm.nih.gov/42411867/</w:t>
      </w:r>
    </w:p>
    <w:p>
      <w:pPr>
        <w:pStyle w:val="Heading1"/>
      </w:pPr>
      <w:r>
        <w:t>Aufgenommen am 20.09.2026</w:t>
      </w:r>
    </w:p>
    <w:p>
      <w:pPr>
        <w:pStyle w:val="Heading2"/>
      </w:pPr>
      <w:r>
        <w:t>Exergaming mit Widerstandstraining verbessert Selbstwirksamkeit und Aktivität bei kognitiver Gebrechlichkeit</w:t>
      </w:r>
    </w:p>
    <w:p>
      <w:r>
        <w:rPr>
          <w:i/>
          <w:color w:val="666666"/>
          <w:sz w:val="18"/>
        </w:rPr>
        <w:t>Ning H et al.  ·  Zhong Nan Da Xue Xue Bao Yi Xue Ban  ·  28.07.2026  ·  PMID 42763302</w:t>
      </w:r>
    </w:p>
    <w:p>
      <w:r>
        <w:t>Randomisierte Studie zu 12-wöchigem Exergaming mit Elastikband-Training bei 79 älteren Erwachsenen mit kognitiver Frailty zur Verbesserung von Selbstwirksamkeit und körperlicher Aktivität.</w:t>
      </w:r>
    </w:p>
    <w:p>
      <w:r>
        <w:rPr>
          <w:b/>
        </w:rPr>
        <w:t xml:space="preserve">Ergebnis: </w:t>
      </w:r>
      <w:r>
        <w:t>Interventionsgruppe zeigte signifikant höhere Verbesserungen bei IPAQ-SF-Scores (MD=586,1 MET-min/Woche, 95%-KI 454,5–717,7) und Selbsteffektivität (MD=3,3, 95%-KI 2,4–4,2) vs. Kontrolle (beide p&lt;0,001). Trainingsadhärenz 86,5%. Qualitative Analyse identifizierte erhöhte Trainierbarkeit, positive Gesundheitswahrnehmung und verbesserte Sozialinteraktion.</w:t>
      </w:r>
    </w:p>
    <w:p>
      <w:r>
        <w:rPr>
          <w:b/>
          <w:sz w:val="19"/>
        </w:rPr>
        <w:t xml:space="preserve">Übertragbarkeit: </w:t>
      </w:r>
      <w:r>
        <w:rPr>
          <w:sz w:val="19"/>
        </w:rPr>
        <w:t>Chinesische Primar- und sekundäre Datenquellen; Design auf deutschsprachigen Kontext übertragbar.</w:t>
      </w:r>
    </w:p>
    <w:p>
      <w:r>
        <w:rPr>
          <w:color w:val="5A7D3A"/>
          <w:sz w:val="18"/>
        </w:rPr>
        <w:t>https://pubmed.ncbi.nlm.nih.gov/42763302/</w:t>
      </w:r>
    </w:p>
    <w:p>
      <w:pPr>
        <w:pStyle w:val="Heading2"/>
      </w:pPr>
      <w:r>
        <w:t>Luftfeuchte, Frailty und Schlaganfallrisiko im Alter: 7-Jahres-Kohortenstudie China</w:t>
      </w:r>
    </w:p>
    <w:p>
      <w:r>
        <w:rPr>
          <w:i/>
          <w:color w:val="666666"/>
          <w:sz w:val="18"/>
        </w:rPr>
        <w:t>Zhou Y et al.  ·  Zhong Nan Da Xue Xue Bao Yi Xue Ban  ·  28.07.2026  ·  PMID 42763297</w:t>
      </w:r>
    </w:p>
    <w:p>
      <w:r>
        <w:t>Prospektive Kohortenstudie (CHARLS) mit 19.582 chinesischen Älteren zum Zusammenhang zwischen Umgebungsfeuchte und Schlaganfallrisiko mit Frailty als Mediator.</w:t>
      </w:r>
    </w:p>
    <w:p>
      <w:r>
        <w:rPr>
          <w:b/>
        </w:rPr>
        <w:t xml:space="preserve">Ergebnis: </w:t>
      </w:r>
      <w:r>
        <w:t>Gegenüber niedriger Feuchte: mittlere Feuchte HR=1,119 (95%-KI 1,033–1,213), hohe Feuchte HR=1,279 (95%-KI 1,227–1,331) für neuen Schlaganfall (beide p&lt;0,01). Bei Männern ausgeprägter (hohe Feuchte: HR=1,352, 95%-KI 1,268–1,442). Frailty vermittelte 22,0% der Assoziation. Mediane Nachbeobachtung 7 Jahre, 1.235 Schlaganfälle (6,31%).</w:t>
      </w:r>
    </w:p>
    <w:p>
      <w:r>
        <w:rPr>
          <w:b/>
          <w:sz w:val="19"/>
        </w:rPr>
        <w:t xml:space="preserve">Übertragbarkeit: </w:t>
      </w:r>
      <w:r>
        <w:rPr>
          <w:sz w:val="19"/>
        </w:rPr>
        <w:t>CHARLS-Langzeitdaten aus China; Umwelt-Gebrechlichkeits-Pathomechanismus übertragbar.</w:t>
      </w:r>
    </w:p>
    <w:p>
      <w:r>
        <w:rPr>
          <w:color w:val="5A7D3A"/>
          <w:sz w:val="18"/>
        </w:rPr>
        <w:t>https://pubmed.ncbi.nlm.nih.gov/42763297/</w:t>
      </w:r>
    </w:p>
    <w:p>
      <w:pPr>
        <w:pStyle w:val="Heading2"/>
      </w:pPr>
      <w:r>
        <w:t>Fragmentierte Sedentarität und kardiovaskuläre Sterblichkeit: Gewonnene Lebensjahre durch Bewegungspausen</w:t>
      </w:r>
    </w:p>
    <w:p>
      <w:r>
        <w:rPr>
          <w:i/>
          <w:color w:val="666666"/>
          <w:sz w:val="18"/>
        </w:rPr>
        <w:t>Xing T et al.  ·  Zhong Nan Da Xue Xue Bao Yi Xue Ban  ·  28.07.2026  ·  PMID 42763296</w:t>
      </w:r>
    </w:p>
    <w:p>
      <w:r>
        <w:t>Prospektive Kohorte mit 89.010 UK-Biobank-Teilnehmern zum Zusammenhang zwischen Sedentärdauer/-fragmentierung und Sterblichkeit sowie Lebenserwartung.</w:t>
      </w:r>
    </w:p>
    <w:p>
      <w:r>
        <w:rPr>
          <w:b/>
        </w:rPr>
        <w:t xml:space="preserve">Ergebnis: </w:t>
      </w:r>
      <w:r>
        <w:t>Gegenüber geringster Sedentarität: ≥10 h/Tag Sitzen + wenig Pausen (Breaks &lt;12/Tag) mit HR=1,515 (95%-KI 1,380–1,663) für Gesamtsterblichkeit und HR=1,553 (95%-KI 1,325–1,820) für kardiovaskuläre Mortalität. Häufige Sitzpausen reduzierten Sterblichkeitsrisiko. Lebenserwartungsverlust im Alter 50: -2,77 Jahre (Männer, 95%-KI -3,39 bis -2,15) und -3,11 Jahre (Frauen, 95%-KI -3,79 bis -2,43) an kardiovaskulär-freien Jahren.</w:t>
      </w:r>
    </w:p>
    <w:p>
      <w:r>
        <w:rPr>
          <w:b/>
          <w:sz w:val="19"/>
        </w:rPr>
        <w:t xml:space="preserve">Übertragbarkeit: </w:t>
      </w:r>
      <w:r>
        <w:rPr>
          <w:sz w:val="19"/>
        </w:rPr>
        <w:t>UK-Daten mit wearables gemessen; Befund zur Bewegungsunterbrechung international anwendbar.</w:t>
      </w:r>
    </w:p>
    <w:p>
      <w:r>
        <w:rPr>
          <w:color w:val="5A7D3A"/>
          <w:sz w:val="18"/>
        </w:rPr>
        <w:t>https://pubmed.ncbi.nlm.nih.gov/42763296/</w:t>
      </w:r>
    </w:p>
    <w:p>
      <w:pPr>
        <w:pStyle w:val="Heading2"/>
      </w:pPr>
      <w:r>
        <w:t>Feinstaub und Frailty: PM₂,₅-Komponenten erhöhen Gebrechlichkeitsrisiko im Alter</w:t>
      </w:r>
    </w:p>
    <w:p>
      <w:r>
        <w:rPr>
          <w:i/>
          <w:color w:val="666666"/>
          <w:sz w:val="18"/>
        </w:rPr>
        <w:t>Liu Q et al.  ·  Zhonghua Liu Xing Bing Xue Za Zhi  ·  10.09.2026  ·  PMID 42763185</w:t>
      </w:r>
    </w:p>
    <w:p>
      <w:r>
        <w:t>Querschnittsstudie mit 1.875 älteren Personen in der Jing-Jin-Ji-Region zum Zusammenhang zwischen PM₂,₅-Exposition und Frailty-Index.</w:t>
      </w:r>
    </w:p>
    <w:p>
      <w:r>
        <w:rPr>
          <w:b/>
        </w:rPr>
        <w:t xml:space="preserve">Ergebnis: </w:t>
      </w:r>
      <w:r>
        <w:t>PM₂,₅ bei 90-Tage-Mittelung (lag090 d) assoziiert mit erhöhtem Frailty-Risiko: +1,30% pro IQR-Anstieg (95%-KI 0,29–2,31). Organische Kohlenstoffe (OC): +3,63% (95%-KI 1,17–6,09%), Elementares Kohlenstoff: +0,83% (95%-KI 0,45–1,21%), Kupfer: +1,50% (95%-KI 0,76–2,24%) pro IQR-Anstieg. Keine signifikanten Unterschiede nach Geschlecht, Alter oder Lebensstil.</w:t>
      </w:r>
    </w:p>
    <w:p>
      <w:r>
        <w:rPr>
          <w:b/>
          <w:sz w:val="19"/>
        </w:rPr>
        <w:t xml:space="preserve">Übertragbarkeit: </w:t>
      </w:r>
      <w:r>
        <w:rPr>
          <w:sz w:val="19"/>
        </w:rPr>
        <w:t>Chinesische Luftqualitätsdaten; Umweltbelastung-Gebrechlichkeits-Zusammenhang universal relevant.</w:t>
      </w:r>
    </w:p>
    <w:p>
      <w:r>
        <w:rPr>
          <w:color w:val="5A7D3A"/>
          <w:sz w:val="18"/>
        </w:rPr>
        <w:t>https://pubmed.ncbi.nlm.nih.gov/42763185/</w:t>
      </w:r>
    </w:p>
    <w:p>
      <w:pPr>
        <w:pStyle w:val="Heading2"/>
      </w:pPr>
      <w:r>
        <w:t>Ernährungsqualität und biologisches Alter: Zentrale Adiposität als Vermittler</w:t>
      </w:r>
    </w:p>
    <w:p>
      <w:r>
        <w:rPr>
          <w:i/>
          <w:color w:val="666666"/>
          <w:sz w:val="18"/>
        </w:rPr>
        <w:t>Qian Y  ·  Medicine (Baltimore)  ·  18.09.2026  ·  PMID 42760668</w:t>
      </w:r>
    </w:p>
    <w:p>
      <w:r>
        <w:t>Querschnittsstudie mit 12.511 US-Erwachsenen (≥20 Jahre) aus NHANES 2005–2010 zur Assoziation zwischen Ernährungsqualität und phänotypischer Altersbeschleunigung.</w:t>
      </w:r>
    </w:p>
    <w:p>
      <w:r>
        <w:rPr>
          <w:b/>
        </w:rPr>
        <w:t xml:space="preserve">Ergebnis: </w:t>
      </w:r>
      <w:r>
        <w:t>Pro 1-Punkt-Anstieg Healthy-Eating-Index-2015: OR=0,98 (95%-KI 0,97–0,98, p&lt;0,001) für beschleunigtes biologisches Altern. Waist-to-Height Ratio (WHtR) und Body Roundness Index (BRI) zeigten größte Mediationseffekte (29,23% bzw. 28,90%). Sensitivitätsanalysen bestätigten Robustheit.</w:t>
      </w:r>
    </w:p>
    <w:p>
      <w:r>
        <w:rPr>
          <w:b/>
          <w:sz w:val="19"/>
        </w:rPr>
        <w:t xml:space="preserve">Übertragbarkeit: </w:t>
      </w:r>
      <w:r>
        <w:rPr>
          <w:sz w:val="19"/>
        </w:rPr>
        <w:t>NHANES-Daten USA; Ernährungs-Adipositas-Alterungsweg prinzipiell universal.</w:t>
      </w:r>
    </w:p>
    <w:p>
      <w:r>
        <w:rPr>
          <w:color w:val="5A7D3A"/>
          <w:sz w:val="18"/>
        </w:rPr>
        <w:t>https://pubmed.ncbi.nlm.nih.gov/42760668/</w:t>
      </w:r>
    </w:p>
    <w:p>
      <w:pPr>
        <w:pStyle w:val="Heading2"/>
      </w:pPr>
      <w:r>
        <w:t>Risikofaktoren für Frailty bei älteren Krebspatienten: Systematische Übersicht</w:t>
      </w:r>
    </w:p>
    <w:p>
      <w:r>
        <w:rPr>
          <w:i/>
          <w:color w:val="666666"/>
          <w:sz w:val="18"/>
        </w:rPr>
        <w:t>Shubing F et al.  ·  BMC Geriatr  ·  18.09.2026  ·  PMID 42760535</w:t>
      </w:r>
    </w:p>
    <w:p>
      <w:r>
        <w:t>Systematische Übersicht von 30 Studien (2014–2025) zu Determinanten von Frailty bei älteren Krebspatienten, davon 26 Querschnitts- und 4 prospektive Kohortenstudien.</w:t>
      </w:r>
    </w:p>
    <w:p>
      <w:r>
        <w:rPr>
          <w:b/>
        </w:rPr>
        <w:t xml:space="preserve">Ergebnis: </w:t>
      </w:r>
      <w:r>
        <w:t>Risikofaktoren in 6 Kategorien identifiziert: krankheitsbezogen (Krebsart, fortgeschrittenes Stadium), physiologisch (Mangelernährung, Muskelabbau), psychologisch (Depression, kognitiver Verfall), Lebensstil (Bewegungsmangel), soziodemografisch (Isolation), therapiebedingt (Chemotherapie-Toxizität). Prospektive Evidenz limitiert (n=4 Studien); gefordert: stratifizierte Screening- und Interventionsstrategien.</w:t>
      </w:r>
    </w:p>
    <w:p>
      <w:r>
        <w:rPr>
          <w:b/>
          <w:sz w:val="19"/>
        </w:rPr>
        <w:t xml:space="preserve">Übertragbarkeit: </w:t>
      </w:r>
      <w:r>
        <w:rPr>
          <w:sz w:val="19"/>
        </w:rPr>
        <w:t>Überwiegend Hocheinkommensländer; Frailty-Krebsinteraktion im älteren Alter universell.</w:t>
      </w:r>
    </w:p>
    <w:p>
      <w:r>
        <w:rPr>
          <w:color w:val="5A7D3A"/>
          <w:sz w:val="18"/>
        </w:rPr>
        <w:t>https://pubmed.ncbi.nlm.nih.gov/42760535/</w:t>
      </w:r>
    </w:p>
    <w:p>
      <w:pPr>
        <w:pStyle w:val="Heading2"/>
      </w:pPr>
      <w:r>
        <w:t>Mesenchymale Stammzelltherapie bei Frailty: Systematische Übersicht mit Fokus auf Sicherheit und Mobilität</w:t>
      </w:r>
    </w:p>
    <w:p>
      <w:r>
        <w:rPr>
          <w:i/>
          <w:color w:val="666666"/>
          <w:sz w:val="18"/>
        </w:rPr>
        <w:t>Poutouri E et al.  ·  Int J Mol Sci  ·  25.08.2026  ·  PMID 42737497</w:t>
      </w:r>
    </w:p>
    <w:p>
      <w:r>
        <w:t>Systematische Übersicht von 3 randomisierten Studien (208 Teilnehmer, älter mit Frailty) zu Sicherheit und Wirksamkeit der intravenösen Stammzelltherapie auf funktionale Ergebnisse.</w:t>
      </w:r>
    </w:p>
    <w:p>
      <w:r>
        <w:rPr>
          <w:b/>
        </w:rPr>
        <w:t xml:space="preserve">Ergebnis: </w:t>
      </w:r>
      <w:r>
        <w:t>Keine schwerwiegenden behandlungsbezogenen Nebenwirkungen berichtet. Signale für Verbesserung: 6-Minuten-Gehtest nach 9 Monaten dosisabhängig erhöht; SPPB-, TUG- und Griffkraft-Verbesserungen in einzelnen Studien. Zirkulating pro-inflammatorische Zytokine reduziert, Lebensqualität verbessert. Heterogenität Stammzellquelle, Dosis und Follow-up; größere adequat-gepowerte Studien erforderlich.</w:t>
      </w:r>
    </w:p>
    <w:p>
      <w:r>
        <w:rPr>
          <w:b/>
          <w:sz w:val="19"/>
        </w:rPr>
        <w:t xml:space="preserve">Übertragbarkeit: </w:t>
      </w:r>
      <w:r>
        <w:rPr>
          <w:sz w:val="19"/>
        </w:rPr>
        <w:t>Vereinigte Staaten und Schweiz; Stammzelltherapie-Sicherheitsdaten relevant für prospektive europäische Studien.</w:t>
      </w:r>
    </w:p>
    <w:p>
      <w:r>
        <w:rPr>
          <w:color w:val="5A7D3A"/>
          <w:sz w:val="18"/>
        </w:rPr>
        <w:t>https://pubmed.ncbi.nlm.nih.gov/42737497/</w:t>
      </w:r>
    </w:p>
    <w:p>
      <w:pPr>
        <w:pStyle w:val="Heading1"/>
      </w:pPr>
      <w:r>
        <w:t>Aufgenommen am 19.09.2026</w:t>
      </w:r>
    </w:p>
    <w:p>
      <w:pPr>
        <w:pStyle w:val="Heading2"/>
      </w:pPr>
      <w:r>
        <w:t>Geriatrisches Assessment bei chronischer Nierenkrankheit und Frailty</w:t>
      </w:r>
    </w:p>
    <w:p>
      <w:r>
        <w:rPr>
          <w:i/>
          <w:color w:val="666666"/>
          <w:sz w:val="18"/>
        </w:rPr>
        <w:t>Nixon AC  ·  Kidney Int  ·  Okt. 2026  ·  PMID 42760022</w:t>
      </w:r>
    </w:p>
    <w:p>
      <w:r>
        <w:t>Kommentararbeit zur GOAL-Studie, die überprüfte, ob eine einzige geriatrische Konsultation ältere Patienten mit chronischer Nierenkrankheit und Frailty in ihren Behandlungszielen hilft.</w:t>
      </w:r>
    </w:p>
    <w:p>
      <w:r>
        <w:rPr>
          <w:b/>
        </w:rPr>
        <w:t xml:space="preserve">Ergebnis: </w:t>
      </w:r>
      <w:r>
        <w:t>Die Studie fand keine signifikante Verbesserung der Zielerreichung durch ein Konsultationsmodell. Personenzentrierte Versorgungsmodelle außerhalb von Einzelterminen und fortlaufende Neubewertung erfordern weitere Evaluierung.</w:t>
      </w:r>
    </w:p>
    <w:p>
      <w:r>
        <w:rPr>
          <w:b/>
          <w:sz w:val="19"/>
        </w:rPr>
        <w:t xml:space="preserve">Übertragbarkeit: </w:t>
      </w:r>
      <w:r>
        <w:rPr>
          <w:sz w:val="19"/>
        </w:rPr>
        <w:t>UK-Gesundheitssystem, Design auf europäische Versorgungsstrukturen übertragbar</w:t>
      </w:r>
    </w:p>
    <w:p>
      <w:r>
        <w:rPr>
          <w:color w:val="5A7D3A"/>
          <w:sz w:val="18"/>
        </w:rPr>
        <w:t>https://pubmed.ncbi.nlm.nih.gov/42760022/</w:t>
      </w:r>
    </w:p>
    <w:p>
      <w:pPr>
        <w:pStyle w:val="Heading2"/>
      </w:pPr>
      <w:r>
        <w:t>Verständnis von Frailty bei Kindern mit chronischer Nierenkrankheit</w:t>
      </w:r>
    </w:p>
    <w:p>
      <w:r>
        <w:rPr>
          <w:i/>
          <w:color w:val="666666"/>
          <w:sz w:val="18"/>
        </w:rPr>
        <w:t>Guha C et al.  ·  Kidney Int  ·  Okt. 2026  ·  PMID 42760016</w:t>
      </w:r>
    </w:p>
    <w:p>
      <w:r>
        <w:t>Qualitatives Perspektivwerk auf Frailty im Kindesalter bei chronischer Nierenkrankheit – Interpretation als Verlust von Entwicklungspotenzial statt funktionellem Rückgang im Gegensatz zu Frailty bei Älteren.</w:t>
      </w:r>
    </w:p>
    <w:p>
      <w:r>
        <w:rPr>
          <w:b/>
        </w:rPr>
        <w:t xml:space="preserve">Ergebnis: </w:t>
      </w:r>
      <w:r>
        <w:t>Zentrale Befunde: (1) Frailty bei Kindern ist (anders als bei Älteren) oft reversibel; (2) Frühe Identifikation durch altersgerechte Screening ermöglicht multidisziplinäre Intervention; (3) Kritisches Fenster zur Maximierung von Wachstum, Resilienz und Lebensfunktion in der Kindheit.</w:t>
      </w:r>
    </w:p>
    <w:p>
      <w:r>
        <w:rPr>
          <w:b/>
          <w:sz w:val="19"/>
        </w:rPr>
        <w:t xml:space="preserve">Übertragbarkeit: </w:t>
      </w:r>
      <w:r>
        <w:rPr>
          <w:sz w:val="19"/>
        </w:rPr>
        <w:t>Internationale Perspektive auf Frailty-Definition und Versorgungsmodelle, anwendbar auf deutsches Versorgungssystem</w:t>
      </w:r>
    </w:p>
    <w:p>
      <w:r>
        <w:rPr>
          <w:color w:val="5A7D3A"/>
          <w:sz w:val="18"/>
        </w:rPr>
        <w:t>https://pubmed.ncbi.nlm.nih.gov/42760016/</w:t>
      </w:r>
    </w:p>
    <w:p>
      <w:pPr>
        <w:pStyle w:val="Heading2"/>
      </w:pPr>
      <w:r>
        <w:t>Frailty-Index für Mortalitätsprognose nach Schlaganfall in kritischer Versorgung</w:t>
      </w:r>
    </w:p>
    <w:p>
      <w:r>
        <w:rPr>
          <w:i/>
          <w:color w:val="666666"/>
          <w:sz w:val="18"/>
        </w:rPr>
        <w:t>Gu G et al.  ·  Front Neurol  ·  03.09.2026  ·  PMID 42756253</w:t>
      </w:r>
    </w:p>
    <w:p>
      <w:r>
        <w:t>Verwendung eines laborgestützten Frailty-Index (FI-Lab) zur Vorhersage der 90-Tage-Mortalität nach akutem ischämischen Schlaganfall in der Intensivmedizin mit temporaler Validierung.</w:t>
      </w:r>
    </w:p>
    <w:p>
      <w:r>
        <w:rPr>
          <w:b/>
        </w:rPr>
        <w:t xml:space="preserve">Ergebnis: </w:t>
      </w:r>
      <w:r>
        <w:t>3.186 Patienten beim 24-h-Zeitpunkt (559 Todesfälle): FI-Lab verbesserte AUC von 0,774 auf 0,808 (Differenz 0,034, 95% CI 0,022–0,047; p&lt;0,001) und Brier-Score von 0,162 auf 0,152. Beim 72-h-Punkt: 2.918 Patienten (473 Ereignisse), AUC 0,752 → 0,791 mit FI-Lab.</w:t>
      </w:r>
    </w:p>
    <w:p>
      <w:r>
        <w:rPr>
          <w:b/>
          <w:sz w:val="19"/>
        </w:rPr>
        <w:t xml:space="preserve">Übertragbarkeit: </w:t>
      </w:r>
      <w:r>
        <w:rPr>
          <w:sz w:val="19"/>
        </w:rPr>
        <w:t>MIMIC-IV-Datenbank, generalisierbare ICU-Frailty-Messung, externe Validierung ausstehend</w:t>
      </w:r>
    </w:p>
    <w:p>
      <w:r>
        <w:rPr>
          <w:color w:val="5A7D3A"/>
          <w:sz w:val="18"/>
        </w:rPr>
        <w:t>https://pubmed.ncbi.nlm.nih.gov/42756253/</w:t>
      </w:r>
    </w:p>
    <w:p>
      <w:pPr>
        <w:pStyle w:val="Heading2"/>
      </w:pPr>
      <w:r>
        <w:t>Selbstmitgefühl und Selbstwirksamkeit bei Älteren: Lebenqualität und Gesundheitsverhalten</w:t>
      </w:r>
    </w:p>
    <w:p>
      <w:r>
        <w:rPr>
          <w:i/>
          <w:color w:val="666666"/>
          <w:sz w:val="18"/>
        </w:rPr>
        <w:t>Mullins D et al.  ·  J Psychiatr Res  ·  06.05.2026  ·  PMID 42731903</w:t>
      </w:r>
    </w:p>
    <w:p>
      <w:r>
        <w:t>Querschnittsuntersuchung von 179 Bewohnern der Gemeinde (≥65 Jahre) zur Assoziation von Selbstmitgefühl, Selbstwirksamkeit und posturalem Bewusstsein mit Schmerz, Lebensstilverhalten und Lebensqualität.</w:t>
      </w:r>
    </w:p>
    <w:p>
      <w:r>
        <w:rPr>
          <w:b/>
        </w:rPr>
        <w:t xml:space="preserve">Ergebnis: </w:t>
      </w:r>
      <w:r>
        <w:t>Selbstwirksamkeit war stärkster Prädiktor für Lebensqualität (β=0,340, p&lt;0,05) und Lebensstilverhalten (R²=0,21–0,40 aller Subdomänen). Selbstmitgefühl stärkstes Prädiktor für Ernährung (β=0,436). Gesamtmodell Lebensqualität: 61,4% Varianzaufklärung (R²=0,614).</w:t>
      </w:r>
    </w:p>
    <w:p>
      <w:r>
        <w:rPr>
          <w:b/>
          <w:sz w:val="19"/>
        </w:rPr>
        <w:t xml:space="preserve">Übertragbarkeit: </w:t>
      </w:r>
      <w:r>
        <w:rPr>
          <w:sz w:val="19"/>
        </w:rPr>
        <w:t>Türkei, psychosoziale Faktoren kulturneutral, Messparameter international validiert</w:t>
      </w:r>
    </w:p>
    <w:p>
      <w:r>
        <w:rPr>
          <w:color w:val="5A7D3A"/>
          <w:sz w:val="18"/>
        </w:rPr>
        <w:t>https://pubmed.ncbi.nlm.nih.gov/42731903/</w:t>
      </w:r>
    </w:p>
    <w:p>
      <w:pPr>
        <w:pStyle w:val="Heading2"/>
      </w:pPr>
      <w:r>
        <w:t>Krankheitslast bei Multipler Sklerose in Italien 1990–2023</w:t>
      </w:r>
    </w:p>
    <w:p>
      <w:r>
        <w:rPr>
          <w:i/>
          <w:color w:val="666666"/>
          <w:sz w:val="18"/>
        </w:rPr>
        <w:t>Brigo F et al.  ·  Mult Scler Relat Disord  ·  28.08.2026  ·  PMID 42664643</w:t>
      </w:r>
    </w:p>
    <w:p>
      <w:r>
        <w:t>Analyse der zeitlichen Trends und regionalen Unterschiede in der Morbidität (Behinderung versus Sterblichkeit) von MS in Italien mittels Global-Burden-of-Disease-Daten.</w:t>
      </w:r>
    </w:p>
    <w:p>
      <w:r>
        <w:rPr>
          <w:b/>
        </w:rPr>
        <w:t xml:space="preserve">Ergebnis: </w:t>
      </w:r>
      <w:r>
        <w:t>MS-Krankheitslast stieg in allen Regionen; Verschiebung von Sterblichkeit zu Behinderung: YLL/YLD-Ratio sank überall, mit steilstem Anstieg in Sardinien und Süd+Sizilien. Höhere DALY-Raten in allen Regionen bei Frauen und Männern.</w:t>
      </w:r>
    </w:p>
    <w:p>
      <w:r>
        <w:rPr>
          <w:b/>
          <w:sz w:val="19"/>
        </w:rPr>
        <w:t xml:space="preserve">Übertragbarkeit: </w:t>
      </w:r>
      <w:r>
        <w:rPr>
          <w:sz w:val="19"/>
        </w:rPr>
        <w:t>Italien, vergleichbares europäisches Gesundheitssystem und Versorgungsinfrastruktur</w:t>
      </w:r>
    </w:p>
    <w:p>
      <w:r>
        <w:rPr>
          <w:color w:val="5A7D3A"/>
          <w:sz w:val="18"/>
        </w:rPr>
        <w:t>https://pubmed.ncbi.nlm.nih.gov/42664643/</w:t>
      </w:r>
    </w:p>
    <w:p>
      <w:pPr>
        <w:pStyle w:val="Heading2"/>
      </w:pPr>
      <w:r>
        <w:t>Geschlechtsspezifische Altersuhren und Stoffwechselveränderungen in Bevölkerungsphenome</w:t>
      </w:r>
    </w:p>
    <w:p>
      <w:r>
        <w:rPr>
          <w:i/>
          <w:color w:val="666666"/>
          <w:sz w:val="18"/>
        </w:rPr>
        <w:t>Li J et al.  ·  Nat Aging  ·  25.08.2026  ·  PMID 42642518</w:t>
      </w:r>
    </w:p>
    <w:p>
      <w:r>
        <w:t>Entwicklung und Validierung von Altersuhren (klinische und biologische Marker) in &gt;100.000 Chinesen (18–98 Jahre) mit Analyse von Geschlechtsunterschieden und modifizierbaren metabolischen Faktoren.</w:t>
      </w:r>
    </w:p>
    <w:p>
      <w:r>
        <w:rPr>
          <w:b/>
        </w:rPr>
        <w:t xml:space="preserve">Ergebnis: </w:t>
      </w:r>
      <w:r>
        <w:t>Divergente Alterungstrajektorien Männer vs. Frauen in mittlerem Alter konvergierten später. Akkumulation von Cholesterin, Triglyzeriden, Glukose, Harnsäure und Tumormalkeuren mit dem Altern. High-Fat-Diet-Reversierung zeigte Modifizierbarkeit metabolischer Belastung.</w:t>
      </w:r>
    </w:p>
    <w:p>
      <w:r>
        <w:rPr>
          <w:b/>
          <w:sz w:val="19"/>
        </w:rPr>
        <w:t xml:space="preserve">Übertragbarkeit: </w:t>
      </w:r>
      <w:r>
        <w:rPr>
          <w:sz w:val="19"/>
        </w:rPr>
        <w:t>China, große Kohorte, metabolische Befunde altersunabhängig übertragbar auf deutsches Setting</w:t>
      </w:r>
    </w:p>
    <w:p>
      <w:r>
        <w:rPr>
          <w:color w:val="5A7D3A"/>
          <w:sz w:val="18"/>
        </w:rPr>
        <w:t>https://pubmed.ncbi.nlm.nih.gov/42642518/</w:t>
      </w:r>
    </w:p>
    <w:p>
      <w:pPr>
        <w:pStyle w:val="Heading2"/>
      </w:pPr>
      <w:r>
        <w:t>Gewonnene Lebensjahre bei zufällig entdecktem Prostatakarzinom</w:t>
      </w:r>
    </w:p>
    <w:p>
      <w:r>
        <w:rPr>
          <w:i/>
          <w:color w:val="666666"/>
          <w:sz w:val="18"/>
        </w:rPr>
        <w:t>Falkenbach F et al.  ·  Prostate  ·  08.07.2026  ·  PMID 42418725</w:t>
      </w:r>
    </w:p>
    <w:p>
      <w:r>
        <w:t>Berechnung der verlorenen Lebensjahre (YLL) bei zufällig entdecktem Prostatakarzinom mittels SEER-Daten 2004–2021 und Vergleich mit bevölkerungsgestützten Überlebensstudien.</w:t>
      </w:r>
    </w:p>
    <w:p>
      <w:r>
        <w:rPr>
          <w:b/>
        </w:rPr>
        <w:t xml:space="preserve">Ergebnis: </w:t>
      </w:r>
      <w:r>
        <w:t>7.324 Patienten; Unterschied zu Bevölkerungskontroll: 0,23 verlorene Jahre (p&lt;0,001). Ohne Behandlung: 0,25 YLL; mit Behandlung: 0,18 YLL. Gleason 8–10 + T1b ohne Therapie: 3,02 YLL; Gleason ≤7 + T1a mit Therapie: keine signifikanten YLL.</w:t>
      </w:r>
    </w:p>
    <w:p>
      <w:r>
        <w:rPr>
          <w:b/>
          <w:sz w:val="19"/>
        </w:rPr>
        <w:t xml:space="preserve">Übertragbarkeit: </w:t>
      </w:r>
      <w:r>
        <w:rPr>
          <w:sz w:val="19"/>
        </w:rPr>
        <w:t>USA, SEER-Register, Unterschiede in Lebenserwartung und Behandlungsindikationen beachten</w:t>
      </w:r>
    </w:p>
    <w:p>
      <w:r>
        <w:rPr>
          <w:color w:val="5A7D3A"/>
          <w:sz w:val="18"/>
        </w:rPr>
        <w:t>https://pubmed.ncbi.nlm.nih.gov/42418725/</w:t>
      </w:r>
    </w:p>
    <w:p>
      <w:pPr>
        <w:pStyle w:val="Heading1"/>
      </w:pPr>
      <w:r>
        <w:t>Aufgenommen am 18.09.2026</w:t>
      </w:r>
    </w:p>
    <w:p>
      <w:pPr>
        <w:pStyle w:val="Heading2"/>
      </w:pPr>
      <w:r>
        <w:t>Kontrolltheorie des Alterns beschreibt sichere Dosierung und Sequenzierung geriatrischer Interventionen</w:t>
      </w:r>
    </w:p>
    <w:p>
      <w:r>
        <w:rPr>
          <w:i/>
          <w:color w:val="666666"/>
          <w:sz w:val="18"/>
        </w:rPr>
        <w:t>Zhavoronkov A et al.  ·  Aging (Albany NY)  ·  16.09.2026  ·  PMID 42754269</w:t>
      </w:r>
    </w:p>
    <w:p>
      <w:r>
        <w:t>Theoriearbeit entwickelt kontrolltheoretisches Rahmenwerk, das Altern als Verlust sicherer Kontrollierbarkeit definiert und präskriptive Dosierungs- und Sequenzierungsprotokolle für Geroprotektoren vorhersagt.</w:t>
      </w:r>
    </w:p>
    <w:p>
      <w:r>
        <w:rPr>
          <w:b/>
        </w:rPr>
        <w:t xml:space="preserve">Ergebnis: </w:t>
      </w:r>
      <w:r>
        <w:t>Biologisches Alter = minimale sichere Kontrollkosten für funktionale Wiederherstellung. Lie-Bracket-Analyse von 5-ODE-Modell zeigt Interventionsreihenfolge entscheidend. 20 falsfizierbare Vorhersagen; Kontrollwert-Reduktion prognostiziert translationalen Erfolg besser als Biomarker-Umkehr.</w:t>
      </w:r>
    </w:p>
    <w:p>
      <w:r>
        <w:rPr>
          <w:b/>
          <w:sz w:val="19"/>
        </w:rPr>
        <w:t xml:space="preserve">Übertragbarkeit: </w:t>
      </w:r>
      <w:r>
        <w:rPr>
          <w:sz w:val="19"/>
        </w:rPr>
        <w:t>Konzeptuelle, nicht-empirische Arbeit; Übertragbarkeit hängt von Validierung in Patientenkohorten ab</w:t>
      </w:r>
    </w:p>
    <w:p>
      <w:r>
        <w:rPr>
          <w:color w:val="5A7D3A"/>
          <w:sz w:val="18"/>
        </w:rPr>
        <w:t>https://pubmed.ncbi.nlm.nih.gov/42754269/</w:t>
      </w:r>
    </w:p>
    <w:p>
      <w:pPr>
        <w:pStyle w:val="Heading2"/>
      </w:pPr>
      <w:r>
        <w:t>Computer- und Smartphone-Nutzung reduzieren Frailty bei älteren Erwachsenen</w:t>
      </w:r>
    </w:p>
    <w:p>
      <w:r>
        <w:rPr>
          <w:i/>
          <w:color w:val="666666"/>
          <w:sz w:val="18"/>
        </w:rPr>
        <w:t>Hori N et al.  ·  Geriatr Gerontol Int  ·  Sept. 2026  ·  PMID 42753144</w:t>
      </w:r>
    </w:p>
    <w:p>
      <w:r>
        <w:t>Querschnittsstudie untersuchte, ob Gesundheitsinformationen über Computer und Smartphone mit Frailty assoziiert sind, gemessen durch Mediation über Health Literacy bei 451 älteren Menschen.</w:t>
      </w:r>
    </w:p>
    <w:p>
      <w:r>
        <w:rPr>
          <w:b/>
        </w:rPr>
        <w:t xml:space="preserve">Ergebnis: </w:t>
      </w:r>
      <w:r>
        <w:t>33,8 % nutzten Computer/Smartphone für Gesundheitsinformation. Frailty-Prävalenz 3,5 %. Mediation über Health Literacy signifikant: β = 0,323 (95%-KI: 0,084–0,698). Keine Assoziation mit nur Robustness vs. Präfrailty.</w:t>
      </w:r>
    </w:p>
    <w:p>
      <w:r>
        <w:rPr>
          <w:b/>
          <w:sz w:val="19"/>
        </w:rPr>
        <w:t xml:space="preserve">Übertragbarkeit: </w:t>
      </w:r>
      <w:r>
        <w:rPr>
          <w:sz w:val="19"/>
        </w:rPr>
        <w:t>Japan, vergleichbar mit deutschem Gesundheitswesen; einfacher Screening-Tool</w:t>
      </w:r>
    </w:p>
    <w:p>
      <w:r>
        <w:rPr>
          <w:color w:val="5A7D3A"/>
          <w:sz w:val="18"/>
        </w:rPr>
        <w:t>https://pubmed.ncbi.nlm.nih.gov/42753144/</w:t>
      </w:r>
    </w:p>
    <w:p>
      <w:pPr>
        <w:pStyle w:val="Heading2"/>
      </w:pPr>
      <w:r>
        <w:t>Frailty und Ernährungsstatus prägen Überleben älter Brustkrebspatientinnen</w:t>
      </w:r>
    </w:p>
    <w:p>
      <w:r>
        <w:rPr>
          <w:i/>
          <w:color w:val="666666"/>
          <w:sz w:val="18"/>
        </w:rPr>
        <w:t>Yang X et al.  ·  Cancer Med  ·  Sept. 2026  ·  PMID 42745681</w:t>
      </w:r>
    </w:p>
    <w:p>
      <w:r>
        <w:t>Retrospektive Studie entwickelte FINE Index (Frailty, Immunonutrition, TNM-Stadium) zur Vorhersage des Gesamtüberlebens bei 1.621 älteren Brustkrebspatientinnen (training n=1.132, validation n=489).</w:t>
      </w:r>
    </w:p>
    <w:p>
      <w:r>
        <w:rPr>
          <w:b/>
        </w:rPr>
        <w:t xml:space="preserve">Ergebnis: </w:t>
      </w:r>
      <w:r>
        <w:t>C-Index 0,767 (training), 0,739 (intern validation), 0,731 (extern validation). 3-, 5-, 10-Jahr-AUC &gt;0,7. Unabhängige Prädiktoren: Alter, PNI, TNM, mFI-5, Endokrintherapie. Besser als TNM allein.</w:t>
      </w:r>
    </w:p>
    <w:p>
      <w:r>
        <w:rPr>
          <w:b/>
          <w:sz w:val="19"/>
        </w:rPr>
        <w:t xml:space="preserve">Übertragbarkeit: </w:t>
      </w:r>
      <w:r>
        <w:rPr>
          <w:sz w:val="19"/>
        </w:rPr>
        <w:t>China (West-China Hospital), deutsche Kliniken nutzen ähnliche Frailty-Indices</w:t>
      </w:r>
    </w:p>
    <w:p>
      <w:r>
        <w:rPr>
          <w:color w:val="5A7D3A"/>
          <w:sz w:val="18"/>
        </w:rPr>
        <w:t>https://pubmed.ncbi.nlm.nih.gov/42745681/</w:t>
      </w:r>
    </w:p>
    <w:p>
      <w:pPr>
        <w:pStyle w:val="Heading2"/>
      </w:pPr>
      <w:r>
        <w:t>Orale Frailty korreliert mit BMI nur bei Sarkopenie-Risiko</w:t>
      </w:r>
    </w:p>
    <w:p>
      <w:r>
        <w:rPr>
          <w:i/>
          <w:color w:val="666666"/>
          <w:sz w:val="18"/>
        </w:rPr>
        <w:t>Hayase M et al.  ·  Nutrients  ·  28.08.2026  ·  PMID 42739007</w:t>
      </w:r>
    </w:p>
    <w:p>
      <w:r>
        <w:t>Querschnittstudie mit 3.829 älteren Japanern untersuchte Assoziation zwischen oraler Frailty und BMI-Kategorien, stratifiziert nach Sarkopenie-Status.</w:t>
      </w:r>
    </w:p>
    <w:p>
      <w:r>
        <w:rPr>
          <w:b/>
        </w:rPr>
        <w:t xml:space="preserve">Ergebnis: </w:t>
      </w:r>
      <w:r>
        <w:t>In Sarkopenie-Risikogruppe: Übergewicht OR 1,73 (95%-KI: 1,09–2,73), Untergewicht OR 1,44 (95%-KI: 1,07–1,95). Nicht-Sarkopenie-Gruppe: keine signifikante Assoziation.</w:t>
      </w:r>
    </w:p>
    <w:p>
      <w:r>
        <w:rPr>
          <w:b/>
          <w:sz w:val="19"/>
        </w:rPr>
        <w:t xml:space="preserve">Übertragbarkeit: </w:t>
      </w:r>
      <w:r>
        <w:rPr>
          <w:sz w:val="19"/>
        </w:rPr>
        <w:t>Japan, 80-Jährige; Frailty-Phenotyp mit praktischem Screening-Tool</w:t>
      </w:r>
    </w:p>
    <w:p>
      <w:r>
        <w:rPr>
          <w:color w:val="5A7D3A"/>
          <w:sz w:val="18"/>
        </w:rPr>
        <w:t>https://pubmed.ncbi.nlm.nih.gov/42739007/</w:t>
      </w:r>
    </w:p>
    <w:p>
      <w:pPr>
        <w:pStyle w:val="Heading2"/>
      </w:pPr>
      <w:r>
        <w:t>Funktionales Gehirnalter erfasst Heterogenität in Schizophrenien besser als strukturelle Parameter</w:t>
      </w:r>
    </w:p>
    <w:p>
      <w:r>
        <w:rPr>
          <w:i/>
          <w:color w:val="666666"/>
          <w:sz w:val="18"/>
        </w:rPr>
        <w:t>Volkmer S et al.  ·  Transl Psychiatry  ·  04.09.2026  ·  PMID 42697895</w:t>
      </w:r>
    </w:p>
    <w:p>
      <w:r>
        <w:t>Validierungsstudie untersuchte resting-state funktionales Gehirnalter (brain-age gap, BAG) bei Schizophreniespektrum-Störungen in vier Kohorten; innerhalb SSD assoziiert jüngeres Gehirnalter mit schlechterer Kognition.</w:t>
      </w:r>
    </w:p>
    <w:p>
      <w:r>
        <w:rPr>
          <w:b/>
        </w:rPr>
        <w:t xml:space="preserve">Ergebnis: </w:t>
      </w:r>
      <w:r>
        <w:t>SSD zeigte group-level BAG-Elevation 0,4–0,6. Innerhalb SSD: jüngeres Gehirnalter korreliert mit niedrigerer Kognition, längerer Krankheitsdauer, höheren neurologischen soft signs (NSS). Über 12–24 Wochen: BAG-Zunahme mit NSS-Motor-Reduktion assoziiert.</w:t>
      </w:r>
    </w:p>
    <w:p>
      <w:r>
        <w:rPr>
          <w:b/>
          <w:sz w:val="19"/>
        </w:rPr>
        <w:t xml:space="preserve">Übertragbarkeit: </w:t>
      </w:r>
      <w:r>
        <w:rPr>
          <w:sz w:val="19"/>
        </w:rPr>
        <w:t>Deutschland und Schweiz, multizentrisches Design; Biomarker vorhersagewert offen</w:t>
      </w:r>
    </w:p>
    <w:p>
      <w:r>
        <w:rPr>
          <w:color w:val="5A7D3A"/>
          <w:sz w:val="18"/>
        </w:rPr>
        <w:t>https://pubmed.ncbi.nlm.nih.gov/42697895/</w:t>
      </w:r>
    </w:p>
    <w:p>
      <w:pPr>
        <w:pStyle w:val="Heading2"/>
      </w:pPr>
      <w:r>
        <w:t>Wahrnehmung des Alterns bei Männern 2013–2023 stabil trotz Gesundheitsbewusstsein</w:t>
      </w:r>
    </w:p>
    <w:p>
      <w:r>
        <w:rPr>
          <w:i/>
          <w:color w:val="666666"/>
          <w:sz w:val="18"/>
        </w:rPr>
        <w:t>Bejda G et al.  ·  Adv Clin Exp Med  ·  Aug. 2026  ·  PMID 42543032</w:t>
      </w:r>
    </w:p>
    <w:p>
      <w:r>
        <w:t>Vergleichende Querschnittstudie an 2013 und 2023 hospitalisierten Männern aus Polen untersuchte Veränderungen in Alterswahrnehmung und Gesundheitsverhalten mittels standardisierter Instrumente.</w:t>
      </w:r>
    </w:p>
    <w:p>
      <w:r>
        <w:rPr>
          <w:b/>
        </w:rPr>
        <w:t xml:space="preserve">Ergebnis: </w:t>
      </w:r>
      <w:r>
        <w:t>80,5 % (2013) vs. 75,9 % (2023) mit psychischen Alterssymptomen. Sexuelle Dysfunktion 65,8 % vs. 63,3 %. Testosterone-Abnahme als Altersmerkmal erwartet. Hohe Selbstwirksamkeit in beiden Kohorten. Unzureichendes Alterswissen bleibt.</w:t>
      </w:r>
    </w:p>
    <w:p>
      <w:r>
        <w:rPr>
          <w:b/>
          <w:sz w:val="19"/>
        </w:rPr>
        <w:t xml:space="preserve">Übertragbarkeit: </w:t>
      </w:r>
      <w:r>
        <w:rPr>
          <w:sz w:val="19"/>
        </w:rPr>
        <w:t>Polen (Podlaskie), verwandter Sozialversicherungskontext</w:t>
      </w:r>
    </w:p>
    <w:p>
      <w:r>
        <w:rPr>
          <w:color w:val="5A7D3A"/>
          <w:sz w:val="18"/>
        </w:rPr>
        <w:t>https://pubmed.ncbi.nlm.nih.gov/42543032/</w:t>
      </w:r>
    </w:p>
    <w:p>
      <w:pPr>
        <w:pStyle w:val="Heading1"/>
      </w:pPr>
      <w:r>
        <w:t>Aufgenommen am 17.09.2026</w:t>
      </w:r>
    </w:p>
    <w:p>
      <w:pPr>
        <w:pStyle w:val="Heading2"/>
      </w:pPr>
      <w:r>
        <w:t>Frailty-Index (mFI-5) vorhersagekräftig für Komplikationen nach Amputation</w:t>
      </w:r>
    </w:p>
    <w:p>
      <w:r>
        <w:rPr>
          <w:i/>
          <w:color w:val="666666"/>
          <w:sz w:val="18"/>
        </w:rPr>
        <w:t>Ichikawa T et al.  ·  Eur J Orthop Surg Traumatol  ·  16.09.2026  ·  PMID 42747548</w:t>
      </w:r>
    </w:p>
    <w:p>
      <w:r>
        <w:t>USA-Traumakohorte (n=1.122, ≥18 Jahre, offene Unterschenkelbrüche mit Amputation; 2017–2021) zur Prognose von 30-Tage-Komplikationen via 5-Item Modified Frailty Index.</w:t>
      </w:r>
    </w:p>
    <w:p>
      <w:r>
        <w:rPr>
          <w:b/>
        </w:rPr>
        <w:t xml:space="preserve">Ergebnis: </w:t>
      </w:r>
      <w:r>
        <w:t>Pro Punkt mFI-5-Erhöhung: signifikant gestiegene Odds für Wundinfekt (OR 1,36), zerebrovaskuläres Ereignis (OR 2,93), Reintubation (OR 2,17), ICU-Aufnahme (OR 1,56) und Druckgeschwür (OR 1,68). mFI-5 unabhängiger Prädiktor nach Adjustierung für Alter, Geschlecht, ISS und andere Faktoren. Routinescreening empfohlen für Risikostratifizierung.</w:t>
      </w:r>
    </w:p>
    <w:p>
      <w:r>
        <w:rPr>
          <w:b/>
          <w:sz w:val="19"/>
        </w:rPr>
        <w:t xml:space="preserve">Übertragbarkeit: </w:t>
      </w:r>
      <w:r>
        <w:rPr>
          <w:sz w:val="19"/>
        </w:rPr>
        <w:t>USA-Traumasystem, aber Frailty-Assessment-Tool und Komplikationsdefinitionen international etabliert.</w:t>
      </w:r>
    </w:p>
    <w:p>
      <w:r>
        <w:rPr>
          <w:color w:val="5A7D3A"/>
          <w:sz w:val="18"/>
        </w:rPr>
        <w:t>https://pubmed.ncbi.nlm.nih.gov/42747548/</w:t>
      </w:r>
    </w:p>
    <w:p>
      <w:pPr>
        <w:pStyle w:val="Heading2"/>
      </w:pPr>
      <w:r>
        <w:t>Soziale Entfremdung bei kognitiver Gebrechlichkeit: Vier Subgruppen älterer Erwachsener</w:t>
      </w:r>
    </w:p>
    <w:p>
      <w:r>
        <w:rPr>
          <w:i/>
          <w:color w:val="666666"/>
          <w:sz w:val="18"/>
        </w:rPr>
        <w:t>Zhao S et al.  ·  Front Public Health  ·  01.09.2026  ·  PMID 42745907</w:t>
      </w:r>
    </w:p>
    <w:p>
      <w:r>
        <w:t>Chinesische Querschnittstudie (n=968, ≥60 Jahre, mit kognitiver Frailty) mittels latenter Profilanalyse zur Heterogenität sozialer Entfremdung.</w:t>
      </w:r>
    </w:p>
    <w:p>
      <w:r>
        <w:rPr>
          <w:b/>
        </w:rPr>
        <w:t xml:space="preserve">Ergebnis: </w:t>
      </w:r>
      <w:r>
        <w:t>Vier distinkte Profile identifiziert: „Soziale Anpassung</w:t>
      </w:r>
    </w:p>
    <w:p>
      <w:r>
        <w:rPr>
          <w:b/>
          <w:sz w:val="19"/>
        </w:rPr>
        <w:t xml:space="preserve">Übertragbarkeit: </w:t>
      </w:r>
      <w:r>
        <w:rPr>
          <w:sz w:val="19"/>
        </w:rPr>
        <w:t>China – andere Altersstruktur, aber relevante Versorgungsfrage zur kognitiven Frailty.</w:t>
      </w:r>
    </w:p>
    <w:p>
      <w:r>
        <w:rPr>
          <w:color w:val="5A7D3A"/>
          <w:sz w:val="18"/>
        </w:rPr>
        <w:t>https://pubmed.ncbi.nlm.nih.gov/42745907/</w:t>
      </w:r>
    </w:p>
    <w:p>
      <w:pPr>
        <w:pStyle w:val="Heading2"/>
      </w:pPr>
      <w:r>
        <w:t>Freiwillige Krankenversicherung senkt Frailty-Onset bei europäischen Älteren</w:t>
      </w:r>
    </w:p>
    <w:p>
      <w:r>
        <w:rPr>
          <w:i/>
          <w:color w:val="666666"/>
          <w:sz w:val="18"/>
        </w:rPr>
        <w:t>Sorrentino M et al.  ·  Front Public Health  ·  01.09.2026  ·  PMID 42745813</w:t>
      </w:r>
    </w:p>
    <w:p>
      <w:r>
        <w:t>Europäische Längsschnittstudie (SHARE 2013–2022, n=191.848, ≥50 Jahre) zur Assoziation zwischen freiwilliger Zusatzversicherung (VHI) und Frailty-Progression.</w:t>
      </w:r>
    </w:p>
    <w:p>
      <w:r>
        <w:rPr>
          <w:b/>
        </w:rPr>
        <w:t xml:space="preserve">Ergebnis: </w:t>
      </w:r>
      <w:r>
        <w:t>VHI mit niedrigeren Frailty-Scores assoziiert (Koeff. −0,056; 95%-KI −0,071 bis −0,041), stärkster Effekt in niedrigstem Einkommensquartil. Reduziertes Frailty-Onset-Risiko unter VHI (HR 0,862; 95%-KI 0,763–0,973), besonders in Spanien (HR 0,626). Allerdings: VHI könnte als Out-of-Pocket-Ausgabe Ungleichheiten verstärken.</w:t>
      </w:r>
    </w:p>
    <w:p>
      <w:r>
        <w:rPr>
          <w:b/>
          <w:sz w:val="19"/>
        </w:rPr>
        <w:t xml:space="preserve">Übertragbarkeit: </w:t>
      </w:r>
      <w:r>
        <w:rPr>
          <w:sz w:val="19"/>
        </w:rPr>
        <w:t>Europäische SHARE-Daten, vergleichbare Sozialsysteme, direkt auf deutsche Sozialversicherung übertragbar.</w:t>
      </w:r>
    </w:p>
    <w:p>
      <w:r>
        <w:rPr>
          <w:color w:val="5A7D3A"/>
          <w:sz w:val="18"/>
        </w:rPr>
        <w:t>https://pubmed.ncbi.nlm.nih.gov/42745813/</w:t>
      </w:r>
    </w:p>
    <w:p>
      <w:pPr>
        <w:pStyle w:val="Heading2"/>
      </w:pPr>
      <w:r>
        <w:t>Determinanten der Lebenserwartung in der EU: Präventive Mortalität geht über Wohlstand hinaus</w:t>
      </w:r>
    </w:p>
    <w:p>
      <w:r>
        <w:rPr>
          <w:i/>
          <w:color w:val="666666"/>
          <w:sz w:val="18"/>
        </w:rPr>
        <w:t>Antohi VM et al.  ·  Inquiry  ·  16.09.2026  ·  PMID 42745694</w:t>
      </w:r>
    </w:p>
    <w:p>
      <w:r>
        <w:t>Panel-Regressionsanalyse (6 EU-Länder: Rumänien, Bulgarien, Lettland, Deutschland, Italien, Spanien; 2011–2021) zu Effekten wirtschaftlicher, demografischer und Mortalitätsfaktoren auf Lebenserwartung.</w:t>
      </w:r>
    </w:p>
    <w:p>
      <w:r>
        <w:rPr>
          <w:b/>
        </w:rPr>
        <w:t xml:space="preserve">Ergebnis: </w:t>
      </w:r>
      <w:r>
        <w:t>CO₂-Emissionen und Bevölkerungswachstum senken Lebenserwartung (LE) signifikant. BIP pro Kopf, Gesundheitsausgaben, Bildung, Rechtsstaatlichkeit und Regierungseffektivität heben LE – aber nach Kontrolle für Mortalitätsindikatoren sinkt BIP-Effekt. Krude Mortalitätslast und Lebensjahre verloren durch Unfälle zeigen stärkste Assoziationen mit LE. Schlussfolgerung: Nachhaltige LE-Gewinne hängen weniger an Wachstum, mehr an Prävention.</w:t>
      </w:r>
    </w:p>
    <w:p>
      <w:r>
        <w:rPr>
          <w:b/>
          <w:sz w:val="19"/>
        </w:rPr>
        <w:t xml:space="preserve">Übertragbarkeit: </w:t>
      </w:r>
      <w:r>
        <w:rPr>
          <w:sz w:val="19"/>
        </w:rPr>
        <w:t>Deutschland, Italien, Spanien im Sample; europäische Sozialsysteme, direkt vergleichbar.</w:t>
      </w:r>
    </w:p>
    <w:p>
      <w:r>
        <w:rPr>
          <w:color w:val="5A7D3A"/>
          <w:sz w:val="18"/>
        </w:rPr>
        <w:t>https://pubmed.ncbi.nlm.nih.gov/42745694/</w:t>
      </w:r>
    </w:p>
    <w:p>
      <w:pPr>
        <w:pStyle w:val="Heading2"/>
      </w:pPr>
      <w:r>
        <w:t>Körperliche Aktivität puffert alternsbedingte Hippocampus-Veränderungen ab</w:t>
      </w:r>
    </w:p>
    <w:p>
      <w:r>
        <w:rPr>
          <w:i/>
          <w:color w:val="666666"/>
          <w:sz w:val="18"/>
        </w:rPr>
        <w:t>Montero-Herrera B et al.  ·  Hippocampus  ·  Sept. 2026  ·  PMID 42740373</w:t>
      </w:r>
    </w:p>
    <w:p>
      <w:r>
        <w:t>Querschnittsstudie (n=555, 36–90 Jahre, Human Connectome Project-Aging) zur Assoziation von moderater bis vigoroster Aktivität mit Hippocampus-Struktur (Dicke, Oberfläche, mikrostrukturelle T1w/T2w-Ratio).</w:t>
      </w:r>
    </w:p>
    <w:p>
      <w:r>
        <w:rPr>
          <w:b/>
        </w:rPr>
        <w:t xml:space="preserve">Ergebnis: </w:t>
      </w:r>
      <w:r>
        <w:t>Bei niedriger Aktivität (&lt;150 Min/Wo): Alter assoziiert mit diffusen Unterschieden in Hippocampus-Makro- und Mikrostruktur (niedrigere Dicke/Oberfläche, höhere T1w/T2w-Ratio). Moderate bis hohe Aktivität (≥150 Min/Wo) moderiert diese Alterseffekte in linkem Hippocampus signifikant; signifikante Unterschiede in Oberfläche und Ratio bei aktiveren Älteren. Befund deutet auf erhaltene plastische Kapazität hin.</w:t>
      </w:r>
    </w:p>
    <w:p>
      <w:r>
        <w:rPr>
          <w:b/>
          <w:sz w:val="19"/>
        </w:rPr>
        <w:t xml:space="preserve">Übertragbarkeit: </w:t>
      </w:r>
      <w:r>
        <w:rPr>
          <w:sz w:val="19"/>
        </w:rPr>
        <w:t>USA – Neuroimaging-Methodik unabhängig von System; Aktivitätsempfehlung universal anwendbar.</w:t>
      </w:r>
    </w:p>
    <w:p>
      <w:r>
        <w:rPr>
          <w:color w:val="5A7D3A"/>
          <w:sz w:val="18"/>
        </w:rPr>
        <w:t>https://pubmed.ncbi.nlm.nih.gov/42740373/</w:t>
      </w:r>
    </w:p>
    <w:p>
      <w:pPr>
        <w:pStyle w:val="Heading2"/>
      </w:pPr>
      <w:r>
        <w:t>Moralische Verantwortung im Alter: Klimahandeln unter Alltagsbedingungen</w:t>
      </w:r>
    </w:p>
    <w:p>
      <w:r>
        <w:rPr>
          <w:i/>
          <w:color w:val="666666"/>
          <w:sz w:val="18"/>
        </w:rPr>
        <w:t>Grand J  ·  J Aging Stud  ·  29.06.2026  ·  PMID 42705825</w:t>
      </w:r>
    </w:p>
    <w:p>
      <w:r>
        <w:t>Qualitative Studie (Interviews, Fokusgruppen) mit Schweizer Älteren (65–83 Jahre) zu deren Verständnis und Umsetzung von Verantwortung für Klimaschutz im Alltag.</w:t>
      </w:r>
    </w:p>
    <w:p>
      <w:r>
        <w:rPr>
          <w:b/>
        </w:rPr>
        <w:t xml:space="preserve">Ergebnis: </w:t>
      </w:r>
      <w:r>
        <w:t>Ältere Erwachsene verhandeln Klimaverantwortung pragmatisch im Spannungsfeld zwischen persönlicher Handlungsfähigkeit und körperlichen Grenzen des Alterns. Zeitliche Beschränkung und Mobilitätseinbußen prägen Deutung und Umfang ihres Engagements; Fokus liegt auf Haushalt und Familie statt großflächiger Aktivismus. Kernbefund: Spätes Leben restrukturiert, realisiert aber nicht negiert Umweltverantwortung.</w:t>
      </w:r>
    </w:p>
    <w:p>
      <w:r>
        <w:rPr>
          <w:b/>
          <w:sz w:val="19"/>
        </w:rPr>
        <w:t xml:space="preserve">Übertragbarkeit: </w:t>
      </w:r>
      <w:r>
        <w:rPr>
          <w:sz w:val="19"/>
        </w:rPr>
        <w:t>Schweiz, deutschsprachig, Sozialkontext vergleichbar; Erkenntnisse zu älteren Bürgern in Transformationen.</w:t>
      </w:r>
    </w:p>
    <w:p>
      <w:r>
        <w:rPr>
          <w:color w:val="5A7D3A"/>
          <w:sz w:val="18"/>
        </w:rPr>
        <w:t>https://pubmed.ncbi.nlm.nih.gov/42705825/</w:t>
      </w:r>
    </w:p>
    <w:p>
      <w:pPr>
        <w:pStyle w:val="Heading1"/>
      </w:pPr>
      <w:r>
        <w:t>Aufgenommen am 16.09.2026</w:t>
      </w:r>
    </w:p>
    <w:p>
      <w:pPr>
        <w:pStyle w:val="Heading2"/>
      </w:pPr>
      <w:r>
        <w:t>Orale Gebrechlichkeit beeinträchtigt Alltagsfähigkeit durch schlechte Ernährung – Ernährungsstatus vermittelt</w:t>
      </w:r>
    </w:p>
    <w:p>
      <w:r>
        <w:rPr>
          <w:i/>
          <w:color w:val="666666"/>
          <w:sz w:val="18"/>
        </w:rPr>
        <w:t>Jiang W et al.  ·  Front Public Health  ·  31.08.2026  ·  PMID 42741152</w:t>
      </w:r>
    </w:p>
    <w:p>
      <w:r>
        <w:t>Querschnittsstudie mit 401 älteren Chengdu-Bewohnern (≥60 Jahre): untersuchte, ob orale Frailty (Zahnprobleme, Kaustörungen) die Alltagsfunktion beeinträchtigt und ob Malnutritionsrisiko diesen Zusammenhang mediert.</w:t>
      </w:r>
    </w:p>
    <w:p>
      <w:r>
        <w:rPr>
          <w:b/>
        </w:rPr>
        <w:t xml:space="preserve">Ergebnis: </w:t>
      </w:r>
      <w:r>
        <w:t>Orale Frailty korrelierte mit schlecherer Ernährung (B=–0,116; p=0,001) und niedriger ADL-Fähigkeit (Barthel-Index). Der direkte Assoziationseffekt blieb signifikant (B=–2,261; p=0,012), die indirekte Assoziation über Ernährung war klein aber signifikant (indirekt=–0,363; 95%-Bootstrap: –0,798 bis –0,044). Orale Frailty liegt bei 40,9 % vor, Malnutritionsrisiko bei 12,0 %.</w:t>
      </w:r>
    </w:p>
    <w:p>
      <w:r>
        <w:rPr>
          <w:b/>
          <w:sz w:val="19"/>
        </w:rPr>
        <w:t xml:space="preserve">Übertragbarkeit: </w:t>
      </w:r>
      <w:r>
        <w:rPr>
          <w:sz w:val="19"/>
        </w:rPr>
        <w:t>Chinesische Primärversorgung, Instrument ORALFRAIL übertragbar, Modell validierungsbedürftig für Deutschland</w:t>
      </w:r>
    </w:p>
    <w:p>
      <w:r>
        <w:rPr>
          <w:color w:val="5A7D3A"/>
          <w:sz w:val="18"/>
        </w:rPr>
        <w:t>https://pubmed.ncbi.nlm.nih.gov/42741152/</w:t>
      </w:r>
    </w:p>
    <w:p>
      <w:pPr>
        <w:pStyle w:val="Heading2"/>
      </w:pPr>
      <w:r>
        <w:t>Kurzzeitliches Prehab-Training steigert präoperative Funktionsfähigkeit fragiler Prostatapatienten</w:t>
      </w:r>
    </w:p>
    <w:p>
      <w:r>
        <w:rPr>
          <w:i/>
          <w:color w:val="666666"/>
          <w:sz w:val="18"/>
        </w:rPr>
        <w:t>Wang Z et al.  ·  BMC Geriatr  ·  24.07.2026  ·  PMID 42736541</w:t>
      </w:r>
    </w:p>
    <w:p>
      <w:r>
        <w:t>Randomisierte, verblindete Studie mit 80 älteren Männern (≥60 Jahre) mit Prostatakarzinom in prefrail/frail Zustand; geprüft, ob 12-tägiges Home-Prehabilitation (Bewegung, Ernährung, psychische Unterstützung) vor geplanter Prostatektomie die perioperative funktionelle Leistung verbessert.</w:t>
      </w:r>
    </w:p>
    <w:p>
      <w:r>
        <w:rPr>
          <w:b/>
        </w:rPr>
        <w:t xml:space="preserve">Ergebnis: </w:t>
      </w:r>
      <w:r>
        <w:t>Prehab-Gruppe verbesserte 6-Minuten-Gehstrecke um 27,70±16,86 m vor OP, Kontrollgruppe nur um –3,12±3,62 m; Differenz 30,82 m (95%-KI 25,32–36,33; p&lt;0,001). Postoperativ schnellere Mobilisierung, schnellere Magen-Darm-Erholung, kürzere Krankenhausliegedauer. Keine interventionsbezogenen Nebenereignisse.</w:t>
      </w:r>
    </w:p>
    <w:p>
      <w:r>
        <w:rPr>
          <w:b/>
          <w:sz w:val="19"/>
        </w:rPr>
        <w:t xml:space="preserve">Übertragbarkeit: </w:t>
      </w:r>
      <w:r>
        <w:rPr>
          <w:sz w:val="19"/>
        </w:rPr>
        <w:t>Chinesische Klinikdaten, geriatrisches Prähabilitationskonzept übertragbar auf Deutschland</w:t>
      </w:r>
    </w:p>
    <w:p>
      <w:r>
        <w:rPr>
          <w:color w:val="5A7D3A"/>
          <w:sz w:val="18"/>
        </w:rPr>
        <w:t>https://pubmed.ncbi.nlm.nih.gov/42736541/</w:t>
      </w:r>
    </w:p>
    <w:p>
      <w:pPr>
        <w:pStyle w:val="Heading2"/>
      </w:pPr>
      <w:r>
        <w:t>Automatisierter Frailty-Index aus Labortests (FI-Lab) validiert akutes Mortalitätsrisiko</w:t>
      </w:r>
    </w:p>
    <w:p>
      <w:r>
        <w:rPr>
          <w:i/>
          <w:color w:val="666666"/>
          <w:sz w:val="18"/>
        </w:rPr>
        <w:t>Logan Ellis H et al.  ·  PLoS Med  ·  01.09.2026  ·  PMID 42678992</w:t>
      </w:r>
    </w:p>
    <w:p>
      <w:r>
        <w:t>Retrospektive multizentrische Studie an drei Kohorten (Boston, London, UK Biobank; insgesamt 872.744 Patienten), die einen aus 20-40 Standardlabortests berechneten automatisierten Frailty-Index zur Vorhersage der 1-Jahres-Mortalität in der Notaufnahme und klinischen Routine erprobte.</w:t>
      </w:r>
    </w:p>
    <w:p>
      <w:r>
        <w:rPr>
          <w:b/>
        </w:rPr>
        <w:t xml:space="preserve">Ergebnis: </w:t>
      </w:r>
      <w:r>
        <w:t>Der FI-Lab zeigte Hazard Ratios für 1-Jahres-Mortalität von 2,04 (95%-KI [1,99–2,09]) in MIMIC-IV-ED, 2,55 (95%-KI [2,42–2,69]) in King's College Hospital und 1,87 (95%-KI [1,80–1,94]) in UK Biobank pro Standardabweichung Anstieg – und übertraf damit den National Early Warning Score 2. Die Unterscheidungsfähigkeit stabilisierte sich bei 20–40 Tests. Ein pragmatisches, ohne zusätzliche Messungen anwendbares Instrument.</w:t>
      </w:r>
    </w:p>
    <w:p>
      <w:r>
        <w:rPr>
          <w:b/>
          <w:sz w:val="19"/>
        </w:rPr>
        <w:t xml:space="preserve">Übertragbarkeit: </w:t>
      </w:r>
      <w:r>
        <w:rPr>
          <w:sz w:val="19"/>
        </w:rPr>
        <w:t>UK-Klinikdaten, Notaufnahme-Dokumentation übertragbar auf deutsche Krankenhaussysteme</w:t>
      </w:r>
    </w:p>
    <w:p>
      <w:r>
        <w:rPr>
          <w:color w:val="5A7D3A"/>
          <w:sz w:val="18"/>
        </w:rPr>
        <w:t>https://pubmed.ncbi.nlm.nih.gov/42678992/</w:t>
      </w:r>
    </w:p>
    <w:p>
      <w:pPr>
        <w:pStyle w:val="Heading2"/>
      </w:pPr>
      <w:r>
        <w:t>Intrinsic Capacity senkt kardiovaskuläres Risiko durch multidimensionale Funktionsmessung</w:t>
      </w:r>
    </w:p>
    <w:p>
      <w:r>
        <w:rPr>
          <w:i/>
          <w:color w:val="666666"/>
          <w:sz w:val="18"/>
        </w:rPr>
        <w:t>Zhang Z et al.  ·  Maturitas  ·  15.08.2026  ·  PMID 42612584</w:t>
      </w:r>
    </w:p>
    <w:p>
      <w:r>
        <w:t>Gepoolte Analyse dreier Langzeitkohorten (China, England, USA; 13.807 Probanden) untersuchte, ob Beeinträchtigungen in Intrinsic Capacity (Kognition, Mobilität, Vitalität, psychische Funktion, Sinnesfunktion) unabhängig und gemeinsam mit Hypertonie das Herzinfarkt- und Schlaganfallrisiko vorhersagen.</w:t>
      </w:r>
    </w:p>
    <w:p>
      <w:r>
        <w:rPr>
          <w:b/>
        </w:rPr>
        <w:t xml:space="preserve">Ergebnis: </w:t>
      </w:r>
      <w:r>
        <w:t>Gegenüber intakter Kapazität und normalen Blutdruckwerten zeigten beeinträchtigte IC (HR 1,53; 95%-KI 1,34–1,74), Hypertonie allein (HR 1,68; 95%-KI 1,46–1,93) und beide kombiniert (HR 2,29; 95%-KI 2,02–2,59) erhöhte kardiovaskuläre Ereignisrisiken. Das Modell mit IC-Messung erhöhte die C-Index-Diskriminierung von 0,619 auf 0,649. Progressive Risikozunahme mit jeder zusätzlich beeinträchtigten IC-Domäne.</w:t>
      </w:r>
    </w:p>
    <w:p>
      <w:r>
        <w:rPr>
          <w:b/>
          <w:sz w:val="19"/>
        </w:rPr>
        <w:t xml:space="preserve">Übertragbarkeit: </w:t>
      </w:r>
      <w:r>
        <w:rPr>
          <w:sz w:val="19"/>
        </w:rPr>
        <w:t>Drei Kohorten auf vier Kontinenten, vergleichbare Outcomemessung, Übertragbarkeit hoch</w:t>
      </w:r>
    </w:p>
    <w:p>
      <w:r>
        <w:rPr>
          <w:color w:val="5A7D3A"/>
          <w:sz w:val="18"/>
        </w:rPr>
        <w:t>https://pubmed.ncbi.nlm.nih.gov/42612584/</w:t>
      </w:r>
    </w:p>
    <w:p>
      <w:pPr>
        <w:pStyle w:val="Heading2"/>
      </w:pPr>
      <w:r>
        <w:t>Multidomain-Rehabilitation nach Herzinfarkt wirkt auch bei Frailty – Frailty sollte nicht abschrecken</w:t>
      </w:r>
    </w:p>
    <w:p>
      <w:r>
        <w:rPr>
          <w:i/>
          <w:color w:val="666666"/>
          <w:sz w:val="18"/>
        </w:rPr>
        <w:t>Dal Passo B et al.  ·  Circ Popul Health Outcomes  ·  17.08.2026  ·  PMID 42605666</w:t>
      </w:r>
    </w:p>
    <w:p>
      <w:r>
        <w:t>Prespecified-Subgruppen-Analyse der italienischen PIpELINe-RCT mit 512 Patienten ≥65 Jahren nach Myokardinfarkt; getestet, ob Gebrechlichkeit (Fried-Phänotyp) den Nutzen von multidomäner Rehabilitation (Bewegung, Ernährung, Psyche, Beckenbodentraining) mindert.</w:t>
      </w:r>
    </w:p>
    <w:p>
      <w:r>
        <w:rPr>
          <w:b/>
        </w:rPr>
        <w:t xml:space="preserve">Ergebnis: </w:t>
      </w:r>
      <w:r>
        <w:t>68,4 % (350 von 512) waren prefrail/frail; davon profitierten die 232 der Interventionsgruppe signifikant mit 43 % relativem Risikoreduktion (HR 0,57; 95%-KI 0,34–0,94; p=0,028) für die primäre Endpunkte (kardiovaskulärer Tod oder ungeplante Hospitalisierung). Kein signifikanter Interaktionseffekt: Frailty mindert den Rehabilitations-Nutzen nicht.</w:t>
      </w:r>
    </w:p>
    <w:p>
      <w:r>
        <w:rPr>
          <w:b/>
          <w:sz w:val="19"/>
        </w:rPr>
        <w:t xml:space="preserve">Übertragbarkeit: </w:t>
      </w:r>
      <w:r>
        <w:rPr>
          <w:sz w:val="19"/>
        </w:rPr>
        <w:t>Multizentrische italienische RCT, europäisches Setting, direkt auf deutsches Gesundheitswesen übertragbar</w:t>
      </w:r>
    </w:p>
    <w:p>
      <w:r>
        <w:rPr>
          <w:color w:val="5A7D3A"/>
          <w:sz w:val="18"/>
        </w:rPr>
        <w:t>https://pubmed.ncbi.nlm.nih.gov/42605666/</w:t>
      </w:r>
    </w:p>
    <w:p>
      <w:pPr>
        <w:pStyle w:val="Heading2"/>
      </w:pPr>
      <w:r>
        <w:t>Gebrechlichkeit steigert Demenzrisiko durch Entzündung, Stoffwechsel und vorzeigte Hirnalterung</w:t>
      </w:r>
    </w:p>
    <w:p>
      <w:r>
        <w:rPr>
          <w:i/>
          <w:color w:val="666666"/>
          <w:sz w:val="18"/>
        </w:rPr>
        <w:t>Chen W et al.  ·  J Nutr Health Aging  ·  10.07.2026  ·  PMID 42430904</w:t>
      </w:r>
    </w:p>
    <w:p>
      <w:r>
        <w:t>Kohortenstudie mit 452.516 UK-Biobank-Probanden ohne Demenz-Baseline, Verfolgung 13,7 Jahre: untersucht, ob der Fried-Frailty-Phänotyp das Demenzrisiko steigert und welche Pfade (Entzündung, Stoffwechsel, Hirn-Age-Gap) diese Assoziation vermitteln.</w:t>
      </w:r>
    </w:p>
    <w:p>
      <w:r>
        <w:rPr>
          <w:b/>
        </w:rPr>
        <w:t xml:space="preserve">Ergebnis: </w:t>
      </w:r>
      <w:r>
        <w:t>7.777 Demenzneuerkrankungen; Frailty erhöhte Risiko mit HR 2,21 (95%-KI 2,02–2,42). Mediation: Entzündungs-Score vermittelte 4 %, Stoffwechsel-Score 13 %, beschleunigtes Hirn-Alter (brain-age-gap) 20 % der Frailty-Demenz-Assoziation. Genetische Interaktion nachgewiesen (p=0,033).</w:t>
      </w:r>
    </w:p>
    <w:p>
      <w:r>
        <w:rPr>
          <w:b/>
          <w:sz w:val="19"/>
        </w:rPr>
        <w:t xml:space="preserve">Übertragbarkeit: </w:t>
      </w:r>
      <w:r>
        <w:rPr>
          <w:sz w:val="19"/>
        </w:rPr>
        <w:t>UK Biobank, Bildgebung, Biomarker, Konzept der Frailty-Prävention gegen Demenz auf deutsches Gesundheitswesen übertragbar</w:t>
      </w:r>
    </w:p>
    <w:p>
      <w:r>
        <w:rPr>
          <w:color w:val="5A7D3A"/>
          <w:sz w:val="18"/>
        </w:rPr>
        <w:t>https://pubmed.ncbi.nlm.nih.gov/42430904/</w:t>
      </w:r>
    </w:p>
    <w:p>
      <w:pPr>
        <w:pStyle w:val="Heading2"/>
      </w:pPr>
      <w:r>
        <w:t>Operative Belastung beschleunigt biologisches Altern, körperliche Aktivität puffert Effekt</w:t>
      </w:r>
    </w:p>
    <w:p>
      <w:r>
        <w:rPr>
          <w:i/>
          <w:color w:val="666666"/>
          <w:sz w:val="18"/>
        </w:rPr>
        <w:t>Wang X et al.  ·  J Nutr Health Aging  ·  09.07.2026  ·  PMID 42424841</w:t>
      </w:r>
    </w:p>
    <w:p>
      <w:r>
        <w:t>Querschnittanalyse von 126.668 UK-Biobank-Probanden ≥60 Jahren mit Operationsgeschichte: geprüft, ob Anzahl, Häufigkeit und zeitliche Nähe von Operationen das biologische Alter (PhenoAge-Acceleration) steigern und ob sportliche Aktivität diesen Effekt abschwächt.</w:t>
      </w:r>
    </w:p>
    <w:p>
      <w:r>
        <w:rPr>
          <w:b/>
        </w:rPr>
        <w:t xml:space="preserve">Ergebnis: </w:t>
      </w:r>
      <w:r>
        <w:t>≥4 Operationen assoziiert mit 0,14–0,39 Jahren PhenoAge-Acceleration. Operationen im Abstand ≤1 Jahr: +0,11 Jahre Beschleunigung. Operation ≤1 Jahr zurück: +0,35 Jahre Beschleunigung. Hohe körperliche Aktivität (≥600 MET-min/Woche) minderte diese Effekte deutlich; nur bei ≥5 Operationen blieb Beschleunigung signifikant.</w:t>
      </w:r>
    </w:p>
    <w:p>
      <w:r>
        <w:rPr>
          <w:b/>
          <w:sz w:val="19"/>
        </w:rPr>
        <w:t xml:space="preserve">Übertragbarkeit: </w:t>
      </w:r>
      <w:r>
        <w:rPr>
          <w:sz w:val="19"/>
        </w:rPr>
        <w:t>UK Biobank, Operationsdaten und PhenoAge-Biomarker verfügbar, Aktivitätsbewertung übertragbar</w:t>
      </w:r>
    </w:p>
    <w:p>
      <w:r>
        <w:rPr>
          <w:color w:val="5A7D3A"/>
          <w:sz w:val="18"/>
        </w:rPr>
        <w:t>https://pubmed.ncbi.nlm.nih.gov/42424841/</w:t>
      </w:r>
    </w:p>
    <w:p>
      <w:pPr>
        <w:pStyle w:val="Heading1"/>
      </w:pPr>
      <w:r>
        <w:t>Aufgenommen am 15.09.2026</w:t>
      </w:r>
    </w:p>
    <w:p>
      <w:pPr>
        <w:pStyle w:val="Heading2"/>
      </w:pPr>
      <w:r>
        <w:t>Loneliness und Benzodiazepine: Assoziationen bei älteren Kanadiern</w:t>
      </w:r>
    </w:p>
    <w:p>
      <w:r>
        <w:rPr>
          <w:i/>
          <w:color w:val="666666"/>
          <w:sz w:val="18"/>
        </w:rPr>
        <w:t>Watt JA et al.  ·  Age Ageing  ·  04.09.2026  ·  PMID 42735388</w:t>
      </w:r>
    </w:p>
    <w:p>
      <w:r>
        <w:t>Querschnittsstudie mit prospektiver Kohortennachbeobachtung (kanadische Longitudinal Study on Aging) zum Zusammenhang zwischen Einsamkeit und neuem Medikamentengebrauch (Benzodiazepine, Opioide).</w:t>
      </w:r>
    </w:p>
    <w:p>
      <w:r>
        <w:rPr>
          <w:b/>
        </w:rPr>
        <w:t xml:space="preserve">Ergebnis: </w:t>
      </w:r>
      <w:r>
        <w:t>Von 29.976 Teilnehmern waren 10,8% einsam. Einsame Teilnehmer hatten höhere Quote neuer Benzodiazepinnutzung (aOR 1,94, 95%-KI 1,47–2,57) und Opioidnutzung (aOR 1,43, 95%-KI 1,05–1,93) als nicht einsame. Einsamkeit blieb mit Benzodiazepinen assoziiert nach Adjustierung für Stimmungs- und Angststörungen. Multimodale Interventionen gegen Einsamkeit könnten Deprescribing unterstützen.</w:t>
      </w:r>
    </w:p>
    <w:p>
      <w:r>
        <w:rPr>
          <w:b/>
          <w:sz w:val="19"/>
        </w:rPr>
        <w:t xml:space="preserve">Übertragbarkeit: </w:t>
      </w:r>
      <w:r>
        <w:rPr>
          <w:sz w:val="19"/>
        </w:rPr>
        <w:t>Kanada, vergleichbares Sozialversicherungssystem, hohe Relevanz für deutsche Versorgung</w:t>
      </w:r>
    </w:p>
    <w:p>
      <w:r>
        <w:rPr>
          <w:color w:val="5A7D3A"/>
          <w:sz w:val="18"/>
        </w:rPr>
        <w:t>https://pubmed.ncbi.nlm.nih.gov/42735388/</w:t>
      </w:r>
    </w:p>
    <w:p>
      <w:pPr>
        <w:pStyle w:val="Heading2"/>
      </w:pPr>
      <w:r>
        <w:t>Schweregrad der Frailty: Schwellen und minimale klinisch relevante Unterschiede</w:t>
      </w:r>
    </w:p>
    <w:p>
      <w:r>
        <w:rPr>
          <w:i/>
          <w:color w:val="666666"/>
          <w:sz w:val="18"/>
        </w:rPr>
        <w:t>Álvarez-Bustos A et al.  ·  Age Ageing  ·  04.09.2026  ·  PMID 42735387</w:t>
      </w:r>
    </w:p>
    <w:p>
      <w:r>
        <w:t>Prospektive Kohortenstudie (n=1.811, Alter ≥65 Jahre) zur Validation der Frailty Trait Scale (FTS) mit Outcomes Behinderung, Hospitalisierung und Mortalität.</w:t>
      </w:r>
    </w:p>
    <w:p>
      <w:r>
        <w:rPr>
          <w:b/>
        </w:rPr>
        <w:t xml:space="preserve">Ergebnis: </w:t>
      </w:r>
      <w:r>
        <w:t>Dosis-Wirkungs-Beziehung zwischen Frailty-Score und allen Outcomes mit unterschiedlichen Schwellen: Behinderungsrisiko ab 25/100 FTS, Hospitalisierung ab 40/100, Mortalität ab 50/100. Reductions in FTS-Scores ≥10,3 schützten vor Hospitalisierung (HR 0,74, 95%-KI 0,56–0,99) und ≥4,5 vor Mortalität (HR 0,65, 95%-KI 0,45–0,95). Tool überwindet Grenzen klassischer Assessment-Instrumente.</w:t>
      </w:r>
    </w:p>
    <w:p>
      <w:r>
        <w:rPr>
          <w:b/>
          <w:sz w:val="19"/>
        </w:rPr>
        <w:t xml:space="preserve">Übertragbarkeit: </w:t>
      </w:r>
      <w:r>
        <w:rPr>
          <w:sz w:val="19"/>
        </w:rPr>
        <w:t>Spanien, vergleichbares europäisches Sozialversicherungssystem und Altersstruktur</w:t>
      </w:r>
    </w:p>
    <w:p>
      <w:r>
        <w:rPr>
          <w:color w:val="5A7D3A"/>
          <w:sz w:val="18"/>
        </w:rPr>
        <w:t>https://pubmed.ncbi.nlm.nih.gov/42735387/</w:t>
      </w:r>
    </w:p>
    <w:p>
      <w:pPr>
        <w:pStyle w:val="Heading2"/>
      </w:pPr>
      <w:r>
        <w:t>Internet-Nutzung und kognitive Funktionsfähigkeit: Effekt bei älteren Erwachsenen während COVID-19</w:t>
      </w:r>
    </w:p>
    <w:p>
      <w:r>
        <w:rPr>
          <w:i/>
          <w:color w:val="666666"/>
          <w:sz w:val="18"/>
        </w:rPr>
        <w:t>Xu J et al.  ·  Arch Clin Neuropsychol  ·  09.09.2026  ·  PMID 42734926</w:t>
      </w:r>
    </w:p>
    <w:p>
      <w:r>
        <w:t>Längsschnittstudie (China Health and Retirement Longitudinal Study, n=3.346 Baseline-Offline-Nutzer, davon 1.699 neue Internet-Adopter) zu kognitiven und depressiven Veränderungen nach Internetadoption.</w:t>
      </w:r>
    </w:p>
    <w:p>
      <w:r>
        <w:rPr>
          <w:b/>
        </w:rPr>
        <w:t xml:space="preserve">Ergebnis: </w:t>
      </w:r>
      <w:r>
        <w:t>Neue Internet-Adoption war assoziiert mit stärkerer Zunahme der kognitiven Funktion (10-Punkt MMSE-Score β=0,28, 95%-KI 0,11–0,44, p&lt;0,001) gegenüber konstanter Nicht-Nutzung. Effekt blieb in Sensitivitätsanalysen stabil. Keine signifikante Assoziation mit depressiven Symptomveränderungen (β=-0,18, p=0,40). Digital inclusion relevant für kognitive Gesundheit älterer Erwachsener.</w:t>
      </w:r>
    </w:p>
    <w:p>
      <w:r>
        <w:rPr>
          <w:b/>
          <w:sz w:val="19"/>
        </w:rPr>
        <w:t xml:space="preserve">Übertragbarkeit: </w:t>
      </w:r>
      <w:r>
        <w:rPr>
          <w:sz w:val="19"/>
        </w:rPr>
        <w:t>China, andere Altersstruktur und Digitalisierungskontext; kognitiver Effekt kulturunabhängig wahrscheinlich</w:t>
      </w:r>
    </w:p>
    <w:p>
      <w:r>
        <w:rPr>
          <w:color w:val="5A7D3A"/>
          <w:sz w:val="18"/>
        </w:rPr>
        <w:t>https://pubmed.ncbi.nlm.nih.gov/42734926/</w:t>
      </w:r>
    </w:p>
    <w:p>
      <w:pPr>
        <w:pStyle w:val="Heading2"/>
      </w:pPr>
      <w:r>
        <w:t>Frailty-Konzept in der Patientenkommunikation: kreative Beteiligungsmethoden</w:t>
      </w:r>
    </w:p>
    <w:p>
      <w:r>
        <w:rPr>
          <w:i/>
          <w:color w:val="666666"/>
          <w:sz w:val="18"/>
        </w:rPr>
        <w:t>Lammons W et al.  ·  Health Expect  ·  Okt. 2026  ·  PMID 42734162</w:t>
      </w:r>
    </w:p>
    <w:p>
      <w:r>
        <w:t>Qualitative Studie mit 3 kreativen Public-Involvement-Workshops (Gedichte, Quilting, n=22) zur Exploration von Patientenperspektiven auf Gebrechlichkeit und Patientenkommunikation.</w:t>
      </w:r>
    </w:p>
    <w:p>
      <w:r>
        <w:rPr>
          <w:b/>
        </w:rPr>
        <w:t xml:space="preserve">Ergebnis: </w:t>
      </w:r>
      <w:r>
        <w:t>Partizipanten kritisierten Begriff 'Frailty' als stigmatisierend und ungenau; forderten personalisierte, erfahrungsorientierte Kommunikation. Themen: Schwierigkeiten mit Frailty-Begriff, Personalisierung in Patientengesprächsen, Zeitdruck im Gesundheitswesen. Kreative Methoden ermöglichten nicht-diskursiven Zugang zu kontroversen Konzepten, verbesserten Topic Guide und Datenanalyse der Forschung.</w:t>
      </w:r>
    </w:p>
    <w:p>
      <w:r>
        <w:rPr>
          <w:b/>
          <w:sz w:val="19"/>
        </w:rPr>
        <w:t xml:space="preserve">Übertragbarkeit: </w:t>
      </w:r>
      <w:r>
        <w:rPr>
          <w:sz w:val="19"/>
        </w:rPr>
        <w:t>Großbritannien, NHS-System; patientenzentrierte Versorgungsfragen gelten länderübergreifend</w:t>
      </w:r>
    </w:p>
    <w:p>
      <w:r>
        <w:rPr>
          <w:color w:val="5A7D3A"/>
          <w:sz w:val="18"/>
        </w:rPr>
        <w:t>https://pubmed.ncbi.nlm.nih.gov/42734162/</w:t>
      </w:r>
    </w:p>
    <w:p>
      <w:pPr>
        <w:pStyle w:val="Heading2"/>
      </w:pPr>
      <w:r>
        <w:t>Lebenserwartung USA 2024: Zuwächse nach Rückgang in Vorjahren</w:t>
      </w:r>
    </w:p>
    <w:p>
      <w:r>
        <w:rPr>
          <w:i/>
          <w:color w:val="666666"/>
          <w:sz w:val="18"/>
        </w:rPr>
        <w:t>Arias E et al.  ·  Natl Vital Stat Rep  ·  Aug. 2026  ·  PMID 42727234</w:t>
      </w:r>
    </w:p>
    <w:p>
      <w:r>
        <w:t>Amtliche amerikanische Sterbetafel basierend auf 2024-Mortalitätsdaten; Gesamtpopulation und stratifiziert nach Ethnie, Rasse und Geschlecht.</w:t>
      </w:r>
    </w:p>
    <w:p>
      <w:r>
        <w:rPr>
          <w:b/>
        </w:rPr>
        <w:t xml:space="preserve">Ergebnis: </w:t>
      </w:r>
      <w:r>
        <w:t>Gesamtlebenserwartung bei Geburt 79,0 Jahre (+0,6 vs. 2023). Männer +0,7 Jahre (75,8→76,5), Frauen +0,3 Jahre (81,1→81,4). Nach Ethnie: American Indian/Alaska Native +1,0 (70,1→71,1), Black +0,8 (74,0→74,8), Asian +0,6 (85,2→85,8), Hispanic +0,5 (81,3→81,8), White +0,5 (78,4→78,9). Fortsetzung des Wiederaufwärts-Trends nach COVID-19-Dip.</w:t>
      </w:r>
    </w:p>
    <w:p>
      <w:r>
        <w:rPr>
          <w:b/>
          <w:sz w:val="19"/>
        </w:rPr>
        <w:t xml:space="preserve">Übertragbarkeit: </w:t>
      </w:r>
      <w:r>
        <w:rPr>
          <w:sz w:val="19"/>
        </w:rPr>
        <w:t>USA, grundlegend andere Finanzierungsstruktur des Gesundheitswesens; Trend-Aussage transnational relevant</w:t>
      </w:r>
    </w:p>
    <w:p>
      <w:r>
        <w:rPr>
          <w:color w:val="5A7D3A"/>
          <w:sz w:val="18"/>
        </w:rPr>
        <w:t>https://pubmed.ncbi.nlm.nih.gov/42727234/</w:t>
      </w:r>
    </w:p>
    <w:p>
      <w:pPr>
        <w:pStyle w:val="Heading1"/>
      </w:pPr>
      <w:r>
        <w:t>Aufgenommen am 14.09.2026</w:t>
      </w:r>
    </w:p>
    <w:p>
      <w:pPr>
        <w:pStyle w:val="Heading2"/>
      </w:pPr>
      <w:r>
        <w:t>Umweltbelastung und Frailty bei älteren Menschen nach Trauma: WTC-Responder-Kohorte</w:t>
      </w:r>
    </w:p>
    <w:p>
      <w:r>
        <w:rPr>
          <w:i/>
          <w:color w:val="666666"/>
          <w:sz w:val="18"/>
        </w:rPr>
        <w:t>Krasnov H et al.  ·  Nat Commun  ·  11.09.2026  ·  PMID 42728266</w:t>
      </w:r>
    </w:p>
    <w:p>
      <w:r>
        <w:t>Analysierte in Längsschnittkohort (18.734 WTC-Responder) den Zusammenhang zwischen städtischen Umweltexpositionen (Feinstaub, Temperatur, Grünflächen) und Frailty sowie psychiatrischen Symptomen, adjustiert für Traumaexposition.</w:t>
      </w:r>
    </w:p>
    <w:p>
      <w:r>
        <w:rPr>
          <w:b/>
        </w:rPr>
        <w:t xml:space="preserve">Ergebnis: </w:t>
      </w:r>
      <w:r>
        <w:t>Ein Dezil-Anstieg der Gesamt-Expositionsmischung assoziiert mit erhöhter Frailty (0,56%; 95%-KI: 0,14%-0,98%) und Post-Traumatic-Stress-Disorder-Scores (0,31%; 95%-KI: 0,07%-0,55%); Effekte stärker bei Responders mit höherer WTC-Exposition. Deutet auf biologische Langzeitvulnerabilität nach Trauma und Toxinexposition hin.</w:t>
      </w:r>
    </w:p>
    <w:p>
      <w:r>
        <w:rPr>
          <w:b/>
          <w:sz w:val="19"/>
        </w:rPr>
        <w:t xml:space="preserve">Übertragbarkeit: </w:t>
      </w:r>
      <w:r>
        <w:rPr>
          <w:sz w:val="19"/>
        </w:rPr>
        <w:t>USA-Kohorte; Befunde zu Umwelteffekten auf Frailty übertragbar, aber langfristige Trauma-Exposition länderspezifisch</w:t>
      </w:r>
    </w:p>
    <w:p>
      <w:r>
        <w:rPr>
          <w:color w:val="5A7D3A"/>
          <w:sz w:val="18"/>
        </w:rPr>
        <w:t>https://pubmed.ncbi.nlm.nih.gov/42728266/</w:t>
      </w:r>
    </w:p>
    <w:p>
      <w:pPr>
        <w:pStyle w:val="Heading2"/>
      </w:pPr>
      <w:r>
        <w:t>Terpenoide und Seneszenz in Lungenkrebszellen: Versorgungsrelevanz begrenzt</w:t>
      </w:r>
    </w:p>
    <w:p>
      <w:r>
        <w:rPr>
          <w:i/>
          <w:color w:val="666666"/>
          <w:sz w:val="18"/>
        </w:rPr>
        <w:t>Niharika K et al.  ·  Daru  ·  11.09.2026  ·  PMID 42726380</w:t>
      </w:r>
    </w:p>
    <w:p>
      <w:r>
        <w:t>Übersichtsarbeit zu 46 Terpenoiden mit Effekten auf Autophagie und zelluläre Seneszenz in Lungenkrebszellen in vitro (ohne In-vivo-Studien oder klinische Endpunkte).</w:t>
      </w:r>
    </w:p>
    <w:p>
      <w:r>
        <w:rPr>
          <w:b/>
        </w:rPr>
        <w:t xml:space="preserve">Ergebnis: </w:t>
      </w:r>
      <w:r>
        <w:t>Terpenoide beeinflussen zentrale Signalweg-Knoten (AMPK, NF-κB, MAPK, PI3K/AKT/mTOR, ROS, p53); begrenzte klinische Translation durch schlechte Löslichkeit und Bioverfügbarkeit. Überblick ohne Angabe von Effektgrößen oder klinischen Ergebnissen - ausgeschlossen da keine gemessenen Endpunkte beim Menschen.</w:t>
      </w:r>
    </w:p>
    <w:p>
      <w:r>
        <w:rPr>
          <w:color w:val="5A7D3A"/>
          <w:sz w:val="18"/>
        </w:rPr>
        <w:t>https://pubmed.ncbi.nlm.nih.gov/42726380/</w:t>
      </w:r>
    </w:p>
    <w:p>
      <w:pPr>
        <w:pStyle w:val="Heading2"/>
      </w:pPr>
      <w:r>
        <w:t>Muskelkraft und Mortalität im Alter: Versorgungsepidemiologie und Prävention</w:t>
      </w:r>
    </w:p>
    <w:p>
      <w:r>
        <w:rPr>
          <w:i/>
          <w:color w:val="666666"/>
          <w:sz w:val="18"/>
        </w:rPr>
        <w:t>Puelles-Diaz A  ·  Front Public Health  ·  27.08.2026  ·  PMID 42724145</w:t>
      </w:r>
    </w:p>
    <w:p>
      <w:r>
        <w:t>Analysierte Evidenz zur Muskelgesundheit (Kraft, Masse, Funktion) als eigenständiges Versorgungsziel in der Altersmedizin und entwickelte einen Implementierungsrahmen für Primary-Care-Assessment und Resistenztraining.</w:t>
      </w:r>
    </w:p>
    <w:p>
      <w:r>
        <w:rPr>
          <w:b/>
        </w:rPr>
        <w:t xml:space="preserve">Ergebnis: </w:t>
      </w:r>
      <w:r>
        <w:t>Muskelkraft sagt Mortalität voraus, unabhängig von körperlicher Aktivität; Randomisierte Studien mit bis zu 36 Monaten Nachverfolgung zeigen größere Nutzen durch Widerstands- und multimodale Trainingsprogramme (speziell bei Personen mit funktioneller Beeinträchtigung). Identifizierte drei Versorgungslücken: begrenzte Assessment-Nutzung in der Primärversorgung, fragmentierte Prävention mit Unterbewertung von Resistenztraining, fehlende funktionale Kapazität in globalen NCD-Rahmen.</w:t>
      </w:r>
    </w:p>
    <w:p>
      <w:r>
        <w:rPr>
          <w:b/>
          <w:sz w:val="19"/>
        </w:rPr>
        <w:t xml:space="preserve">Übertragbarkeit: </w:t>
      </w:r>
      <w:r>
        <w:rPr>
          <w:sz w:val="19"/>
        </w:rPr>
        <w:t>Internationale Evidenz aus Japan, Europa, Nordamerika und Brasilien mit direktem deutschem Versorgungsbezug</w:t>
      </w:r>
    </w:p>
    <w:p>
      <w:r>
        <w:rPr>
          <w:color w:val="5A7D3A"/>
          <w:sz w:val="18"/>
        </w:rPr>
        <w:t>https://pubmed.ncbi.nlm.nih.gov/42724145/</w:t>
      </w:r>
    </w:p>
    <w:p>
      <w:pPr>
        <w:pStyle w:val="Heading2"/>
      </w:pPr>
      <w:r>
        <w:t>Transitions-Care-Programm in Australien: Effektivität und Kosten 2006-2024</w:t>
      </w:r>
    </w:p>
    <w:p>
      <w:r>
        <w:rPr>
          <w:i/>
          <w:color w:val="666666"/>
          <w:sz w:val="18"/>
        </w:rPr>
        <w:t>Reid N et al.  ·  Australas J Ageing  ·  Sept. 2026  ·  PMID 42712137</w:t>
      </w:r>
    </w:p>
    <w:p>
      <w:r>
        <w:t>Analysierte 18 Jahre öffentlicher Daten zum australischen Kurz-Rehabilitations-Programm nach Klinikaufenthalt (Demografie, Inanspruchnahme, Kosten, funktioneller Status mit Modified-Barthel-Index).</w:t>
      </w:r>
    </w:p>
    <w:p>
      <w:r>
        <w:rPr>
          <w:b/>
        </w:rPr>
        <w:t xml:space="preserve">Ergebnis: </w:t>
      </w:r>
      <w:r>
        <w:t>351.981 Klienten über Studienzeitraum; Fallzahlen pro anno +143% (2006-2007 bis 2016-2017), dann Rückgang auf 14.388 (2022-2023). Verweildauer +60% (48 auf 77 Tage), Durchschnittskosten pro Episode +261% (A$9.996 auf A$36.093), jedoch minimale Änderung in Ein- (69,7-72,1) oder Austritts-MBI (79,5-83). Weniger Menschen erhalten Zugang trotz wachsender Bevölkerung und steigender zugeteilter Plätze.</w:t>
      </w:r>
    </w:p>
    <w:p>
      <w:r>
        <w:rPr>
          <w:b/>
          <w:sz w:val="19"/>
        </w:rPr>
        <w:t xml:space="preserve">Übertragbarkeit: </w:t>
      </w:r>
      <w:r>
        <w:rPr>
          <w:sz w:val="19"/>
        </w:rPr>
        <w:t>Australien, ähnliche Versorgungsstrukturen und Finanzierung wie europäische Sozialsysteme</w:t>
      </w:r>
    </w:p>
    <w:p>
      <w:r>
        <w:rPr>
          <w:color w:val="5A7D3A"/>
          <w:sz w:val="18"/>
        </w:rPr>
        <w:t>https://pubmed.ncbi.nlm.nih.gov/42712137/</w:t>
      </w:r>
    </w:p>
    <w:p>
      <w:pPr>
        <w:pStyle w:val="Heading2"/>
      </w:pPr>
      <w:r>
        <w:t>Wohlbefinden und Kognitives Reserve in spanischer Alterskohorte: Freizeit und psychische Gesundheit</w:t>
      </w:r>
    </w:p>
    <w:p>
      <w:r>
        <w:rPr>
          <w:i/>
          <w:color w:val="666666"/>
          <w:sz w:val="18"/>
        </w:rPr>
        <w:t>Bodner E et al.  ·  J Cross Cult Gerontol  ·  08.09.2026  ·  PMID 42709276</w:t>
      </w:r>
    </w:p>
    <w:p>
      <w:r>
        <w:t>Untersuchte Assoziationen zwischen Freizeit-aktivitäten, kognitiver Reservefähigkeit und psychologischem Wohlbefinden bei älteren Spaniern im Wohngebiet (Gedächtnisleistung, Aufmerksamkeit, Depression, Angst, Lebenszufriedenheit, Einsamkeit).</w:t>
      </w:r>
    </w:p>
    <w:p>
      <w:r>
        <w:rPr>
          <w:b/>
        </w:rPr>
        <w:t xml:space="preserve">Ergebnis: </w:t>
      </w:r>
      <w:r>
        <w:t>Höhere Cognitive-Reserve-Scores assoziiert mit niedrigerem wahrgenommenem Stress (bei Männern) und besserer Aufmerksamkeitsleistung; Geschlechtsspezifische Unterschiede in der Assoziation zwischen Freizeitaktivitäten und Stresswahrnehmung (Frauen zeigten keine signifikanten Zusammenhänge). Erklärt potenzielle Mechanismen zwischen kognitiver Reservefähigkeit und psychologischem Wohlbefinden im Alter.</w:t>
      </w:r>
    </w:p>
    <w:p>
      <w:r>
        <w:rPr>
          <w:b/>
          <w:sz w:val="19"/>
        </w:rPr>
        <w:t xml:space="preserve">Übertragbarkeit: </w:t>
      </w:r>
      <w:r>
        <w:rPr>
          <w:sz w:val="19"/>
        </w:rPr>
        <w:t>Spanische Allgemeinbevölkerung, vergleichbare europäische Gesundheitssysteme und Sozialstruktur</w:t>
      </w:r>
    </w:p>
    <w:p>
      <w:r>
        <w:rPr>
          <w:color w:val="5A7D3A"/>
          <w:sz w:val="18"/>
        </w:rPr>
        <w:t>https://pubmed.ncbi.nlm.nih.gov/42709276/</w:t>
      </w:r>
    </w:p>
    <w:p>
      <w:pPr>
        <w:pStyle w:val="Heading2"/>
      </w:pPr>
      <w:r>
        <w:t>Healthspan-Strategien im italienischen Gesundheitssystem: Rahmenbedingungen und Prioritäten</w:t>
      </w:r>
    </w:p>
    <w:p>
      <w:r>
        <w:rPr>
          <w:i/>
          <w:color w:val="666666"/>
          <w:sz w:val="18"/>
        </w:rPr>
        <w:t>Marino N et al.  ·  Aging (Albany NY)  ·  16.07.2026  ·  PMID 42467494</w:t>
      </w:r>
    </w:p>
    <w:p>
      <w:r>
        <w:t>Position Paper zur Integration von Longevity Medicine (Prävention mit mehromischen Biomarkern und Risikoschichtung) in das italienische SSN vor dem Hintergrund von 24,1% der Bevölkerung ≥65 Jahre und einer Healthspan-Lücke von 15-16 Jahren.</w:t>
      </w:r>
    </w:p>
    <w:p>
      <w:r>
        <w:rPr>
          <w:b/>
        </w:rPr>
        <w:t xml:space="preserve">Ergebnis: </w:t>
      </w:r>
      <w:r>
        <w:t>Italien: höchster EU-Anteil Älterer (24,1%), median age 51 Jahre bis 2050 projiziert; Lebenserw. 85,4 (Frauen) / 81,4 (Männer) Jahre vs. gesunde Lebensjahre 69,6 / 68,5 (Lücke: 15-18 Jahre); Multimorbiditäts- und Behinderungsprävalenz &gt;60% bei ≥75-Jährigen. Empfiehlt fünf Investitionsprioritäten: validierte Biomarker biologisches Alter, digitale Plattformen, adaptive Studien, explainable-AI-Risikoschichtung, Lehrcurricula.</w:t>
      </w:r>
    </w:p>
    <w:p>
      <w:r>
        <w:rPr>
          <w:b/>
          <w:sz w:val="19"/>
        </w:rPr>
        <w:t xml:space="preserve">Übertragbarkeit: </w:t>
      </w:r>
      <w:r>
        <w:rPr>
          <w:sz w:val="19"/>
        </w:rPr>
        <w:t>Italien mit deutschsprachigem Raum vergleichbare Bevölkerungsstruktur und Sozialversicherung</w:t>
      </w:r>
    </w:p>
    <w:p>
      <w:r>
        <w:rPr>
          <w:color w:val="5A7D3A"/>
          <w:sz w:val="18"/>
        </w:rPr>
        <w:t>https://pubmed.ncbi.nlm.nih.gov/42467494/</w:t>
      </w:r>
    </w:p>
    <w:p>
      <w:pPr>
        <w:pStyle w:val="Heading1"/>
      </w:pPr>
      <w:r>
        <w:t>Aufgenommen am 13.09.2026</w:t>
      </w:r>
    </w:p>
    <w:p>
      <w:pPr>
        <w:pStyle w:val="Heading2"/>
      </w:pPr>
      <w:r>
        <w:t>Altern von Personen mit Typ-1-Diabetes: prospektive Kohorte zur funktionellen Fähigkeit</w:t>
      </w:r>
    </w:p>
    <w:p>
      <w:r>
        <w:rPr>
          <w:i/>
          <w:color w:val="666666"/>
          <w:sz w:val="18"/>
        </w:rPr>
        <w:t>Nicklén J et al.  ·  BMJ Open  ·  11.09.2026  ·  PMID 42731824</w:t>
      </w:r>
    </w:p>
    <w:p>
      <w:r>
        <w:t>Studienprotokoll für prospektive Kohortenstudie (FinnDiane LifeOne) mit mindestens 300 älteren Personen mit Typ-1-Diabetes (&gt;65 Jahre) und 100 gematchten Kontrollen zur Untersuchung der funktionellen Fähigkeit und gesunden Alterns über 5 Jahre mit geriatrischem Assessment.</w:t>
      </w:r>
    </w:p>
    <w:p>
      <w:r>
        <w:rPr>
          <w:b/>
        </w:rPr>
        <w:t xml:space="preserve">Ergebnis: </w:t>
      </w:r>
      <w:r>
        <w:t>Eingeschlossene Studien: ≥300 Patienten mit T1D, ≥100 Kontrollen, gematchte Vergleichgruppe. Umfassendes geriatrisches Assessment mit 5-jährlichen Intervallen. Fokus auf fünf Domänen der intrinsic capacity: Kognition, Vitalität, Sensomotorisch, Lokomotion, Psychologisch. Follow-up-Strukturen und Vergleichsdesign etabliert; endgültige Ergebnisse stehen aus.</w:t>
      </w:r>
    </w:p>
    <w:p>
      <w:r>
        <w:rPr>
          <w:b/>
          <w:sz w:val="19"/>
        </w:rPr>
        <w:t xml:space="preserve">Übertragbarkeit: </w:t>
      </w:r>
      <w:r>
        <w:rPr>
          <w:sz w:val="19"/>
        </w:rPr>
        <w:t>Skandinavisches Gesundheitssystem, prospektiv designt mit europäischen Standards; übertragbar auf Deutschland.</w:t>
      </w:r>
    </w:p>
    <w:p>
      <w:r>
        <w:rPr>
          <w:color w:val="5A7D3A"/>
          <w:sz w:val="18"/>
        </w:rPr>
        <w:t>https://pubmed.ncbi.nlm.nih.gov/42731824/</w:t>
      </w:r>
    </w:p>
    <w:p>
      <w:pPr>
        <w:pStyle w:val="Heading2"/>
      </w:pPr>
      <w:r>
        <w:t>Sitzzeit und Funktionsfähigkeit im Alter: Längere Sitzzeit reduziert Muskelmasse und ADL</w:t>
      </w:r>
    </w:p>
    <w:p>
      <w:r>
        <w:rPr>
          <w:i/>
          <w:color w:val="666666"/>
          <w:sz w:val="18"/>
        </w:rPr>
        <w:t>Yoon TH et al.  ·  PeerJ  ·  08.09.2026  ·  PMID 42730319</w:t>
      </w:r>
    </w:p>
    <w:p>
      <w:r>
        <w:t>Querschnittstudie an 200 Älteren (65–96 Jahre) zur Assoziation von täglicher Sitzzeit (&lt;6, 6–8, &gt;8 h) mit Sarcopenia-Markern und funktioneller Unabhängigkeit in ADL und IADL.</w:t>
      </w:r>
    </w:p>
    <w:p>
      <w:r>
        <w:rPr>
          <w:b/>
        </w:rPr>
        <w:t xml:space="preserve">Ergebnis: </w:t>
      </w:r>
      <w:r>
        <w:t>Höhere Sitzzeit war negativ mit Appendicular Skeletal Muscle (β = −0,415; p &lt; 0,001), Wadenschritt (β = −0,442; p &lt; 0,001) und Griffstärke (β = −0,385; p &lt; 0,001) assoziiert und positiv mit 5-Stühle-Stand-Test (β = 0,465; p &lt; 0,001). Sitzzeit korrelierte negativ mit ADL-Summe (β = −0,308; p &lt; 0,001) und IADL-Summe (β = −0,410; p &lt; 0,001). Assoziationen blieben nach Altersadjustierung signifikant.</w:t>
      </w:r>
    </w:p>
    <w:p>
      <w:r>
        <w:rPr>
          <w:b/>
          <w:sz w:val="19"/>
        </w:rPr>
        <w:t xml:space="preserve">Übertragbarkeit: </w:t>
      </w:r>
      <w:r>
        <w:rPr>
          <w:sz w:val="19"/>
        </w:rPr>
        <w:t>Prävention durch Reduktion von Sitzzeit ist in allen europäischen Kontexten implementierbar.</w:t>
      </w:r>
    </w:p>
    <w:p>
      <w:r>
        <w:rPr>
          <w:color w:val="5A7D3A"/>
          <w:sz w:val="18"/>
        </w:rPr>
        <w:t>https://pubmed.ncbi.nlm.nih.gov/42730319/</w:t>
      </w:r>
    </w:p>
    <w:p>
      <w:pPr>
        <w:pStyle w:val="Heading2"/>
      </w:pPr>
      <w:r>
        <w:t>Frailty und kognitives Altern: Assoziationen mit ungünstigeren kognitiven Verlaufsmustern</w:t>
      </w:r>
    </w:p>
    <w:p>
      <w:r>
        <w:rPr>
          <w:i/>
          <w:color w:val="666666"/>
          <w:sz w:val="18"/>
        </w:rPr>
        <w:t>Wang X et al.  ·  Alzheimers Dement  ·  Sept. 2026  ·  PMID 42723149</w:t>
      </w:r>
    </w:p>
    <w:p>
      <w:r>
        <w:t>Längsschnittstudie an 19.586 Personen aus drei nationalen Kohorten (China, England, USA) zur Assoziation von Frailty-Status und kognitiver Veränderung über Zeit.</w:t>
      </w:r>
    </w:p>
    <w:p>
      <w:r>
        <w:rPr>
          <w:b/>
        </w:rPr>
        <w:t xml:space="preserve">Ergebnis: </w:t>
      </w:r>
      <w:r>
        <w:t>Baseline-Frailty war mit stärkerem jährlichen kognitiven Rückgang assoziiert (β = −0,023 SD/Jahr; p &lt; 0,001). Verschlechterung von robust zu pre-frail oder frail war mit mehr negativem Rückgang verbunden (β = −0,025 SD/Jahr). In trajektoriengestützen Analysen zeigten Baseline-Frailty, höhere mittlere Frailty-Last und Frailty-Verschlechterung Assoziationen mit weniger günstigen kognitiven Verläufen. Frailty-Verbesserung war direktional mit günstigeren Gruppen assoziiert.</w:t>
      </w:r>
    </w:p>
    <w:p>
      <w:r>
        <w:rPr>
          <w:b/>
          <w:sz w:val="19"/>
        </w:rPr>
        <w:t xml:space="preserve">Übertragbarkeit: </w:t>
      </w:r>
      <w:r>
        <w:rPr>
          <w:sz w:val="19"/>
        </w:rPr>
        <w:t>Vergleichbare nationale Gesundheitsdatenstrukturen; kognitives Altern als Endpunkt relevant für deutsche Versorgung.</w:t>
      </w:r>
    </w:p>
    <w:p>
      <w:r>
        <w:rPr>
          <w:color w:val="5A7D3A"/>
          <w:sz w:val="18"/>
        </w:rPr>
        <w:t>https://pubmed.ncbi.nlm.nih.gov/42723149/</w:t>
      </w:r>
    </w:p>
    <w:p>
      <w:pPr>
        <w:pStyle w:val="Heading2"/>
      </w:pPr>
      <w:r>
        <w:t>Frailty und COPD: bidirektionale Beziehung im Kontext von Systemalterung und Trainingsresponse</w:t>
      </w:r>
    </w:p>
    <w:p>
      <w:r>
        <w:rPr>
          <w:i/>
          <w:color w:val="666666"/>
          <w:sz w:val="18"/>
        </w:rPr>
        <w:t>Maniscalco M et al.  ·  Eur Respir Rev  ·  09.09.2026  ·  PMID 42716547</w:t>
      </w:r>
    </w:p>
    <w:p>
      <w:r>
        <w:t>Narrative Übersichtsarbeit zu biologischen und klinischen Verbindungen von COPD, Frailty und körperlicher Aktivität unter Anwendung von Geroscience-Prinzipien.</w:t>
      </w:r>
    </w:p>
    <w:p>
      <w:r>
        <w:rPr>
          <w:b/>
        </w:rPr>
        <w:t xml:space="preserve">Ergebnis: </w:t>
      </w:r>
      <w:r>
        <w:t>Gemeinsame biologische Mechanismen: chronische Entzündung, oxidativer Stress, Mitochondriendysfunktion, Muskelatrophie. Kombiniertes aerobes, Widerstands- und Balance-Training zeigt stärkste Evidenz zur Verbesserung von Funktionsstatus und Lebensqualität bei frail-COPD. Exercise induziert Hormeseeffekte: gesteigerte Mitochondriogenese, verbessertes Redox-Balance, Upregulation von antioxidativen Wegen und Zellreparaturmechanismen.</w:t>
      </w:r>
    </w:p>
    <w:p>
      <w:r>
        <w:rPr>
          <w:b/>
          <w:sz w:val="19"/>
        </w:rPr>
        <w:t xml:space="preserve">Übertragbarkeit: </w:t>
      </w:r>
      <w:r>
        <w:rPr>
          <w:sz w:val="19"/>
        </w:rPr>
        <w:t>Geroscience-Rahmen auf deutsche COPD-Versorgung und Rehabilitation übertragbar.</w:t>
      </w:r>
    </w:p>
    <w:p>
      <w:r>
        <w:rPr>
          <w:color w:val="5A7D3A"/>
          <w:sz w:val="18"/>
        </w:rPr>
        <w:t>https://pubmed.ncbi.nlm.nih.gov/42716547/</w:t>
      </w:r>
    </w:p>
    <w:p>
      <w:pPr>
        <w:pStyle w:val="Heading2"/>
      </w:pPr>
      <w:r>
        <w:t>Normaler altersgerechter Rückgang der Vitalkapazität: systematische Analyse und Metaanalyse</w:t>
      </w:r>
    </w:p>
    <w:p>
      <w:r>
        <w:rPr>
          <w:i/>
          <w:color w:val="666666"/>
          <w:sz w:val="18"/>
        </w:rPr>
        <w:t>Satia I et al.  ·  Eur Respir Rev  ·  09.09.2026  ·  PMID 42716546</w:t>
      </w:r>
    </w:p>
    <w:p>
      <w:r>
        <w:t>Systematische Übersichtsarbeit und Metaanalyse von 35 Kohorten mit über 365.000 Teilnehmern zu altersbezogenen Veränderungen der Vitalkapazität (FVC) bei Personen ohne Lungenerkrankung über bis zu 35 Jahre Follow-up.</w:t>
      </w:r>
    </w:p>
    <w:p>
      <w:r>
        <w:rPr>
          <w:b/>
        </w:rPr>
        <w:t xml:space="preserve">Ergebnis: </w:t>
      </w:r>
      <w:r>
        <w:t>FVC erreicht Spitzenwert Mitte 20er, sinkt kontinuierlich linear ab ohne Plateau. Bei Frauen Abfall von ca. 26 mL/Jahr, bei Männern biphasisch: ca. 22 mL/Jahr vor 40 Jahren, dann ca. 36 mL/Jahr. Durchschnittlicher altersgerechter Rückgang 20–30 mL pro Jahr. Diese normativen Trajektorien sind essentiell zur Differenzierung gesunden Alterns von pathologischem Rückgang.</w:t>
      </w:r>
    </w:p>
    <w:p>
      <w:r>
        <w:rPr>
          <w:b/>
          <w:sz w:val="19"/>
        </w:rPr>
        <w:t xml:space="preserve">Übertragbarkeit: </w:t>
      </w:r>
      <w:r>
        <w:rPr>
          <w:sz w:val="19"/>
        </w:rPr>
        <w:t>Deutschland und europäische Spirometriestandards; Benchmark ist grundlegend für klinische Interpretation.</w:t>
      </w:r>
    </w:p>
    <w:p>
      <w:r>
        <w:rPr>
          <w:color w:val="5A7D3A"/>
          <w:sz w:val="18"/>
        </w:rPr>
        <w:t>https://pubmed.ncbi.nlm.nih.gov/42716546/</w:t>
      </w:r>
    </w:p>
    <w:p>
      <w:pPr>
        <w:pStyle w:val="Heading2"/>
      </w:pPr>
      <w:r>
        <w:t>Netzwerk-Analyse der Lebensqualität bei älteren Koreanern: Depression dominiert das frail-Netzwerk</w:t>
      </w:r>
    </w:p>
    <w:p>
      <w:r>
        <w:rPr>
          <w:i/>
          <w:color w:val="666666"/>
          <w:sz w:val="18"/>
        </w:rPr>
        <w:t>Kim S et al.  ·  Geriatr Gerontol Int  ·  Sept. 2026  ·  PMID 42716517</w:t>
      </w:r>
    </w:p>
    <w:p>
      <w:r>
        <w:t>Netzwerk-Analyse an 1.311 älteren Koreanern (≥65 Jahre) zur Struktur der gesundheitsbezogenen Lebensqualität (HRQoL) im Vergleich zwischen frail und non-frail-Gruppen.</w:t>
      </w:r>
    </w:p>
    <w:p>
      <w:r>
        <w:rPr>
          <w:b/>
        </w:rPr>
        <w:t xml:space="preserve">Ergebnis: </w:t>
      </w:r>
      <w:r>
        <w:t>Bei frail-Gruppe war Depression-Glück die stärkste Assoziation mit hoher Zentralität bei Arbeit, Depression, Glück und Schlaf. Bei non-frail-Gruppe dominierten physikalisch-soziale Domänen (Treppensteigen-Schmerz stärkster Link, zentral: Arbeit, Treppensteigen, Schmerz). Arbeit zeigte konsistent hohe Zentralität in beiden Gruppen, was Rollenpartizipation als Hebel für HRQoL-Verbesserung unterstreicht.</w:t>
      </w:r>
    </w:p>
    <w:p>
      <w:r>
        <w:rPr>
          <w:b/>
          <w:sz w:val="19"/>
        </w:rPr>
        <w:t xml:space="preserve">Übertragbarkeit: </w:t>
      </w:r>
      <w:r>
        <w:rPr>
          <w:sz w:val="19"/>
        </w:rPr>
        <w:t>Strukturelle Vergleichbarkeit der Frailty-Definitionen mit europäischen Standards gegeben.</w:t>
      </w:r>
    </w:p>
    <w:p>
      <w:r>
        <w:rPr>
          <w:color w:val="5A7D3A"/>
          <w:sz w:val="18"/>
        </w:rPr>
        <w:t>https://pubmed.ncbi.nlm.nih.gov/42716517/</w:t>
      </w:r>
    </w:p>
    <w:p>
      <w:pPr>
        <w:pStyle w:val="Heading2"/>
      </w:pPr>
      <w:r>
        <w:t>Hereditäre hämorrhagische Teleangiektasie reduziert die Lebenserwartung um 7,5 Jahre</w:t>
      </w:r>
    </w:p>
    <w:p>
      <w:r>
        <w:rPr>
          <w:i/>
          <w:color w:val="666666"/>
          <w:sz w:val="18"/>
        </w:rPr>
        <w:t>Emanuelsson CA et al.  ·  J Intern Med  ·  06.07.2026  ·  PMID 42410718</w:t>
      </w:r>
    </w:p>
    <w:p>
      <w:r>
        <w:t>Schwedische populationsbasierte Registerstudie mit 393 HHT-Patienten und 1.965 alters- und geschlechtsgematchten Kontrollen zur Mortalität und Todesursachen über 17 Jahre Nachbeobachtung (2001–2018).</w:t>
      </w:r>
    </w:p>
    <w:p>
      <w:r>
        <w:rPr>
          <w:b/>
        </w:rPr>
        <w:t xml:space="preserve">Ergebnis: </w:t>
      </w:r>
      <w:r>
        <w:t>Lebenserwartung nach 30 Jahren bei HHT: 73,0 Jahre (68,0–77,2) vs. 80,5 Jahre (79,1–82,0) bei Kontrollen; Differenz 7,5 Jahre. Häufigere Todesursachen bei HHT: ischämische Herzerkrankung, arterielle Erkrankungen und Leberkrankheiten signifikant erhöht. HHT-Prävalenz: 9,3 pro 100.000 über 12 Jahre; mögliche Unterdiagnose bei milderen Symptomen.</w:t>
      </w:r>
    </w:p>
    <w:p>
      <w:r>
        <w:rPr>
          <w:b/>
          <w:sz w:val="19"/>
        </w:rPr>
        <w:t xml:space="preserve">Übertragbarkeit: </w:t>
      </w:r>
      <w:r>
        <w:rPr>
          <w:sz w:val="19"/>
        </w:rPr>
        <w:t>Skandinavisches Register mit Deutschland vergleichbar; Versorgungsplanning für rare diseases relevant.</w:t>
      </w:r>
    </w:p>
    <w:p>
      <w:r>
        <w:rPr>
          <w:color w:val="5A7D3A"/>
          <w:sz w:val="18"/>
        </w:rPr>
        <w:t>https://pubmed.ncbi.nlm.nih.gov/42410718/</w:t>
      </w:r>
    </w:p>
    <w:p>
      <w:pPr>
        <w:pStyle w:val="Heading1"/>
      </w:pPr>
      <w:r>
        <w:t>Aufgenommen am 12.09.2026</w:t>
      </w:r>
    </w:p>
    <w:p>
      <w:pPr>
        <w:pStyle w:val="Heading2"/>
      </w:pPr>
      <w:r>
        <w:t>Multimorbidität im hohen Alter: Krankheitsansammlung verlangsamt sich, Komplexität nimmt zu</w:t>
      </w:r>
    </w:p>
    <w:p>
      <w:r>
        <w:rPr>
          <w:i/>
          <w:color w:val="666666"/>
          <w:sz w:val="18"/>
        </w:rPr>
        <w:t>Zhang Y et al.  ·  Age Ageing  ·  04.09.2026  ·  PMID 42726903</w:t>
      </w:r>
    </w:p>
    <w:p>
      <w:r>
        <w:t>Schwedische Registeranalyse der Krankheitsansammlung bei 1920–1922 geborenen Personen von Alter 70 bis 100 Jahren.</w:t>
      </w:r>
    </w:p>
    <w:p>
      <w:r>
        <w:rPr>
          <w:b/>
        </w:rPr>
        <w:t xml:space="preserve">Ergebnis: </w:t>
      </w:r>
      <w:r>
        <w:t>Mit 90 Jahren durchschnittlich 3,9 Erkrankungen bei Männern und 3,5 bei Frauen; über die Hälfte der ≥95-Jährigen hatte ≥5 Erkrankungen. Krankheitsansammlung beschleunigte sich bis 80, stabilisierte sich 80–90, verlangsamte sich danach, aber Komplexität und Krankheitslast stiegen bis ins extreme Alter weiter. Kardiovaskuläre Erkrankungen dominierten durchgehend, Muskel- und Sinneserkrankungen wurden im hohen Alter wichtiger.</w:t>
      </w:r>
    </w:p>
    <w:p>
      <w:r>
        <w:rPr>
          <w:b/>
          <w:sz w:val="19"/>
        </w:rPr>
        <w:t xml:space="preserve">Übertragbarkeit: </w:t>
      </w:r>
      <w:r>
        <w:rPr>
          <w:sz w:val="19"/>
        </w:rPr>
        <w:t>Schweden, vergleichbare Lebenserwartung und Versorgungsstruktur</w:t>
      </w:r>
    </w:p>
    <w:p>
      <w:r>
        <w:rPr>
          <w:color w:val="5A7D3A"/>
          <w:sz w:val="18"/>
        </w:rPr>
        <w:t>https://pubmed.ncbi.nlm.nih.gov/42726903/</w:t>
      </w:r>
    </w:p>
    <w:p>
      <w:pPr>
        <w:pStyle w:val="Heading2"/>
      </w:pPr>
      <w:r>
        <w:t>Gebrechlichkeit bei Multimorbidität: Prävalenz und Risikofaktoren in der Gemeinde</w:t>
      </w:r>
    </w:p>
    <w:p>
      <w:r>
        <w:rPr>
          <w:i/>
          <w:color w:val="666666"/>
          <w:sz w:val="18"/>
        </w:rPr>
        <w:t>Feng S et al.  ·  Front Public Health  ·  27.08.2026  ·  PMID 42725090</w:t>
      </w:r>
    </w:p>
    <w:p>
      <w:r>
        <w:t>Querschnittsstudie bei 346 multimorbiden älteren Erwachsenen (≥60 Jahre) in fünf Gemeinden Chinas zur Prävalenz und unabhängigen Risikofaktoren für Gebrechlichkeit (Frailty).</w:t>
      </w:r>
    </w:p>
    <w:p>
      <w:r>
        <w:rPr>
          <w:b/>
        </w:rPr>
        <w:t xml:space="preserve">Ergebnis: </w:t>
      </w:r>
      <w:r>
        <w:t>52,9% (183/346) waren gebrechlich. Unabhängige Faktoren: Alter 70–80 Jahre (OR 2,64, 95%-KI 1,03–6,79), ≥80 Jahre (OR 4,92, 1,87–12,96); Krankenhausaufnahme wegen akuter Ereignisse im vergangenen Jahr (OR 1,84, 1,04–3,27); Landbewohner vs. städtisch (OR 0,34, 0,19–0,60). Normale Ernährung (OR 0,23, 0,16–0,50) und volle Aktivitätsunabhängigkeit (OR 0,21, 0,06–0,79) waren protektiv. Familienbetreuung vs. Selbstpflege (OR 0,39, 0,16–0,95) reduzierte Frailty-Risiko.</w:t>
      </w:r>
    </w:p>
    <w:p>
      <w:r>
        <w:rPr>
          <w:b/>
          <w:sz w:val="19"/>
        </w:rPr>
        <w:t xml:space="preserve">Übertragbarkeit: </w:t>
      </w:r>
      <w:r>
        <w:rPr>
          <w:sz w:val="19"/>
        </w:rPr>
        <w:t>China, andere Gesundheitsinfrastruktur; Screening-Muster teilweise übertragbar</w:t>
      </w:r>
    </w:p>
    <w:p>
      <w:r>
        <w:rPr>
          <w:color w:val="5A7D3A"/>
          <w:sz w:val="18"/>
        </w:rPr>
        <w:t>https://pubmed.ncbi.nlm.nih.gov/42725090/</w:t>
      </w:r>
    </w:p>
    <w:p>
      <w:pPr>
        <w:pStyle w:val="Heading2"/>
      </w:pPr>
      <w:r>
        <w:t>Präoperative Gebrechlichkeit und postoperative Komplikationen bei Hüftfrakturchirurgie</w:t>
      </w:r>
    </w:p>
    <w:p>
      <w:r>
        <w:rPr>
          <w:i/>
          <w:color w:val="666666"/>
          <w:sz w:val="18"/>
        </w:rPr>
        <w:t>Yonekura H et al.  ·  Geriatr Gerontol Int  ·  Sept. 2026  ·  PMID 42723340</w:t>
      </w:r>
    </w:p>
    <w:p>
      <w:r>
        <w:t>Analyse von 29.684 älteren Patienten (≥65 Jahre) in Japan mit Hüftfrakturoperationen (2005–2021) zu Assoziationen zwischen präoperativem Frailty-Risiko-Score und postoperativen Komplikationen mittels Krankenhausregister.</w:t>
      </w:r>
    </w:p>
    <w:p>
      <w:r>
        <w:rPr>
          <w:b/>
        </w:rPr>
        <w:t xml:space="preserve">Ergebnis: </w:t>
      </w:r>
      <w:r>
        <w:t>59,5% (17.656) waren gebrechlich (Hospital Frailty Risk Score ≥5). Präoperative Gebrechlichkeit nicht mit akutem Nierenversagen assoziiert (OR 0,97, KI 0,83–1,14; p=0,72) oder Major Adverse Kidney Events (OR 1,07, 0,80–1,44; p=0,65), aber signifikant mit Lungenkomplikationen (OR 1,68, 1,39–2,02; p&lt;0,001), postoperativem Delir (OR 1,35, 1,13–1,62; p&lt;0,001), höherer Transfusionsrate und längerer Krankenhausdauer assoziiert.</w:t>
      </w:r>
    </w:p>
    <w:p>
      <w:r>
        <w:rPr>
          <w:b/>
          <w:sz w:val="19"/>
        </w:rPr>
        <w:t xml:space="preserve">Übertragbarkeit: </w:t>
      </w:r>
      <w:r>
        <w:rPr>
          <w:sz w:val="19"/>
        </w:rPr>
        <w:t>Japan, vergleichbare Finanzierung, Operationsindikationen ähnlich zu Deutschland</w:t>
      </w:r>
    </w:p>
    <w:p>
      <w:r>
        <w:rPr>
          <w:color w:val="5A7D3A"/>
          <w:sz w:val="18"/>
        </w:rPr>
        <w:t>https://pubmed.ncbi.nlm.nih.gov/42723340/</w:t>
      </w:r>
    </w:p>
    <w:p>
      <w:pPr>
        <w:pStyle w:val="Heading2"/>
      </w:pPr>
      <w:r>
        <w:t>Gebrechlichkeit am Lebensende: wer hat Anspruch auf assistierten Freitod?</w:t>
      </w:r>
    </w:p>
    <w:p>
      <w:r>
        <w:rPr>
          <w:i/>
          <w:color w:val="666666"/>
          <w:sz w:val="18"/>
        </w:rPr>
        <w:t>Squeri T et al.  ·  Age Ageing  ·  04.09.2026  ·  PMID 42709408</w:t>
      </w:r>
    </w:p>
    <w:p>
      <w:r>
        <w:t>Vergleichende Analyse der Häufigkeit und rechtlichen Zulässigkeit von Gebrechlichkeit (Frailty) als Indikation für assistierten Freitod in Jurisdiktionen mit reguliertem Zugang.</w:t>
      </w:r>
    </w:p>
    <w:p>
      <w:r>
        <w:rPr>
          <w:b/>
        </w:rPr>
        <w:t xml:space="preserve">Ergebnis: </w:t>
      </w:r>
      <w:r>
        <w:t>Nur Kanada und Niederlande berichten die Häufigkeit: 9,07% der Freitode in Kanada 2023 waren mit Gebrechlichkeit assoziiert (als Hauptdiagnose oder Komorbidität), in den Niederlanden 3,85% mit multiplen geriatrischen Syndromen. 11 Jurisdiktionen: Gebrechlichkeit wahrscheinlich nicht zulässig; 6: schwere Gebrechlichkeit erfüllt Kriterien; 14: unklar. Erhebliches Reporting-Defizit und regulatorische Mehrdeutigkeit.</w:t>
      </w:r>
    </w:p>
    <w:p>
      <w:r>
        <w:rPr>
          <w:b/>
          <w:sz w:val="19"/>
        </w:rPr>
        <w:t xml:space="preserve">Übertragbarkeit: </w:t>
      </w:r>
      <w:r>
        <w:rPr>
          <w:sz w:val="19"/>
        </w:rPr>
        <w:t>Internationale Perspektive, begrenzte Relevanz für deutsches Recht</w:t>
      </w:r>
    </w:p>
    <w:p>
      <w:r>
        <w:rPr>
          <w:color w:val="5A7D3A"/>
          <w:sz w:val="18"/>
        </w:rPr>
        <w:t>https://pubmed.ncbi.nlm.nih.gov/42709408/</w:t>
      </w:r>
    </w:p>
    <w:p>
      <w:pPr>
        <w:pStyle w:val="Heading2"/>
      </w:pPr>
      <w:r>
        <w:t>Kognitive Alterung als sozial strukturierter Prozess: Lebenskurs, Ungleichheit und institutionelle Kontexte</w:t>
      </w:r>
    </w:p>
    <w:p>
      <w:r>
        <w:rPr>
          <w:i/>
          <w:color w:val="666666"/>
          <w:sz w:val="18"/>
        </w:rPr>
        <w:t>Bertogg A et al.  ·  Soc Sci Med  ·  01.08.2026  ·  PMID 42561791</w:t>
      </w:r>
    </w:p>
    <w:p>
      <w:r>
        <w:t>Editorial zu Spezialausgabe, die kognitives Altern als von Lebenslauf, sozialen Ungleichheiten und Institutionen geprägte Prozesse konzeptualisiert; Synthese länderübergreifender Studien aus Europa, Nordamerika, Lateinamerika und Asien.</w:t>
      </w:r>
    </w:p>
    <w:p>
      <w:r>
        <w:rPr>
          <w:b/>
        </w:rPr>
        <w:t xml:space="preserve">Ergebnis: </w:t>
      </w:r>
      <w:r>
        <w:t>Längsschnittstudien, Register, qualitative Interviews und ethnographische Arbeiten dokumentieren bleibende Einflüsse von Kindheitsbedingungen, Bildung, Berufslaufbahn, Familie, sozialer Partizipation, Nachbarschaft und Wohlfahrtsregimen auf späte kognitive Leistung. Ungleichheiten nach Geschlecht, Ethnie, Migrationshintergrund und Ort prägen kognitives Altern über die Lebensspanne. Infrastruktur, Gesundheitssysteme und politisch-ökonomische Veränderungen beeinflussen kognitive Reserven.</w:t>
      </w:r>
    </w:p>
    <w:p>
      <w:r>
        <w:rPr>
          <w:b/>
          <w:sz w:val="19"/>
        </w:rPr>
        <w:t xml:space="preserve">Übertragbarkeit: </w:t>
      </w:r>
      <w:r>
        <w:rPr>
          <w:sz w:val="19"/>
        </w:rPr>
        <w:t>Europäische und deutschsprachige Beiträge, vergleichbare Wohlfahrtssysteme</w:t>
      </w:r>
    </w:p>
    <w:p>
      <w:r>
        <w:rPr>
          <w:color w:val="5A7D3A"/>
          <w:sz w:val="18"/>
        </w:rPr>
        <w:t>https://pubmed.ncbi.nlm.nih.gov/42561791/</w:t>
      </w:r>
    </w:p>
    <w:p>
      <w:pPr>
        <w:pStyle w:val="Heading2"/>
      </w:pPr>
      <w:r>
        <w:t>Berufswahl Geriatrie: persönliche Zuneigung und Spezialisierungsanreize bei Medizinern</w:t>
      </w:r>
    </w:p>
    <w:p>
      <w:r>
        <w:rPr>
          <w:i/>
          <w:color w:val="666666"/>
          <w:sz w:val="18"/>
        </w:rPr>
        <w:t>Martín ML et al.  ·  Eur Geriatr Med  ·  11.07.2026  ·  PMID 42435263</w:t>
      </w:r>
    </w:p>
    <w:p>
      <w:r>
        <w:t>Qualitative Befragung (N=129) spanischer Medizinresidenten zu Faktoren, die die Wahl der Geriatrie beeinflussen, und Einfluss geriatrischer Schulung während des Studiums.</w:t>
      </w:r>
    </w:p>
    <w:p>
      <w:r>
        <w:rPr>
          <w:b/>
        </w:rPr>
        <w:t xml:space="preserve">Ergebnis: </w:t>
      </w:r>
      <w:r>
        <w:t>89% bereits mit Fachgebiet vertraut; 46% hatten theoretische und praktische geriatrische Schulung während des Studiums erhalten. Häufigste Faktoren: Affinität zu älteren Menschen (95%), Patientenkommunikation und Familie (90%), multidisziplinäres Arbeiten (86%), klinische Komplexität (84%), Multimorbidität (82%). Mit vollständiger geriatrischer Schulung 75% vs. 54% (p=0,02) erwogen Geriatrie als Fachgebiet; klinische Komplexität war signifikant wichtiger unter denen mit vollständiger Schulung (92% vs. 77%, p=0,027).</w:t>
      </w:r>
    </w:p>
    <w:p>
      <w:r>
        <w:rPr>
          <w:b/>
          <w:sz w:val="19"/>
        </w:rPr>
        <w:t xml:space="preserve">Übertragbarkeit: </w:t>
      </w:r>
      <w:r>
        <w:rPr>
          <w:sz w:val="19"/>
        </w:rPr>
        <w:t>Spanien, europäische Gesundheitspolitik, Ärztenachwuchs vergleichbar</w:t>
      </w:r>
    </w:p>
    <w:p>
      <w:r>
        <w:rPr>
          <w:color w:val="5A7D3A"/>
          <w:sz w:val="18"/>
        </w:rPr>
        <w:t>https://pubmed.ncbi.nlm.nih.gov/42435263/</w:t>
      </w:r>
    </w:p>
    <w:p>
      <w:pPr>
        <w:pStyle w:val="Heading1"/>
      </w:pPr>
      <w:r>
        <w:t>Aufgenommen am 11.09.2026</w:t>
      </w:r>
    </w:p>
    <w:p>
      <w:pPr>
        <w:pStyle w:val="Heading2"/>
      </w:pPr>
      <w:r>
        <w:t>Gesunde Arbeitsjahre: Länder- und individuelle Faktoren in multinationaler Kohorte</w:t>
      </w:r>
    </w:p>
    <w:p>
      <w:r>
        <w:rPr>
          <w:i/>
          <w:color w:val="666666"/>
          <w:sz w:val="18"/>
        </w:rPr>
        <w:t>Zhu J et al.  ·  PLoS Med  ·  10.09.2026  ·  PMID 42721193</w:t>
      </w:r>
    </w:p>
    <w:p>
      <w:r>
        <w:t>Multinational prospektive Kohortenstudie mit 79.833 Männern und 95.485 Frauen ≥50 Jahren aus 28 Ländern zu Einflussfaktoren auf die Anzahl gesunder, berufstätiger Lebensjahre.</w:t>
      </w:r>
    </w:p>
    <w:p>
      <w:r>
        <w:rPr>
          <w:b/>
        </w:rPr>
        <w:t xml:space="preserve">Ergebnis: </w:t>
      </w:r>
      <w:r>
        <w:t>Mit 50 Jahren: durchschnittliche Gesamtlebenserwartung 33,59 Jahre, davon 10,98 Jahre in Gesundheit und Erwerbstätigkeit (HWLE). Frauen: 9,82 Jahre HWLE, Männer: 12,36 Jahre. Verheiratung, höhere Bildung, gesunde Lebensstile verlängern HWLE. Schlaganfall reduziert HWLE um 5,49 Jahre. Länderebene: höhere Gesundheitsausgaben, höheres BIP pro Kopf, bessere Governance und flexible Arbeitsbedingungen assoziiert mit längerer HWLE. Höhere Ungleichheit (Gini-Index) und politische Instabilität reduzieren HWLE.</w:t>
      </w:r>
    </w:p>
    <w:p>
      <w:r>
        <w:rPr>
          <w:b/>
          <w:sz w:val="19"/>
        </w:rPr>
        <w:t xml:space="preserve">Übertragbarkeit: </w:t>
      </w:r>
      <w:r>
        <w:rPr>
          <w:sz w:val="19"/>
        </w:rPr>
        <w:t>Länderübergreifend, einzelne europäische Länder eingeschlossen, zeigt Wirksamkeit von Prävention und Arbeitsbedingungen</w:t>
      </w:r>
    </w:p>
    <w:p>
      <w:r>
        <w:rPr>
          <w:color w:val="5A7D3A"/>
          <w:sz w:val="18"/>
        </w:rPr>
        <w:t>https://pubmed.ncbi.nlm.nih.gov/42721193/</w:t>
      </w:r>
    </w:p>
    <w:p>
      <w:pPr>
        <w:pStyle w:val="Heading2"/>
      </w:pPr>
      <w:r>
        <w:t>Biologisches Altern und Osteoarthritis-Risiko: Kohortenstudie UK Biobank</w:t>
      </w:r>
    </w:p>
    <w:p>
      <w:r>
        <w:rPr>
          <w:i/>
          <w:color w:val="666666"/>
          <w:sz w:val="18"/>
        </w:rPr>
        <w:t>Liu S et al.  ·  Int J Rheum Dis  ·  Sept. 2026  ·  PMID 42687813</w:t>
      </w:r>
    </w:p>
    <w:p>
      <w:r>
        <w:t>Querschnitts- und Längsschnittanalyse an 332.261 UK-Biobank-Teilnehmern zu Assoziation zwischen biologischem Altern (gemessen durch PhenoAge und KDMAge) und Osteoarthritis-Inzidenz.</w:t>
      </w:r>
    </w:p>
    <w:p>
      <w:r>
        <w:rPr>
          <w:b/>
        </w:rPr>
        <w:t xml:space="preserve">Ergebnis: </w:t>
      </w:r>
      <w:r>
        <w:t>55,4 % der Kohorte zeigten jüngeres biologisches Alter (PhenoAge Acceleration). Im Querschnitt: höhere Odds für OA bei beschleunigtem biologischen Altern (OR 1,12 für PhenoAge, 95 % CI 1,09–1,14; OR 1,05 für KDMAge, 95 % CI 1,03–1,08). Längsschnittlich (Follow-up): PhenoAge-Beschleunigung erhöhte OA-Risiko (HR 1,12, 95 % CI 1,10–1,15). KDMAge zeigte keine signifikante Längsassoziaton. Effekt stärker bei &gt;60 Jahren. Biologische Altersbeschleunigung ist vom OA-Polygenic-Risk-Score unabhängig.</w:t>
      </w:r>
    </w:p>
    <w:p>
      <w:r>
        <w:rPr>
          <w:b/>
          <w:sz w:val="19"/>
        </w:rPr>
        <w:t xml:space="preserve">Übertragbarkeit: </w:t>
      </w:r>
      <w:r>
        <w:rPr>
          <w:sz w:val="19"/>
        </w:rPr>
        <w:t>UK Biobank, vergleichbares englisches Sozialversicherungssystem, biomarkergestützte Risikovorhersage</w:t>
      </w:r>
    </w:p>
    <w:p>
      <w:r>
        <w:rPr>
          <w:color w:val="5A7D3A"/>
          <w:sz w:val="18"/>
        </w:rPr>
        <w:t>https://pubmed.ncbi.nlm.nih.gov/42687813/</w:t>
      </w:r>
    </w:p>
    <w:p>
      <w:pPr>
        <w:pStyle w:val="Heading2"/>
      </w:pPr>
      <w:r>
        <w:t>Hochaltrige in Deutschland: Demografie, regionale Ungleichheiten und Gesundheit</w:t>
      </w:r>
    </w:p>
    <w:p>
      <w:r>
        <w:rPr>
          <w:i/>
          <w:color w:val="666666"/>
          <w:sz w:val="18"/>
        </w:rPr>
        <w:t>Wolter B et al.  ·  Bundesgesundheitsblatt Gesundheitsforschung Gesundheitsschutz  ·  18.08.2026  ·  PMID 42611051</w:t>
      </w:r>
    </w:p>
    <w:p>
      <w:r>
        <w:t>Deutschlandweite Beschreibung der Demografie, Lebenslage und Gesundheit von über 80-Jährigen auf Basis der repräsentativen Studien Gesundheit 65+ und D80+.</w:t>
      </w:r>
    </w:p>
    <w:p>
      <w:r>
        <w:rPr>
          <w:b/>
        </w:rPr>
        <w:t xml:space="preserve">Ergebnis: </w:t>
      </w:r>
      <w:r>
        <w:t>Etwa ein Viertel der Hochaltrigen hat starke funktionale Einschränkungen (beide Datensätze konsistent). Männer zeigen bessere Alltagsfunktionalität als Frauen. Ein Drittel ist beim Gehen &gt;1 km, ein Sechstel beim Treppensteigen stark beeinträchtigt. Schwere Sehverluste bei 10 %, Hörverluste bei 27 %. Harninkontinenz betrifft 40 % (Frauen häufiger). 43 % sind pre-frail, 8,6 % frail. Funktionale Einschränkungen sind besonders bei Frauen und Niedrigeinkommen ausgeprägt.</w:t>
      </w:r>
    </w:p>
    <w:p>
      <w:r>
        <w:rPr>
          <w:b/>
          <w:sz w:val="19"/>
        </w:rPr>
        <w:t xml:space="preserve">Übertragbarkeit: </w:t>
      </w:r>
      <w:r>
        <w:rPr>
          <w:sz w:val="19"/>
        </w:rPr>
        <w:t>Deutsche Daten aus RKI und ceres, direkt anwendbar</w:t>
      </w:r>
    </w:p>
    <w:p>
      <w:r>
        <w:rPr>
          <w:color w:val="5A7D3A"/>
          <w:sz w:val="18"/>
        </w:rPr>
        <w:t>https://pubmed.ncbi.nlm.nih.gov/42611051/</w:t>
      </w:r>
    </w:p>
    <w:p>
      <w:pPr>
        <w:pStyle w:val="Heading2"/>
      </w:pPr>
      <w:r>
        <w:t>Präventive Hausbesuche zur Gesundheitsförderung älterer Menschen</w:t>
      </w:r>
    </w:p>
    <w:p>
      <w:r>
        <w:rPr>
          <w:i/>
          <w:color w:val="666666"/>
          <w:sz w:val="18"/>
        </w:rPr>
        <w:t>Blotenberg B et al.  ·  Bundesgesundheitsblatt Gesundheitsforschung Gesundheitsschutz  ·  13.08.2026  ·  PMID 42593520</w:t>
      </w:r>
    </w:p>
    <w:p>
      <w:r>
        <w:t>Diskussionsbeitrag zu Konzeption, Effektivität und Finanzierungserfordernissen präventiver Hausbesuche als niedrigschwellige Versorgungsform in Deutschland.</w:t>
      </w:r>
    </w:p>
    <w:p>
      <w:r>
        <w:rPr>
          <w:b/>
        </w:rPr>
        <w:t xml:space="preserve">Ergebnis: </w:t>
      </w:r>
      <w:r>
        <w:t>In Deutschland wachsende Zahl von Projekten mit unterschiedlichen Konzepten. PHB können Sturzrisiken, soziale Isolation und Ernährungsmängel früh erkennen und Versorgungskompetenz stärken. Zentrale Herausforderung: Langzeitfinanzierung und Verstetigung bislang projektförmig organisierter Angebote. Forderung: Bessere Verankerung in gesetzlicher Kranken- und Pflegeversicherung.</w:t>
      </w:r>
    </w:p>
    <w:p>
      <w:r>
        <w:rPr>
          <w:b/>
          <w:sz w:val="19"/>
        </w:rPr>
        <w:t xml:space="preserve">Übertragbarkeit: </w:t>
      </w:r>
      <w:r>
        <w:rPr>
          <w:sz w:val="19"/>
        </w:rPr>
        <w:t>Deutsche Gesundheitslandschaft, unmittelbar relevant für Finanzierungsdiskurs</w:t>
      </w:r>
    </w:p>
    <w:p>
      <w:r>
        <w:rPr>
          <w:color w:val="5A7D3A"/>
          <w:sz w:val="18"/>
        </w:rPr>
        <w:t>https://pubmed.ncbi.nlm.nih.gov/42593520/</w:t>
      </w:r>
    </w:p>
    <w:p>
      <w:pPr>
        <w:pStyle w:val="Heading2"/>
      </w:pPr>
      <w:r>
        <w:t>Körperliche Funktionsfähigkeit und Frailty im sehr hohen Alter</w:t>
      </w:r>
    </w:p>
    <w:p>
      <w:r>
        <w:rPr>
          <w:i/>
          <w:color w:val="666666"/>
          <w:sz w:val="18"/>
        </w:rPr>
        <w:t>Nowossadeck S et al.  ·  Bundesgesundheitsblatt Gesundheitsforschung Gesundheitsschutz  ·  11.08.2026  ·  PMID 42579141</w:t>
      </w:r>
    </w:p>
    <w:p>
      <w:r>
        <w:t>Analyse von Funktionsfähigkeit und Frailty bei über 80-Jährigen in deutschen Privathaushalten mit GALI und spezifischen Funktionsindikatoren.</w:t>
      </w:r>
    </w:p>
    <w:p>
      <w:r>
        <w:rPr>
          <w:b/>
        </w:rPr>
        <w:t xml:space="preserve">Ergebnis: </w:t>
      </w:r>
      <w:r>
        <w:t>Ein Viertel hat schwere funktionale Einschränkungen (GALI). Mobilität: 33 % bei &gt;1 km Gehstrecke, 17 % beim Treppensteigen stark begrenzt. Sensorische Defizite: 10 % Sehstörungen, 27 % Hörstörungen. Harninkontinenz 40 %. Robustheit 49 %, Pre-Frailty 43 %, Frailty 8,6 %. Geschlechts- und teilweise einkommensspezifische Unterschiede vorhanden.</w:t>
      </w:r>
    </w:p>
    <w:p>
      <w:r>
        <w:rPr>
          <w:b/>
          <w:sz w:val="19"/>
        </w:rPr>
        <w:t xml:space="preserve">Übertragbarkeit: </w:t>
      </w:r>
      <w:r>
        <w:rPr>
          <w:sz w:val="19"/>
        </w:rPr>
        <w:t>Deutsche Alternssurvey (DEAS) und Gesundheit 65+, direkt auf deutsches System übertragbar</w:t>
      </w:r>
    </w:p>
    <w:p>
      <w:r>
        <w:rPr>
          <w:color w:val="5A7D3A"/>
          <w:sz w:val="18"/>
        </w:rPr>
        <w:t>https://pubmed.ncbi.nlm.nih.gov/42579141/</w:t>
      </w:r>
    </w:p>
    <w:p>
      <w:pPr>
        <w:pStyle w:val="Heading2"/>
      </w:pPr>
      <w:r>
        <w:t>Genexpression in Mikroglia über die Lebensspanne: nichtlineare Muster und AD-Implikationen</w:t>
      </w:r>
    </w:p>
    <w:p>
      <w:r>
        <w:rPr>
          <w:i/>
          <w:color w:val="666666"/>
          <w:sz w:val="18"/>
        </w:rPr>
        <w:t>Muedano-Sosa A et al.  ·  Exp Gerontol  ·  01.10.2026  ·  PMID 42551772</w:t>
      </w:r>
    </w:p>
    <w:p>
      <w:r>
        <w:t>In-silico-Transkriptomanalyse öffentlicher Datensätze zur Charakterisierung von Genexpressions-Trajektorien während physiologischen und pathologischen Alterns von Mikroglia.</w:t>
      </w:r>
    </w:p>
    <w:p>
      <w:r>
        <w:rPr>
          <w:b/>
        </w:rPr>
        <w:t xml:space="preserve">Ergebnis: </w:t>
      </w:r>
      <w:r>
        <w:t>Physiologisches Alter der Mikroglia zeigt nichtlineare, spiegelsymmetrische Expressionsmuster bei Genen der Mitochondrienfunktion, lysosomalen Degradation und Immunantwort. Dieses Muster ist in humanen Daten konserviert. Bei pathologischem Altern (APP/PS1 transgene Mäuse) wird dieses adaptive Muster gestört – anhaltende Entzündungs- und Mitochondriendysfunktion. Mittleres Alter könnte kritischer Übergangspunkt sein, bevor Neuroinflammation einsetzt. Gene, die in transgenen Mäusen dysreguliert sind, zeigen ähnliche Trends in AD-Patienten.</w:t>
      </w:r>
    </w:p>
    <w:p>
      <w:r>
        <w:rPr>
          <w:b/>
          <w:sz w:val="19"/>
        </w:rPr>
        <w:t xml:space="preserve">Übertragbarkeit: </w:t>
      </w:r>
      <w:r>
        <w:rPr>
          <w:sz w:val="19"/>
        </w:rPr>
        <w:t>Mausmodelle und humane Daten, grundlagenwissenschaftlich; translational zu AD</w:t>
      </w:r>
    </w:p>
    <w:p>
      <w:r>
        <w:rPr>
          <w:color w:val="5A7D3A"/>
          <w:sz w:val="18"/>
        </w:rPr>
        <w:t>https://pubmed.ncbi.nlm.nih.gov/42551772/</w:t>
      </w:r>
    </w:p>
    <w:p>
      <w:pPr>
        <w:pStyle w:val="Heading1"/>
      </w:pPr>
      <w:r>
        <w:t>Aufgenommen am 10.09.2026</w:t>
      </w:r>
    </w:p>
    <w:p>
      <w:pPr>
        <w:pStyle w:val="Heading2"/>
      </w:pPr>
      <w:r>
        <w:t>Altersgerechte Umgebungen reduzieren Motoric-Cognitive-Risk-Syndrom</w:t>
      </w:r>
    </w:p>
    <w:p>
      <w:r>
        <w:rPr>
          <w:i/>
          <w:color w:val="666666"/>
          <w:sz w:val="18"/>
        </w:rPr>
        <w:t>Zhang H et al.  ·  Alzheimers Dement  ·  Sept. 2026  ·  PMID 42712112</w:t>
      </w:r>
    </w:p>
    <w:p>
      <w:r>
        <w:t>Prospektive Kohortenstudie aus den USA, die den Zusammenhang zwischen altersgerechten Lebensumgebungen und Inzidenz des Motoric Cognitive Risk Syndrome (Prädemenzsyndrom) untersucht.</w:t>
      </w:r>
    </w:p>
    <w:p>
      <w:r>
        <w:rPr>
          <w:b/>
        </w:rPr>
        <w:t xml:space="preserve">Ergebnis: </w:t>
      </w:r>
      <w:r>
        <w:t>Über 4 Jahre Nachbeobachtung: 801 Neuerkrankungen bei 7.608 älteren Erwachsenen (Durchschnittsalter 76,8 Jahre). Mit höherem altersgerechten Umgebungsscore geringeres MCR-Risiko (Q3: HR 0,75; 95%-KI 0,61–0,91; Q4: HR 0,62; 95%-KI 0,50–0,78); Dosis-Wirkungs-Beziehung nachgewiesen (HR 0,96 pro Punkt; p&lt;0,01).</w:t>
      </w:r>
    </w:p>
    <w:p>
      <w:r>
        <w:rPr>
          <w:b/>
          <w:sz w:val="19"/>
        </w:rPr>
        <w:t xml:space="preserve">Übertragbarkeit: </w:t>
      </w:r>
      <w:r>
        <w:rPr>
          <w:sz w:val="19"/>
        </w:rPr>
        <w:t>USA-Daten – Umweltgestaltung ist länderübergreifend adaptierbar, Outcome-Messung jedoch populationsspezifisch.</w:t>
      </w:r>
    </w:p>
    <w:p>
      <w:r>
        <w:rPr>
          <w:color w:val="5A7D3A"/>
          <w:sz w:val="18"/>
        </w:rPr>
        <w:t>https://pubmed.ncbi.nlm.nih.gov/42712112/</w:t>
      </w:r>
    </w:p>
    <w:p>
      <w:pPr>
        <w:pStyle w:val="Heading2"/>
      </w:pPr>
      <w:r>
        <w:t>Mundgesundheit und Gebrechlichkeit bei Krebspatienten: Metaanalyse</w:t>
      </w:r>
    </w:p>
    <w:p>
      <w:r>
        <w:rPr>
          <w:i/>
          <w:color w:val="666666"/>
          <w:sz w:val="18"/>
        </w:rPr>
        <w:t>Liu W et al.  ·  Front Public Health  ·  24.08.2026  ·  PMID 42707137</w:t>
      </w:r>
    </w:p>
    <w:p>
      <w:r>
        <w:t>Systematische Übersicht und Metaanalyse von 13 Studien (n=3.524) zur Prävalenz und Einflussfaktoren von Mundgebrechlichkeit (oral frailty) bei Krebspatienten.</w:t>
      </w:r>
    </w:p>
    <w:p>
      <w:r>
        <w:rPr>
          <w:b/>
        </w:rPr>
        <w:t xml:space="preserve">Ergebnis: </w:t>
      </w:r>
      <w:r>
        <w:t>Mundgebrechlichkeit-Prävalenz 52 % (95%-KI: 46–59 %). Signifikante Assoziationen mit: Zahnersatz (OR 15,09; KI 6,78–33,58), schlechter Mundgesundheit (OR 4,70; KI 2,13–10,39), körperlicher Frailty (OR 3,63; KI 2,40–5,50), Rauchen (OR 3,53; KI 2,34–5,31), Mangelernährung (OR 3,40; KI 2,01–5,75), Xerostomie (OR 3,46; KI 2,11–5,68) und Radiotherapie (OR 2,62; KI 1,67–4,11).</w:t>
      </w:r>
    </w:p>
    <w:p>
      <w:r>
        <w:rPr>
          <w:b/>
          <w:sz w:val="19"/>
        </w:rPr>
        <w:t xml:space="preserve">Übertragbarkeit: </w:t>
      </w:r>
      <w:r>
        <w:rPr>
          <w:sz w:val="19"/>
        </w:rPr>
        <w:t>Internationale Metaanalyse – risikofaktoren geriatrierelevant, aber Mundhygiene-Standards regional unterschiedlich.</w:t>
      </w:r>
    </w:p>
    <w:p>
      <w:r>
        <w:rPr>
          <w:color w:val="5A7D3A"/>
          <w:sz w:val="18"/>
        </w:rPr>
        <w:t>https://pubmed.ncbi.nlm.nih.gov/42707137/</w:t>
      </w:r>
    </w:p>
    <w:p>
      <w:pPr>
        <w:pStyle w:val="Heading2"/>
      </w:pPr>
      <w:r>
        <w:t>Demenzkonversion bei milder kognitiver Beeinträchtigung: Inzidenzraten in Brasilien</w:t>
      </w:r>
    </w:p>
    <w:p>
      <w:r>
        <w:rPr>
          <w:i/>
          <w:color w:val="666666"/>
          <w:sz w:val="18"/>
        </w:rPr>
        <w:t>Engelmann GTO et al.  ·  Alzheimers Dement  ·  Sept. 2026  ·  PMID 42706593</w:t>
      </w:r>
    </w:p>
    <w:p>
      <w:r>
        <w:t>15-Jahres-Kohortenstudie der kognitiven Entwicklung brasilianischer Älterer, die Übergangsraten von milder kognitiver Beeinträchtigung zu Demenz vom Alzheimer-Typ quantifiziert.</w:t>
      </w:r>
    </w:p>
    <w:p>
      <w:r>
        <w:rPr>
          <w:b/>
        </w:rPr>
        <w:t xml:space="preserve">Ergebnis: </w:t>
      </w:r>
      <w:r>
        <w:t>Jährliche Demenzkonversionsrate in der MCI-Gruppe 10,72 pro 100 Personenjahre (95%-KI: 8,54–13,29 %); kumulative Inzidenz nach 3 Jahren 29,85 % (95%-KI: 22,74–36,96 %), unter Berücksichtigung von Sterblichkeit als konkurrierende Ereignis. Die Studie belegt rasche Progression in Ländern mit mittlerem und niedrigem Einkommen.</w:t>
      </w:r>
    </w:p>
    <w:p>
      <w:r>
        <w:rPr>
          <w:b/>
          <w:sz w:val="19"/>
        </w:rPr>
        <w:t xml:space="preserve">Übertragbarkeit: </w:t>
      </w:r>
      <w:r>
        <w:rPr>
          <w:sz w:val="19"/>
        </w:rPr>
        <w:t>Brasilien - Daten für Länder mit niedrigerer Lebenserwartung; Übertragbarkeit auf Deutschland begrenzt.</w:t>
      </w:r>
    </w:p>
    <w:p>
      <w:r>
        <w:rPr>
          <w:color w:val="5A7D3A"/>
          <w:sz w:val="18"/>
        </w:rPr>
        <w:t>https://pubmed.ncbi.nlm.nih.gov/42706593/</w:t>
      </w:r>
    </w:p>
    <w:p>
      <w:pPr>
        <w:pStyle w:val="Heading2"/>
      </w:pPr>
      <w:r>
        <w:t>Lifestyle und Telomerlänge bei psychischen Erkrankungen</w:t>
      </w:r>
    </w:p>
    <w:p>
      <w:r>
        <w:rPr>
          <w:i/>
          <w:color w:val="666666"/>
          <w:sz w:val="18"/>
        </w:rPr>
        <w:t>Mlakar V et al.  ·  Transl Psychiatry  ·  02.09.2026  ·  PMID 42706234</w:t>
      </w:r>
    </w:p>
    <w:p>
      <w:r>
        <w:t>Querschnittstudie, die den Zusammenhang zwischen Lebensstilfaktoren und biologischem Alterungsmarker (Telomerlänge) bei 410 Personen mit schweren psychischen Störungen untersucht.</w:t>
      </w:r>
    </w:p>
    <w:p>
      <w:r>
        <w:rPr>
          <w:b/>
        </w:rPr>
        <w:t xml:space="preserve">Ergebnis: </w:t>
      </w:r>
      <w:r>
        <w:t>Personen mit ungesundem Lebensstil hatten kürzere Telomere als solche mit gesundem Lebensstil (Cohens d = 0,58, F = 8,62, p = 0,004). Mit zunehmender Anzahl ungesunder Verhaltensweisen kürzere Telomere (F = 2,69, p = 0,02, adjustiert für Alter, Geschlecht, Ethnizität, Trauma, Medikation, Bildung, Diagnose). Gesunder Lebensstil assoziiert mit etwa 6 Jahren niedrigerem biologischem Alter.</w:t>
      </w:r>
    </w:p>
    <w:p>
      <w:r>
        <w:rPr>
          <w:b/>
          <w:sz w:val="19"/>
        </w:rPr>
        <w:t xml:space="preserve">Übertragbarkeit: </w:t>
      </w:r>
      <w:r>
        <w:rPr>
          <w:sz w:val="19"/>
        </w:rPr>
        <w:t>Norwegen-England – psychische Grundpopulation, methodisch solid; Übertragbarkeit auf deutsches Versorgungssystem moderat.</w:t>
      </w:r>
    </w:p>
    <w:p>
      <w:r>
        <w:rPr>
          <w:color w:val="5A7D3A"/>
          <w:sz w:val="18"/>
        </w:rPr>
        <w:t>https://pubmed.ncbi.nlm.nih.gov/42706234/</w:t>
      </w:r>
    </w:p>
    <w:p>
      <w:pPr>
        <w:pStyle w:val="Heading2"/>
      </w:pPr>
      <w:r>
        <w:t>Perspektivenübernahme reduziert Altersstereotypen bei Onlineinterventionen</w:t>
      </w:r>
    </w:p>
    <w:p>
      <w:r>
        <w:rPr>
          <w:i/>
          <w:color w:val="666666"/>
          <w:sz w:val="18"/>
        </w:rPr>
        <w:t>Stecker L et al.  ·  J Aging Stud  ·  08.08.2026  ·  PMID 42705830</w:t>
      </w:r>
    </w:p>
    <w:p>
      <w:r>
        <w:t>Experimentelle Studie, welche von drei Kurzzeitinterventionen gegen Altersdiskriminierung und Hassrede im Internet die Wirksamkeit vergleicht.</w:t>
      </w:r>
    </w:p>
    <w:p>
      <w:r>
        <w:rPr>
          <w:b/>
        </w:rPr>
        <w:t xml:space="preserve">Ergebnis: </w:t>
      </w:r>
      <w:r>
        <w:t>Perspektivenübernahme war die einzige Intervention, die explizite Stereotype signifikant reduzierte (zwischen den Gruppen gemessen mit IAT und Likert-Skalen); implizite Ageism-Verzerrung wurde durch keine der drei kurzen Interventionen verschoben. Altersangst moderierte die Effektivität nicht, sagte aber explizite Altersdiskriminierung voraus.</w:t>
      </w:r>
    </w:p>
    <w:p>
      <w:r>
        <w:rPr>
          <w:b/>
          <w:sz w:val="19"/>
        </w:rPr>
        <w:t xml:space="preserve">Übertragbarkeit: </w:t>
      </w:r>
      <w:r>
        <w:rPr>
          <w:sz w:val="19"/>
        </w:rPr>
        <w:t>Deutschland - universitäre Stichprobe, aber Onlineformat länderübergreifend einsetzbar.</w:t>
      </w:r>
    </w:p>
    <w:p>
      <w:r>
        <w:rPr>
          <w:color w:val="5A7D3A"/>
          <w:sz w:val="18"/>
        </w:rPr>
        <w:t>https://pubmed.ncbi.nlm.nih.gov/42705830/</w:t>
      </w:r>
    </w:p>
    <w:p>
      <w:pPr>
        <w:pStyle w:val="Heading2"/>
      </w:pPr>
      <w:r>
        <w:t>Schichtarbeit, biologische Altersbeschleunigung und Sterblichkeit</w:t>
      </w:r>
    </w:p>
    <w:p>
      <w:r>
        <w:rPr>
          <w:i/>
          <w:color w:val="666666"/>
          <w:sz w:val="18"/>
        </w:rPr>
        <w:t>Wang R et al.  ·  Int Arch Occup Environ Health  ·  06.09.2026  ·  PMID 42701914</w:t>
      </w:r>
    </w:p>
    <w:p>
      <w:r>
        <w:t>Prospektive Kohortenstudie von 7.548 US-Erwachsenen mit Mortality-Follow-up, die Assoziationen zwischen Schichtarbeit und All-cause-Mortalität sowie die Rolle biologischer Altersbeschleunigung untersucht.</w:t>
      </w:r>
    </w:p>
    <w:p>
      <w:r>
        <w:rPr>
          <w:b/>
        </w:rPr>
        <w:t xml:space="preserve">Ergebnis: </w:t>
      </w:r>
      <w:r>
        <w:t>Schichtarbeit assoziiert mit erhöhter Gesamtsterblichkeit (HR 1,52; 95%-KI 1,09–2,13). Schichtarbeiter zeigten stärkere PhenoAge-Beschleunigung (β = 0,39 Jahre). PhenoAge-Beschleunigung statistisch verantwortlich für 6,18 % der Assoziation zwischen Schichtarbeit und Sterblichkeit (kausale Mediation nicht inferierbar).</w:t>
      </w:r>
    </w:p>
    <w:p>
      <w:r>
        <w:rPr>
          <w:b/>
          <w:sz w:val="19"/>
        </w:rPr>
        <w:t xml:space="preserve">Übertragbarkeit: </w:t>
      </w:r>
      <w:r>
        <w:rPr>
          <w:sz w:val="19"/>
        </w:rPr>
        <w:t>USA-NHANES-Daten – Schichtarbeit-Definition international vergleichbar, aber Arbeitsmarkt und Sozialversicherung unterscheiden sich erheblich.</w:t>
      </w:r>
    </w:p>
    <w:p>
      <w:r>
        <w:rPr>
          <w:color w:val="5A7D3A"/>
          <w:sz w:val="18"/>
        </w:rPr>
        <w:t>https://pubmed.ncbi.nlm.nih.gov/42701914/</w:t>
      </w:r>
    </w:p>
    <w:p>
      <w:pPr>
        <w:pStyle w:val="Heading1"/>
      </w:pPr>
      <w:r>
        <w:t>Aufgenommen am 09.09.2026</w:t>
      </w:r>
    </w:p>
    <w:p>
      <w:pPr>
        <w:pStyle w:val="Heading2"/>
      </w:pPr>
      <w:r>
        <w:t>Sozioökonomische Ungleichheiten in der Lebenserwartung nach Diagnose: Dänemark 64 Erkrankungen</w:t>
      </w:r>
    </w:p>
    <w:p>
      <w:r>
        <w:rPr>
          <w:i/>
          <w:color w:val="666666"/>
          <w:sz w:val="18"/>
        </w:rPr>
        <w:t>Pallesen AVJ et al.  ·  Eur J Public Health  ·  04.08.2026  ·  PMID 42709676</w:t>
      </w:r>
    </w:p>
    <w:p>
      <w:r>
        <w:t>Bevölkerungsregister-Studie (4,4 Mio. Dänen) mit Multistate-Modellen zur Abbildung von Bildungs- und Einkommensungleichheiten in der Lebenserwartung nach Diagnose von 64 nichtübertragbaren Erkrankungen.</w:t>
      </w:r>
    </w:p>
    <w:p>
      <w:r>
        <w:rPr>
          <w:b/>
        </w:rPr>
        <w:t xml:space="preserve">Ergebnis: </w:t>
      </w:r>
      <w:r>
        <w:t>Bildungs- und Einkommensungleichheiten in der Lebenserwartung nach Diagnosestellung waren konsistent über alle 64 Erkrankungen hinweg vorhanden. Beispiel Leberzirrhose: Hochgebildete 50-Jährige mit Diagnose lebten 17 Jahre (Frauen) bzw. 13 Jahre (Männer) länger als Niedriggebildete (14 bzw. 10 Jahre). Befund zeigt universelles Muster: Sozioökonomische Position beeinflusst Krankheitsverlauf und Mortalität unabhängig von der Erkrankung.</w:t>
      </w:r>
    </w:p>
    <w:p>
      <w:r>
        <w:rPr>
          <w:b/>
          <w:sz w:val="19"/>
        </w:rPr>
        <w:t xml:space="preserve">Übertragbarkeit: </w:t>
      </w:r>
      <w:r>
        <w:rPr>
          <w:sz w:val="19"/>
        </w:rPr>
        <w:t>Dänische Vollpopulationsdaten, Sozialversicherungssystem vergleichbar mit Deutschland.</w:t>
      </w:r>
    </w:p>
    <w:p>
      <w:r>
        <w:rPr>
          <w:color w:val="5A7D3A"/>
          <w:sz w:val="18"/>
        </w:rPr>
        <w:t>https://pubmed.ncbi.nlm.nih.gov/42709676/</w:t>
      </w:r>
    </w:p>
    <w:p>
      <w:pPr>
        <w:pStyle w:val="Heading2"/>
      </w:pPr>
      <w:r>
        <w:t>Allostatic Load vorhersagt Frailty-Entwicklung: 12-Jahres-Längsschnittstudie</w:t>
      </w:r>
    </w:p>
    <w:p>
      <w:r>
        <w:rPr>
          <w:i/>
          <w:color w:val="666666"/>
          <w:sz w:val="18"/>
        </w:rPr>
        <w:t>Arkesteijn M et al.  ·  Stress Health  ·  Okt. 2026  ·  PMID 42708507</w:t>
      </w:r>
    </w:p>
    <w:p>
      <w:r>
        <w:t>English Longitudinal Survey on Ageing (ELSA): 3248 Personen 50–89 Jahre über 12 Jahre; Analyse, ob Allostatic Load (Multimarkerbiomarker chronischen Stresses) die Neuonset von Prä-Frailty oder Frailty vorhersagt.</w:t>
      </w:r>
    </w:p>
    <w:p>
      <w:r>
        <w:rPr>
          <w:b/>
        </w:rPr>
        <w:t xml:space="preserve">Ergebnis: </w:t>
      </w:r>
      <w:r>
        <w:t>Erhöhte Allostatic Load war signifikanter Prädiktor für Onset von Prä-Frailty und Frailty (Hazard Ratio nicht in Abstract beziffert). Soziale Unterstützung modifizierte diesen Effekt modifizierbar. Alter und Geschlecht interagierten nicht mit Allostatic Load und Frailty-Vorhersage. Allostatic Load könnte als Screening-Instrument für Frailty-Risiko bei aktuell nicht-frailem Individuen dienen.</w:t>
      </w:r>
    </w:p>
    <w:p>
      <w:r>
        <w:rPr>
          <w:b/>
          <w:sz w:val="19"/>
        </w:rPr>
        <w:t xml:space="preserve">Übertragbarkeit: </w:t>
      </w:r>
      <w:r>
        <w:rPr>
          <w:sz w:val="19"/>
        </w:rPr>
        <w:t>Großbritannien, NHS-System, nationale Surveydaten vergleichbar mit deutschem Setting.</w:t>
      </w:r>
    </w:p>
    <w:p>
      <w:r>
        <w:rPr>
          <w:color w:val="5A7D3A"/>
          <w:sz w:val="18"/>
        </w:rPr>
        <w:t>https://pubmed.ncbi.nlm.nih.gov/42708507/</w:t>
      </w:r>
    </w:p>
    <w:p>
      <w:pPr>
        <w:pStyle w:val="Heading2"/>
      </w:pPr>
      <w:r>
        <w:t>Zivilgesellschaftliche Beteiligung älterer Menschen und wahrgenommene Gesundheit</w:t>
      </w:r>
    </w:p>
    <w:p>
      <w:r>
        <w:rPr>
          <w:i/>
          <w:color w:val="666666"/>
          <w:sz w:val="18"/>
        </w:rPr>
        <w:t>Cantore M et al.  ·  Front Public Health  ·  24.08.2026  ·  PMID 42707366</w:t>
      </w:r>
    </w:p>
    <w:p>
      <w:r>
        <w:t>Qualitative Studie (Italien, 2025): 12 ältere Erwachsene (≥70 Jahre) zu Erfahrungen mit zivilgesellschaftlicher und politischer Partizipation und deren Auswirkungen auf Gesundheit und Wohlbefinden.</w:t>
      </w:r>
    </w:p>
    <w:p>
      <w:r>
        <w:rPr>
          <w:b/>
        </w:rPr>
        <w:t xml:space="preserve">Ergebnis: </w:t>
      </w:r>
      <w:r>
        <w:t>Freiwilliges Engagement fördert körperliche Mobilität, Handlungsfähigkeit und Selbstwirksamkeit. Politische Partizipation wirkt kognitiv stimulierend, führt aber häufig zu emotionaler Erschöpfung, Entfremdung und Frustration. Intergenerationale Lernprozesse und Dialog gelten als zentral für nachhaltiges Engagement. Befund belegt, dass emotionale Belastung durch politische Enttäuschung zu beachten ist.</w:t>
      </w:r>
    </w:p>
    <w:p>
      <w:r>
        <w:rPr>
          <w:b/>
          <w:sz w:val="19"/>
        </w:rPr>
        <w:t xml:space="preserve">Übertragbarkeit: </w:t>
      </w:r>
      <w:r>
        <w:rPr>
          <w:sz w:val="19"/>
        </w:rPr>
        <w:t>Italien, Südeuropa; Gesundheitssystem und zivilgesellschaftliche Strukturen unterscheiden sich von Deutschland.</w:t>
      </w:r>
    </w:p>
    <w:p>
      <w:r>
        <w:rPr>
          <w:color w:val="5A7D3A"/>
          <w:sz w:val="18"/>
        </w:rPr>
        <w:t>https://pubmed.ncbi.nlm.nih.gov/42707366/</w:t>
      </w:r>
    </w:p>
    <w:p>
      <w:pPr>
        <w:pStyle w:val="Heading2"/>
      </w:pPr>
      <w:r>
        <w:t>Altern ohne Verwandte: Transnigration, Sehnsucht und Desillusionierung</w:t>
      </w:r>
    </w:p>
    <w:p>
      <w:r>
        <w:rPr>
          <w:i/>
          <w:color w:val="666666"/>
          <w:sz w:val="18"/>
        </w:rPr>
        <w:t>Mishra J et al.  ·  J Aging Stud  ·  26.06.2026  ·  PMID 42705826</w:t>
      </w:r>
    </w:p>
    <w:p>
      <w:r>
        <w:t>Ethnografische Studie in Patiala (Nordindien) mit älteren Erwachsenen: Erfahrungen mit transnationaler Migration ihrer Familienangehörigen und deren Auswirkungen auf Wahrnehmung von Sorge, Zugehörigkeit und Familienrekonfiguration im Alter.</w:t>
      </w:r>
    </w:p>
    <w:p>
      <w:r>
        <w:rPr>
          <w:b/>
        </w:rPr>
        <w:t xml:space="preserve">Ergebnis: </w:t>
      </w:r>
      <w:r>
        <w:t>Ältere Ermöglichen Emigration ihrer Kinder durch Ressourcen-Pooling; erleben aber Abwesenheit emigrierter Kinder in paradoxer Liminalität. Zunehmende Desillusionierung mit Staat (Arbeitslosigkeit, Agrarkrise, Korruption), komplexe Beziehungen zu internen Migranten aus anderen Bundesstaaten. Migration produziert mehrschichtige affektive, soziale und politische Verflechtungen, die Alterserfahrung prägen.</w:t>
      </w:r>
    </w:p>
    <w:p>
      <w:r>
        <w:rPr>
          <w:b/>
          <w:sz w:val="19"/>
        </w:rPr>
        <w:t xml:space="preserve">Übertragbarkeit: </w:t>
      </w:r>
      <w:r>
        <w:rPr>
          <w:sz w:val="19"/>
        </w:rPr>
        <w:t>Indien, nicht übertragbar; dokumentiert Mechanismen familiärer und sozialer Strukturen beim Altern unter Migrationsdruck.</w:t>
      </w:r>
    </w:p>
    <w:p>
      <w:r>
        <w:rPr>
          <w:color w:val="5A7D3A"/>
          <w:sz w:val="18"/>
        </w:rPr>
        <w:t>https://pubmed.ncbi.nlm.nih.gov/42705826/</w:t>
      </w:r>
    </w:p>
    <w:p>
      <w:pPr>
        <w:pStyle w:val="Heading2"/>
      </w:pPr>
      <w:r>
        <w:t>Kognitives Frailty bei hospitalisierten älteren Patienten mit Herzinsuffizienz</w:t>
      </w:r>
    </w:p>
    <w:p>
      <w:r>
        <w:rPr>
          <w:i/>
          <w:color w:val="666666"/>
          <w:sz w:val="18"/>
        </w:rPr>
        <w:t>Mou Y et al.  ·  Front Public Health  ·  21.08.2026  ·  PMID 42698449</w:t>
      </w:r>
    </w:p>
    <w:p>
      <w:r>
        <w:t>Systematischer Review (8 Querschnittsstudien, 20 Modelle zur Identifikation von kognitiver Frailty bei hospitalisierten älteren Patienten mit chronischer Herzinsuffizienz in China).</w:t>
      </w:r>
    </w:p>
    <w:p>
      <w:r>
        <w:rPr>
          <w:b/>
        </w:rPr>
        <w:t xml:space="preserve">Ergebnis: </w:t>
      </w:r>
      <w:r>
        <w:t>Alle Modelle waren Screening-/Diagnosemodelle für prävalentes kognitives Frailty (nicht prognostisch). Externe Validierung zeigte AUC 0,770–0,852. Häufigste Prädiktoren: Alter, NYHA-Klassifikation, Depression, Ernährungsstatus und Schlaf-Faktoren. Alle Studien mit hohem Bias-Risiko; Modelle nicht reif für klinische Routineentscheidungen. Prospektive Modellentwicklung, Multicenter-Validierung und klinische Effektivitätsanalysen erforderlich.</w:t>
      </w:r>
    </w:p>
    <w:p>
      <w:r>
        <w:rPr>
          <w:b/>
          <w:sz w:val="19"/>
        </w:rPr>
        <w:t xml:space="preserve">Übertragbarkeit: </w:t>
      </w:r>
      <w:r>
        <w:rPr>
          <w:sz w:val="19"/>
        </w:rPr>
        <w:t>China, andere Strukturen; Befund zeigt, welche Faktoren kognitives Frailty bestimmen – relevant für deutsches geriatrisches Assessment.</w:t>
      </w:r>
    </w:p>
    <w:p>
      <w:r>
        <w:rPr>
          <w:color w:val="5A7D3A"/>
          <w:sz w:val="18"/>
        </w:rPr>
        <w:t>https://pubmed.ncbi.nlm.nih.gov/42698449/</w:t>
      </w:r>
    </w:p>
    <w:p>
      <w:pPr>
        <w:pStyle w:val="Heading2"/>
      </w:pPr>
      <w:r>
        <w:t>SFRP2 und FSTL1 regulieren DHT-induzierte Seneszenz in Haarfollikeln</w:t>
      </w:r>
    </w:p>
    <w:p>
      <w:r>
        <w:rPr>
          <w:i/>
          <w:color w:val="666666"/>
          <w:sz w:val="18"/>
        </w:rPr>
        <w:t>Huang Y et al.  ·  Aging Cell  ·  Sept. 2026  ·  PMID 42698274</w:t>
      </w:r>
    </w:p>
    <w:p>
      <w:r>
        <w:t>Mechanistische Studie zu androgenetischer Alopezie (AGA): Knock-down-Experimente und Mausmodell zur Rolle der SFRP2-FSTL1-Achse bei DHT-induzierten mitochondrialen Dysfunktionen und Seneszenz von Dermalapilla-Zellen.</w:t>
      </w:r>
    </w:p>
    <w:p>
      <w:r>
        <w:rPr>
          <w:b/>
        </w:rPr>
        <w:t xml:space="preserve">Ergebnis: </w:t>
      </w:r>
      <w:r>
        <w:t>SFRP2 hochexprimiert in AGA-Dermalapilla-Zellen. SFRP2-Knockdown verbesserte Haaregeneration und Follikel-Morphologie in vivo, förderte DPC-Proliferation/Migration in vitro. SFRP2 beeinflusst FSTL1-Proteinstabilität. Knockdown von FSTL1 hob negative Effekte von SFRP2-Überexpression auf. SFRP2-FSTL1-Achse als neuer therapeutischer Ansatzpunkt für AGA-Verlangsamung identifiziert.</w:t>
      </w:r>
    </w:p>
    <w:p>
      <w:r>
        <w:rPr>
          <w:b/>
          <w:sz w:val="19"/>
        </w:rPr>
        <w:t xml:space="preserve">Übertragbarkeit: </w:t>
      </w:r>
      <w:r>
        <w:rPr>
          <w:sz w:val="19"/>
        </w:rPr>
        <w:t>Grundlagenforschung mit klinischem Ansatz (AGA-Behandlung); zelluläre Seneszenz-Mechanismen relevant für Aging-Verständnis.</w:t>
      </w:r>
    </w:p>
    <w:p>
      <w:r>
        <w:rPr>
          <w:color w:val="5A7D3A"/>
          <w:sz w:val="18"/>
        </w:rPr>
        <w:t>https://pubmed.ncbi.nlm.nih.gov/42698274/</w:t>
      </w:r>
    </w:p>
    <w:p>
      <w:pPr>
        <w:pStyle w:val="Heading2"/>
      </w:pPr>
      <w:r>
        <w:t>Körperliche Aktivität moderiert psychische Belastung im Alter unterschiedlich</w:t>
      </w:r>
    </w:p>
    <w:p>
      <w:r>
        <w:rPr>
          <w:i/>
          <w:color w:val="666666"/>
          <w:sz w:val="18"/>
        </w:rPr>
        <w:t>Järvensivu L et al.  ·  J Psychiatr Res  ·  07.08.2026  ·  PMID 42585821</w:t>
      </w:r>
    </w:p>
    <w:p>
      <w:r>
        <w:t>Finnische Kohortenstudie (Helsinki Health Study 2017–2022): Zwei Altersgruppen (19–39 Jahre und 55–75 Jahre) zur Assoziation zwischen Intensität der Freizeit-Bewegungsaktivität und psychischer Belastung nach 5 Jahren.</w:t>
      </w:r>
    </w:p>
    <w:p>
      <w:r>
        <w:rPr>
          <w:b/>
        </w:rPr>
        <w:t xml:space="preserve">Ergebnis: </w:t>
      </w:r>
      <w:r>
        <w:t>Höhere moderate Aktivität assoziiert mit weniger psychischer Belastung nur in der älteren Kohorte (β = −0,163; p &lt; 0,001). Vigorous Activity zeigte altersunabhängig protektive Wirkung (β = −0,053 für beide; p &lt; 0,001). Effekt blieb nach Anpassung für Soziodemografika und Gesundheitsfaktoren signifikant.</w:t>
      </w:r>
    </w:p>
    <w:p>
      <w:r>
        <w:rPr>
          <w:b/>
          <w:sz w:val="19"/>
        </w:rPr>
        <w:t xml:space="preserve">Übertragbarkeit: </w:t>
      </w:r>
      <w:r>
        <w:rPr>
          <w:sz w:val="19"/>
        </w:rPr>
        <w:t>Finnland, skandinavisches Versicherungssystem, vergleichbare Erfassungsstandards.</w:t>
      </w:r>
    </w:p>
    <w:p>
      <w:r>
        <w:rPr>
          <w:color w:val="5A7D3A"/>
          <w:sz w:val="18"/>
        </w:rPr>
        <w:t>https://pubmed.ncbi.nlm.nih.gov/42585821/</w:t>
      </w:r>
    </w:p>
    <w:p>
      <w:pPr>
        <w:pStyle w:val="Heading1"/>
      </w:pPr>
      <w:r>
        <w:t>Aufgenommen am 08.09.2026</w:t>
      </w:r>
    </w:p>
    <w:p>
      <w:pPr>
        <w:pStyle w:val="Heading2"/>
      </w:pPr>
      <w:r>
        <w:t>Langzeitpflege für Ältere in Südostasien: Verfügbarkeit, Qualität und Lücken</w:t>
      </w:r>
    </w:p>
    <w:p>
      <w:r>
        <w:rPr>
          <w:i/>
          <w:color w:val="666666"/>
          <w:sz w:val="18"/>
        </w:rPr>
        <w:t>Sasaki Y et al.  ·  Geriatr Gerontol Int  ·  Sept. 2026  ·  PMID 42705630</w:t>
      </w:r>
    </w:p>
    <w:p>
      <w:r>
        <w:t>Mixed-Methods-Studie (Sekundärdaten zu UHC, demografische Trends, Expertinneninterviews, 7 Evaluationsdomänen) zur Organisation und Qualität der Langzeitpflege in Kambodscha, Thailand, Philippinen, Malaysia und Myanmar während des demographischen Wandels.</w:t>
      </w:r>
    </w:p>
    <w:p>
      <w:r>
        <w:rPr>
          <w:b/>
        </w:rPr>
        <w:t xml:space="preserve">Ergebnis: </w:t>
      </w:r>
      <w:r>
        <w:t>Positive Assoziation zwischen UHC-Fortschritt und Altersstruktur. Langzeitpflege-Organisation und -Versorgung variieren stark; Heimbasierte Pflege dominiert, Verfügbarkeit und Integration öffentlicher Dienste inkonsistent. Demenzbetreuung weitgehend unerkannt, haushaltszentriert. Informations- und Kommunikationstechnologien minimal/absent. Thailand zeigt Fortschritt bei Rehabilitations-UHC-Verknüpfung, aber Personalengpässe und Zugangsbarrieren. Präventivversorgung, einschließlich Frailty-Prävention, unterentwickelt.</w:t>
      </w:r>
    </w:p>
    <w:p>
      <w:r>
        <w:rPr>
          <w:b/>
          <w:sz w:val="19"/>
        </w:rPr>
        <w:t xml:space="preserve">Übertragbarkeit: </w:t>
      </w:r>
      <w:r>
        <w:rPr>
          <w:sz w:val="19"/>
        </w:rPr>
        <w:t>Südostasien, unterschiedliche Finanzierungssysteme und Entwicklungslagen; Befunde zeigen regionale Unterschiede, Übertragung auf Deutschland begrenzt, aber Policy-Implikationen relevant</w:t>
      </w:r>
    </w:p>
    <w:p>
      <w:r>
        <w:rPr>
          <w:color w:val="5A7D3A"/>
          <w:sz w:val="18"/>
        </w:rPr>
        <w:t>https://pubmed.ncbi.nlm.nih.gov/42705630/</w:t>
      </w:r>
    </w:p>
    <w:p>
      <w:pPr>
        <w:pStyle w:val="Heading2"/>
      </w:pPr>
      <w:r>
        <w:t>Gezieltes Kraft- und Balancetraining verbessert Mobilität älterer Aboriginal-Menschen</w:t>
      </w:r>
    </w:p>
    <w:p>
      <w:r>
        <w:rPr>
          <w:i/>
          <w:color w:val="666666"/>
          <w:sz w:val="18"/>
        </w:rPr>
        <w:t>Ivers R et al.  ·  Age Ageing  ·  04.09.2026  ·  PMID 42704260</w:t>
      </w:r>
    </w:p>
    <w:p>
      <w:r>
        <w:t>Kontrollierte Vorher-nachher-Studie (n=19 Standorte Australien, Ironbark-Programm) zum Effekt eines Co-Design-Sturzvorsorgeprogramms mit Übungen und Yarning Circles auf funktionelle Mobilität und Stürze bei Aboriginal-Älteren (≥45 Jahre, n=vor allem Intervention).</w:t>
      </w:r>
    </w:p>
    <w:p>
      <w:r>
        <w:rPr>
          <w:b/>
        </w:rPr>
        <w:t xml:space="preserve">Ergebnis: </w:t>
      </w:r>
      <w:r>
        <w:t>Signifikante Verbesserung der primären Outcome funktionelle Mobilität (SPPB-Veränderung +0,8 Punkte, 95 % CI 0,4–1,1), kürzere Schrittzeiten, bessere Beinstabilität, mehr geplante und beiläufige Bewegung. Keine signifikanten Änderungen bei Stürzen, Lebensqualität oder psychischer Belastung. Kontrollgruppe (Healthy Community) zeigte Verschlechterungen.</w:t>
      </w:r>
    </w:p>
    <w:p>
      <w:r>
        <w:rPr>
          <w:b/>
          <w:sz w:val="19"/>
        </w:rPr>
        <w:t xml:space="preserve">Übertragbarkeit: </w:t>
      </w:r>
      <w:r>
        <w:rPr>
          <w:sz w:val="19"/>
        </w:rPr>
        <w:t>Australien, Kontrollstudie mit funktionellem Endpunkt, Design übertragbar auf andere First-Nations-Settings</w:t>
      </w:r>
    </w:p>
    <w:p>
      <w:r>
        <w:rPr>
          <w:color w:val="5A7D3A"/>
          <w:sz w:val="18"/>
        </w:rPr>
        <w:t>https://pubmed.ncbi.nlm.nih.gov/42704260/</w:t>
      </w:r>
    </w:p>
    <w:p>
      <w:pPr>
        <w:pStyle w:val="Heading2"/>
      </w:pPr>
      <w:r>
        <w:t>Individuelle Ernährungsintervention mit Krafttraining verbessert Frailty bei hospitalisierten Älteren</w:t>
      </w:r>
    </w:p>
    <w:p>
      <w:r>
        <w:rPr>
          <w:i/>
          <w:color w:val="666666"/>
          <w:sz w:val="18"/>
        </w:rPr>
        <w:t>Chen L et al.  ·  J Int Med Res  ·  07.09.2026  ·  PMID 42704222</w:t>
      </w:r>
    </w:p>
    <w:p>
      <w:r>
        <w:t>Prospektive Pilotkohorte ohne Kontrolle (n=120, Durchschnittsalter 87 Jahre) zur Wirkung von Screening-gesteuerter individualisierter Ernährungsunterstützung (bei MNA-SF ≤11) kombiniert mit dosiertem Theraband-Krafttraining 3x wöchentlich über 12 Wochen.</w:t>
      </w:r>
    </w:p>
    <w:p>
      <w:r>
        <w:rPr>
          <w:b/>
        </w:rPr>
        <w:t xml:space="preserve">Ergebnis: </w:t>
      </w:r>
      <w:r>
        <w:t>Signifikante Verbesserungen: Serum-Transferrin, Präalbumin und Albumin (alle p&lt;0,05), MNA-SF-Scores, SPPB-Scores, Mobilität, ADL/IADL-Funktionen, Griffstärke und Gehgeschwindigkeit (alle p&lt;0,05). SPPB-Mindesteffekt erreicht bei höherem Bildungsniveau (aOR=1,96) und niedrigerem Ausgangs-Mobilitätswert (aOR=1,81). Ohne externe Validierung; Ergebnisse vorläufig.</w:t>
      </w:r>
    </w:p>
    <w:p>
      <w:r>
        <w:rPr>
          <w:b/>
          <w:sz w:val="19"/>
        </w:rPr>
        <w:t xml:space="preserve">Übertragbarkeit: </w:t>
      </w:r>
      <w:r>
        <w:rPr>
          <w:sz w:val="19"/>
        </w:rPr>
        <w:t>China (Klinikdaten), Struktur auf deutsche Geriatrie übertragbar (Assessment, Ernährung, Rehabilitation), klinische Dosierung dokumentiert</w:t>
      </w:r>
    </w:p>
    <w:p>
      <w:r>
        <w:rPr>
          <w:color w:val="5A7D3A"/>
          <w:sz w:val="18"/>
        </w:rPr>
        <w:t>https://pubmed.ncbi.nlm.nih.gov/42704222/</w:t>
      </w:r>
    </w:p>
    <w:p>
      <w:pPr>
        <w:pStyle w:val="Heading2"/>
      </w:pPr>
      <w:r>
        <w:t>Gestaffelte Auswahl von Frailty-Assessment-Instrumenten für die klinische Praxis</w:t>
      </w:r>
    </w:p>
    <w:p>
      <w:r>
        <w:rPr>
          <w:i/>
          <w:color w:val="666666"/>
          <w:sz w:val="18"/>
        </w:rPr>
        <w:t>Sládeček S et al.  ·  Clin Interv Aging  ·  02.09.2026  ·  PMID 42703386</w:t>
      </w:r>
    </w:p>
    <w:p>
      <w:r>
        <w:t>Narrative Übersicht über zehn validierte Frailty-Assessments (FRAIL, SOF, CFS, PRISMA-7, VES-13, Fried phenotype, TFI, GFI, EFS, FI-CGA) mit Analyse ihrer konzeptionellen Grundlagen, Einsatzdomänen und praktischen Anforderungen.</w:t>
      </w:r>
    </w:p>
    <w:p>
      <w:r>
        <w:rPr>
          <w:b/>
        </w:rPr>
        <w:t xml:space="preserve">Ergebnis: </w:t>
      </w:r>
      <w:r>
        <w:t>Gegenüberstellung zeigt: Kurze Screening-Tools (PRISMA-7, FRAIL) für erste Kontakte in Ambulanz/Gemeinde; CFS für schnelle klinische Stratifizierung in Akutaufnahme/Notfall; mehrdimensionale Instrumente (EFS) wenn breiterer Überblick nötig, aber keine vollständige geriatrische Diagnostik; CGA+FI-CGA für spezialisierte geriatrische Versorgung. Instrumentwahl hängt von Versorgungskontext, Zweck und Kapazität ab – keine Austauschbarkeit.</w:t>
      </w:r>
    </w:p>
    <w:p>
      <w:r>
        <w:rPr>
          <w:b/>
          <w:sz w:val="19"/>
        </w:rPr>
        <w:t xml:space="preserve">Übertragbarkeit: </w:t>
      </w:r>
      <w:r>
        <w:rPr>
          <w:sz w:val="19"/>
        </w:rPr>
        <w:t>Mehrsprachig validiert (europäischer und nordamerikanischer Raum), klinische Empfehlungen universell anwendbar, deutschsprachige Literatur einbezogen</w:t>
      </w:r>
    </w:p>
    <w:p>
      <w:r>
        <w:rPr>
          <w:color w:val="5A7D3A"/>
          <w:sz w:val="18"/>
        </w:rPr>
        <w:t>https://pubmed.ncbi.nlm.nih.gov/42703386/</w:t>
      </w:r>
    </w:p>
    <w:p>
      <w:pPr>
        <w:pStyle w:val="Heading2"/>
      </w:pPr>
      <w:r>
        <w:t>Digitale Technologien für aktives Altern: Bibliometrie und Forschungslandkarte</w:t>
      </w:r>
    </w:p>
    <w:p>
      <w:r>
        <w:rPr>
          <w:i/>
          <w:color w:val="666666"/>
          <w:sz w:val="18"/>
        </w:rPr>
        <w:t>Wang Y et al.  ·  Inquiry  ·  04.09.2026  ·  PMID 42695810</w:t>
      </w:r>
    </w:p>
    <w:p>
      <w:r>
        <w:t>Bibliometrische Analyse (n=837 Publikationen 2006–2025, Web of Science) zur Kartierung der Forschungslandschaft digitaler Technologien für aktives Altern, Identifikation von Clustern, Trends und thematischen Strukturen.</w:t>
      </w:r>
    </w:p>
    <w:p>
      <w:r>
        <w:rPr>
          <w:b/>
        </w:rPr>
        <w:t xml:space="preserve">Ergebnis: </w:t>
      </w:r>
      <w:r>
        <w:t>Publikationen steigen ab 2018 deutlich an. Fünf Forschungscluster: Technologieakzeptanz und Befähigung, digitale Lifestyle-Interventionen, digitale Partizipation und Smart Environments, eHealth-gestützte Verhaltensänderung, Machine-Learning-basierte Altersassessments. Schlüsselthemen: digitale Inklusion, körperliche Aktivität, Gesundheitsrisiko-Analytik, Lebensqualität. Verschiebung hin zu Funktionsfähigkeit und personalisierter Unterstützung; KI-basierte Assessments noch früh, sollten vorsichtig interpretiert werden.</w:t>
      </w:r>
    </w:p>
    <w:p>
      <w:r>
        <w:rPr>
          <w:b/>
          <w:sz w:val="19"/>
        </w:rPr>
        <w:t xml:space="preserve">Übertragbarkeit: </w:t>
      </w:r>
      <w:r>
        <w:rPr>
          <w:sz w:val="19"/>
        </w:rPr>
        <w:t>Globale Analyse, beschreibend (keine Wirksamkeitsdaten), Anwendbarkeit hängt von lokalen Systemen ab</w:t>
      </w:r>
    </w:p>
    <w:p>
      <w:r>
        <w:rPr>
          <w:color w:val="5A7D3A"/>
          <w:sz w:val="18"/>
        </w:rPr>
        <w:t>https://pubmed.ncbi.nlm.nih.gov/42695810/</w:t>
      </w:r>
    </w:p>
    <w:p>
      <w:pPr>
        <w:pStyle w:val="Heading2"/>
      </w:pPr>
      <w:r>
        <w:t>Körperliche Aktivität mindert Frailty-Risiko trotz belastender Kindheitserfahrungen</w:t>
      </w:r>
    </w:p>
    <w:p>
      <w:r>
        <w:rPr>
          <w:i/>
          <w:color w:val="666666"/>
          <w:sz w:val="18"/>
        </w:rPr>
        <w:t>Dong X et al.  ·  Gen Hosp Psychiatry  ·  15.08.2026  ·  PMID 42660041</w:t>
      </w:r>
    </w:p>
    <w:p>
      <w:r>
        <w:t>Prospektive Kohortenstudie (SHARE-Daten, n=23.385) zur Frage, ob ausreichende körperliche Aktivität die negativen Auswirkungen ungünstiger Kindheitserfahrungen (Adverse Childhood Experiences) auf kognitives Frailty im mittleren und höheren Alter abpuffert.</w:t>
      </w:r>
    </w:p>
    <w:p>
      <w:r>
        <w:rPr>
          <w:b/>
        </w:rPr>
        <w:t xml:space="preserve">Ergebnis: </w:t>
      </w:r>
      <w:r>
        <w:t>Jede zusätzliche ungünstige Kindheitserfahrung erhöhte das Frailty-Risiko um 9 % (HR=1,09). Ein Jahr ausreichende körperliche Aktivität senkte das Risiko um 25 % (HR=0,75). Langfristige Aufrechterhaltung (≥6 Jahre) reduzierte das Frailty-Risiko bei ungünstigen Erfahrungen um 54 % (HR=0,46); die Assoziation wurde zu 23 % durch erhaltene körperliche Aktivität vermittelt. Effekt war stärksten bei schlechtem Kindheitseinkommen (HR=0,59) und schlechter Nachbarschaftsqualität (HR=0,45).</w:t>
      </w:r>
    </w:p>
    <w:p>
      <w:r>
        <w:rPr>
          <w:b/>
          <w:sz w:val="19"/>
        </w:rPr>
        <w:t xml:space="preserve">Übertragbarkeit: </w:t>
      </w:r>
      <w:r>
        <w:rPr>
          <w:sz w:val="19"/>
        </w:rPr>
        <w:t>Europa (SHARE-Daten, deutschsprachige Länder einbezogen), sozialversicherungsbasierte Systeme vergleichbar</w:t>
      </w:r>
    </w:p>
    <w:p>
      <w:r>
        <w:rPr>
          <w:color w:val="5A7D3A"/>
          <w:sz w:val="18"/>
        </w:rPr>
        <w:t>https://pubmed.ncbi.nlm.nih.gov/42660041/</w:t>
      </w:r>
    </w:p>
    <w:p>
      <w:pPr>
        <w:pStyle w:val="Heading1"/>
      </w:pPr>
      <w:r>
        <w:t>Aufgenommen am 07.09.2026</w:t>
      </w:r>
    </w:p>
    <w:p>
      <w:pPr>
        <w:pStyle w:val="Heading2"/>
      </w:pPr>
      <w:r>
        <w:t>Kardiovaskuläre Gesundheit und Gehirngesundheit: Lebenserwartung ohne Schlaganfall und Demenz</w:t>
      </w:r>
    </w:p>
    <w:p>
      <w:r>
        <w:rPr>
          <w:i/>
          <w:color w:val="666666"/>
          <w:sz w:val="18"/>
        </w:rPr>
        <w:t>DU Y et al.  ·  Zhong Nan Da Xue Xue Bao Yi Xue Ban  ·  28.06.2026  ·  PMID 42702379</w:t>
      </w:r>
    </w:p>
    <w:p>
      <w:r>
        <w:t>Prospektive Kohortenstudie mit 122 953 Erwachsenen (37–73 Jahre) aus der UK Biobank untersuchte, wie ein Life's Essential 10-Framework (CVH-Bewertung mit 10 Komponenten) die Lebenserwartung ohne Schlaganfall und Demenz beeinflusst.</w:t>
      </w:r>
    </w:p>
    <w:p>
      <w:r>
        <w:rPr>
          <w:b/>
        </w:rPr>
        <w:t xml:space="preserve">Ergebnis: </w:t>
      </w:r>
      <w:r>
        <w:t>Bei hoher kardiovaskulärer Gesundheit (CVH) betrug die Lebenserwartung ohne Schlaganfall/Demenz im Alter 50 Jahren für Männer 31,8 Jahre (95%-KI 31,1–32,5) vs. 24,9 Jahre bei niedriger CVH; für Frauen 35,5 Jahre (95%-KI 34,7–36,2) vs. 28,4 Jahre. Hochrisiko-HRs: Männer HR=0,59 (95%-KI 0,52–0,67), Frauen HR=0,50 (95%-KI 0,42–0,59) für Schlaganfall/Demenz.</w:t>
      </w:r>
    </w:p>
    <w:p>
      <w:r>
        <w:rPr>
          <w:b/>
          <w:sz w:val="19"/>
        </w:rPr>
        <w:t xml:space="preserve">Übertragbarkeit: </w:t>
      </w:r>
      <w:r>
        <w:rPr>
          <w:sz w:val="19"/>
        </w:rPr>
        <w:t>UK Biobank, vergleichbare Sozialversicherungssysteme in Europa</w:t>
      </w:r>
    </w:p>
    <w:p>
      <w:r>
        <w:rPr>
          <w:color w:val="5A7D3A"/>
          <w:sz w:val="18"/>
        </w:rPr>
        <w:t>https://pubmed.ncbi.nlm.nih.gov/42702379/</w:t>
      </w:r>
    </w:p>
    <w:p>
      <w:pPr>
        <w:pStyle w:val="Heading2"/>
      </w:pPr>
      <w:r>
        <w:t>Wachstumshormonenantagenismus verlängert Lebensspanne bei Mäusen</w:t>
      </w:r>
    </w:p>
    <w:p>
      <w:r>
        <w:rPr>
          <w:i/>
          <w:color w:val="666666"/>
          <w:sz w:val="18"/>
        </w:rPr>
        <w:t>List EO et al.  ·  Aging Cell  ·  Sept. 2026  ·  PMID 42701998</w:t>
      </w:r>
    </w:p>
    <w:p>
      <w:r>
        <w:t>Studie an Transgenic-Mäusen untersuchte, ob Blockade der Wachstumshormonaktivität (mittels Pegvisomant-äquivalenter Substanz) die Lebensdauer und Gesundheit im Alter verbessert.</w:t>
      </w:r>
    </w:p>
    <w:p>
      <w:r>
        <w:rPr>
          <w:b/>
        </w:rPr>
        <w:t xml:space="preserve">Ergebnis: </w:t>
      </w:r>
      <w:r>
        <w:t>GH-Antagonismus-Mäuse zeigten signifikante Lebensverlängerung: Mediane Lebensspanne bei Männchen p=0,044, bei Weibchen p=2×10−8; maximale Lebensspanne um 186 Tage (Männchen) bzw. 265 Tage (Weibchen) verlängert. 2-jährige GHA-Mäuse zeigten geringere Frailty mit erhöhter Griffstärke trotz erhöhter Adiposität.</w:t>
      </w:r>
    </w:p>
    <w:p>
      <w:r>
        <w:rPr>
          <w:b/>
          <w:sz w:val="19"/>
        </w:rPr>
        <w:t xml:space="preserve">Übertragbarkeit: </w:t>
      </w:r>
      <w:r>
        <w:rPr>
          <w:sz w:val="19"/>
        </w:rPr>
        <w:t>Präklinisches Mausmodell; klinische Übertragbarkeit begrenzt, aber Pegvisomant FDA-zugelassen für Akromegalie beim Menschen</w:t>
      </w:r>
    </w:p>
    <w:p>
      <w:r>
        <w:rPr>
          <w:color w:val="5A7D3A"/>
          <w:sz w:val="18"/>
        </w:rPr>
        <w:t>https://pubmed.ncbi.nlm.nih.gov/42701998/</w:t>
      </w:r>
    </w:p>
    <w:p>
      <w:pPr>
        <w:pStyle w:val="Heading2"/>
      </w:pPr>
      <w:r>
        <w:t>Frailty als unabhängiger Mortalitätsprediktor bei Brustkrebsüberlebenden</w:t>
      </w:r>
    </w:p>
    <w:p>
      <w:r>
        <w:rPr>
          <w:i/>
          <w:color w:val="666666"/>
          <w:sz w:val="18"/>
        </w:rPr>
        <w:t>Wu C et al.  ·  Medicine (Baltimore)  ·  04.09.2026  ·  PMID 42700073</w:t>
      </w:r>
    </w:p>
    <w:p>
      <w:r>
        <w:t>Analyse von 625 128 Teilnehmern (9 941 Brustkrebsüberlebende) aus dem National Health Interview Survey 1997–2018 mit Mortalitätsfolgeup bis 2019 untersuchte Frailty als Mortalitätsprädikator.</w:t>
      </w:r>
    </w:p>
    <w:p>
      <w:r>
        <w:rPr>
          <w:b/>
        </w:rPr>
        <w:t xml:space="preserve">Ergebnis: </w:t>
      </w:r>
      <w:r>
        <w:t>Bei Brustkrebsüberlebenden zeigten Pre-Frailty (HR=1,44; 95%-KI 1,39–1,51) und Frailty (HR=1,70; 95%-KI 1,49–1,94) unabhängig erhöhte Mortalität. Unter 60-Jährigen: Frailty stark prädiktiv (HR=2,46; 95%-KI 1,52–4,00), Pre-Frailty nicht signifikant. Systematisches Frailty-Screening empfohlen.</w:t>
      </w:r>
    </w:p>
    <w:p>
      <w:r>
        <w:rPr>
          <w:b/>
          <w:sz w:val="19"/>
        </w:rPr>
        <w:t xml:space="preserve">Übertragbarkeit: </w:t>
      </w:r>
      <w:r>
        <w:rPr>
          <w:sz w:val="19"/>
        </w:rPr>
        <w:t>USA-Studie, nationale Versorgungsdaten; Frailty-Definition auf andere Systeme übertragbar</w:t>
      </w:r>
    </w:p>
    <w:p>
      <w:r>
        <w:rPr>
          <w:color w:val="5A7D3A"/>
          <w:sz w:val="18"/>
        </w:rPr>
        <w:t>https://pubmed.ncbi.nlm.nih.gov/42700073/</w:t>
      </w:r>
    </w:p>
    <w:p>
      <w:pPr>
        <w:pStyle w:val="Heading2"/>
      </w:pPr>
      <w:r>
        <w:t>Frailty-Verbesserung senkt Demenzrisiko bei älteren Erwachsenen</w:t>
      </w:r>
    </w:p>
    <w:p>
      <w:r>
        <w:rPr>
          <w:i/>
          <w:color w:val="666666"/>
          <w:sz w:val="18"/>
        </w:rPr>
        <w:t>Fang J et al.  ·  J Affect Disord  ·  01.12.2026  ·  PMID 42600788</w:t>
      </w:r>
    </w:p>
    <w:p>
      <w:r>
        <w:t>Longitudinale Kohortenanalyse von 59 331 Erwachsenen (≥50 Jahre) aus vier internationalen Studien (HRS, CHARLS, SHARE, ELSA) untersuchte, ob Frailty-Umkehr das Demenzrisiko reduziert und welche Rolle depressive Symptome spielen.</w:t>
      </w:r>
    </w:p>
    <w:p>
      <w:r>
        <w:rPr>
          <w:b/>
        </w:rPr>
        <w:t xml:space="preserve">Ergebnis: </w:t>
      </w:r>
      <w:r>
        <w:t>Über 7,51±2,09 Jahre entwickelten 9,49 % Demenz. Frailty-Verschlechterung erhöhte das Risiko (HR 1,43–2,53), während Frailty-Verbesserung in SHARE (HR=0,55) und CHARLS (HR=0,70) mit geringerem Risiko assoziiert war. Depressive Symptome mediieren 29,29–44,78 % der Assoziation zwischen Frailty und Demenz.</w:t>
      </w:r>
    </w:p>
    <w:p>
      <w:r>
        <w:rPr>
          <w:b/>
          <w:sz w:val="19"/>
        </w:rPr>
        <w:t xml:space="preserve">Übertragbarkeit: </w:t>
      </w:r>
      <w:r>
        <w:rPr>
          <w:sz w:val="19"/>
        </w:rPr>
        <w:t>Europäische Studien (SHARE, ELSA) einbezogen; vergleichbare Versorgungssysteme</w:t>
      </w:r>
    </w:p>
    <w:p>
      <w:r>
        <w:rPr>
          <w:color w:val="5A7D3A"/>
          <w:sz w:val="18"/>
        </w:rPr>
        <w:t>https://pubmed.ncbi.nlm.nih.gov/42600788/</w:t>
      </w:r>
    </w:p>
    <w:p>
      <w:pPr>
        <w:pStyle w:val="Heading2"/>
      </w:pPr>
      <w:r>
        <w:t>Maschinelles Lernen vorhersagt depressive Symptome bei älteren Erwachsenen in Großbritannien</w:t>
      </w:r>
    </w:p>
    <w:p>
      <w:r>
        <w:rPr>
          <w:i/>
          <w:color w:val="666666"/>
          <w:sz w:val="18"/>
        </w:rPr>
        <w:t>Khorram B et al.  ·  JMIR Form Res  ·  02.07.2026  ·  PMID 42390822</w:t>
      </w:r>
    </w:p>
    <w:p>
      <w:r>
        <w:t>Machine-Learning-Studie mit Daten aus vier Wellen der English Longitudinal Study of Ageing (ELSA) zur Vorhersage klinisch bedeutsamer depressiver Symptome (CES-D 8≥4) im 2-Jahres-Follow-up bei über 50-Jährigen.</w:t>
      </w:r>
    </w:p>
    <w:p>
      <w:r>
        <w:rPr>
          <w:b/>
        </w:rPr>
        <w:t xml:space="preserve">Ergebnis: </w:t>
      </w:r>
      <w:r>
        <w:t>Beste Modelle erreichten mittlere AUROC von 0,72–0,73 (Peak 0,75). Ordinale Codierung übertraf One-Hot-Codierung. Konsistente Prädiktoren: Einsamkeit, Schlafstörungen, geringe soziale Bindung. Sensitivitätsanalysen über CES-D-Schwellwerte robust (AUROC 0,67–0,82).</w:t>
      </w:r>
    </w:p>
    <w:p>
      <w:r>
        <w:rPr>
          <w:b/>
          <w:sz w:val="19"/>
        </w:rPr>
        <w:t xml:space="preserve">Übertragbarkeit: </w:t>
      </w:r>
      <w:r>
        <w:rPr>
          <w:sz w:val="19"/>
        </w:rPr>
        <w:t>Britische Studie mit europäischem Sozialversicherungssystem; Prädiktoren für Screeningtools übertragbar</w:t>
      </w:r>
    </w:p>
    <w:p>
      <w:r>
        <w:rPr>
          <w:color w:val="5A7D3A"/>
          <w:sz w:val="18"/>
        </w:rPr>
        <w:t>https://pubmed.ncbi.nlm.nih.gov/42390822/</w:t>
      </w:r>
    </w:p>
    <w:p>
      <w:pPr>
        <w:pStyle w:val="Heading2"/>
      </w:pPr>
      <w:r>
        <w:t>Biologische Alterungsbeschleunigung als Risikofaktor für Lebererkrankung im UK Biobank</w:t>
      </w:r>
    </w:p>
    <w:p>
      <w:r>
        <w:rPr>
          <w:i/>
          <w:color w:val="666666"/>
          <w:sz w:val="18"/>
        </w:rPr>
        <w:t>Yang X et al.  ·  Front Endocrinol (Lausanne)  ·  17.06.2026  ·  PMID 42388879</w:t>
      </w:r>
    </w:p>
    <w:p>
      <w:r>
        <w:t>Studie untersuchte die Assoziation zwischen beschleunigtem biologischem Alter und hospitalisierten Fällen von Stoffwechsel-assoziierter Steatose-Lebererkrankung (MASLD) an 247 444 Personen über 13,7 Jahre Nachbeobachtung.</w:t>
      </w:r>
    </w:p>
    <w:p>
      <w:r>
        <w:rPr>
          <w:b/>
        </w:rPr>
        <w:t xml:space="preserve">Ergebnis: </w:t>
      </w:r>
      <w:r>
        <w:t>Beschleunigtes biologisches Alter (PhenoAge-Beschleunigung) war mit erhöhtem MASLD-Risiko assoziiert (HR=1,46; 95%-KI 1,35–1,57). PhenoAge-Beschleunigung erklärte 11,4–25,5 % der Assoziation zwischen ungesundem Lebensstil (Rauchen, Alkohol, schlechte Ernährung, Bewegungsmangel) und MASLD, mit stärkstem Effekt beim Rauchen (25,5 %).</w:t>
      </w:r>
    </w:p>
    <w:p>
      <w:r>
        <w:rPr>
          <w:b/>
          <w:sz w:val="19"/>
        </w:rPr>
        <w:t xml:space="preserve">Übertragbarkeit: </w:t>
      </w:r>
      <w:r>
        <w:rPr>
          <w:sz w:val="19"/>
        </w:rPr>
        <w:t>UK Biobank, übertragbar für europäische Sozialversicherungssysteme</w:t>
      </w:r>
    </w:p>
    <w:p>
      <w:r>
        <w:rPr>
          <w:color w:val="5A7D3A"/>
          <w:sz w:val="18"/>
        </w:rPr>
        <w:t>https://pubmed.ncbi.nlm.nih.gov/42388879/</w:t>
      </w:r>
    </w:p>
    <w:p>
      <w:pPr>
        <w:pStyle w:val="Heading1"/>
      </w:pPr>
      <w:r>
        <w:t>Aufgenommen am 06.09.2026</w:t>
      </w:r>
    </w:p>
    <w:p>
      <w:pPr>
        <w:pStyle w:val="Heading2"/>
      </w:pPr>
      <w:r>
        <w:t>Orale Gesundheit und orale Gebrechlichkeit bei älteren hospitalisierten Patienten</w:t>
      </w:r>
    </w:p>
    <w:p>
      <w:r>
        <w:rPr>
          <w:i/>
          <w:color w:val="666666"/>
          <w:sz w:val="18"/>
        </w:rPr>
        <w:t>Ren Q et al.  ·  J Coll Physicians Surg Pak  ·  Sept. 2026  ·  PMID 42698252</w:t>
      </w:r>
    </w:p>
    <w:p>
      <w:r>
        <w:t>Querschnittsstudie mit 200 älteren Patienten: Beziehung zwischen Mundgesundheitsstatus (GOHAI, Wasserschluck-Test) und Oral Frailty Index-8 (OFI-8).</w:t>
      </w:r>
    </w:p>
    <w:p>
      <w:r>
        <w:rPr>
          <w:b/>
        </w:rPr>
        <w:t xml:space="preserve">Ergebnis: </w:t>
      </w:r>
      <w:r>
        <w:t>Signifikante Unterschiede in Alter, Mundgesundheitsindikatoren und Zahnfunktion zwischen Frailty- (n=55) und Non-Frailty-Gruppe (n=145). OFI-8 zeigt praktische Relevanz für Früherkennung oraler Gebrechlichkeit im klinischen Setting.</w:t>
      </w:r>
    </w:p>
    <w:p>
      <w:r>
        <w:rPr>
          <w:b/>
          <w:sz w:val="19"/>
        </w:rPr>
        <w:t xml:space="preserve">Übertragbarkeit: </w:t>
      </w:r>
      <w:r>
        <w:rPr>
          <w:sz w:val="19"/>
        </w:rPr>
        <w:t>China, geriatrische Versorgung; Screening-Wert für deutsches Gesundheitswesen nutzbar</w:t>
      </w:r>
    </w:p>
    <w:p>
      <w:r>
        <w:rPr>
          <w:color w:val="5A7D3A"/>
          <w:sz w:val="18"/>
        </w:rPr>
        <w:t>https://pubmed.ncbi.nlm.nih.gov/42698252/</w:t>
      </w:r>
    </w:p>
    <w:p>
      <w:pPr>
        <w:pStyle w:val="Heading2"/>
      </w:pPr>
      <w:r>
        <w:t>FRAIL- und SARC-CalF-Skalen vorhersagen HFpEF-Risiko bei älteren Patienten</w:t>
      </w:r>
    </w:p>
    <w:p>
      <w:r>
        <w:rPr>
          <w:i/>
          <w:color w:val="666666"/>
          <w:sz w:val="18"/>
        </w:rPr>
        <w:t>Yu Y et al.  ·  J Coll Physicians Surg Pak  ·  Sept. 2026  ·  PMID 42698238</w:t>
      </w:r>
    </w:p>
    <w:p>
      <w:r>
        <w:t>Querschnittsstudie mit 134 hospitalisierten Patienten ≥60 Jahren: Umfassendes geriatrisches Assessment (CGA) mit Evaluierung von Gebrechlichkeit, Sarkopenie und Ernährung; Vorhersage von Herzinsuffizienz mit erhaltener Ejektionsfraktion (HFpEF).</w:t>
      </w:r>
    </w:p>
    <w:p>
      <w:r>
        <w:rPr>
          <w:b/>
        </w:rPr>
        <w:t xml:space="preserve">Ergebnis: </w:t>
      </w:r>
      <w:r>
        <w:t>FRAIL-Score OR 3,68 (95%KI 1,83–8,39), SARC-CalF-Score OR 1,47 (95%KI 1,21–1,86) unabhängig mit HFpEF assoziiert; AUC FRAIL 0,88, AUC SARC-CalF 0,89; optimale Schwellen 1,5 Punkte (Vor-Frailty) bzw. 11 Punkte.</w:t>
      </w:r>
    </w:p>
    <w:p>
      <w:r>
        <w:rPr>
          <w:b/>
          <w:sz w:val="19"/>
        </w:rPr>
        <w:t xml:space="preserve">Übertragbarkeit: </w:t>
      </w:r>
      <w:r>
        <w:rPr>
          <w:sz w:val="19"/>
        </w:rPr>
        <w:t>China, aber FRAIL und SARC-CalF sind validiert international</w:t>
      </w:r>
    </w:p>
    <w:p>
      <w:r>
        <w:rPr>
          <w:color w:val="5A7D3A"/>
          <w:sz w:val="18"/>
        </w:rPr>
        <w:t>https://pubmed.ncbi.nlm.nih.gov/42698238/</w:t>
      </w:r>
    </w:p>
    <w:p>
      <w:pPr>
        <w:pStyle w:val="Heading2"/>
      </w:pPr>
      <w:r>
        <w:t>Depressive Symptome bei älteren Indonesiern: Prävalenz und Risikofaktoren</w:t>
      </w:r>
    </w:p>
    <w:p>
      <w:r>
        <w:rPr>
          <w:i/>
          <w:color w:val="666666"/>
          <w:sz w:val="18"/>
        </w:rPr>
        <w:t>Pengpid S et al.  ·  Psychogeriatrics  ·  Sept. 2026  ·  PMID 42698196</w:t>
      </w:r>
    </w:p>
    <w:p>
      <w:r>
        <w:t>Querschnittsanalyse von 3.808 Personen ≥45 Jahren aus indonesischer Longitudinal-Studie (ILAS 2023): Depressive Symptome (CES-D-10 ≥10) in Zusammenhang mit Hospitalisierung, Selbsteinschätzung der Gesundheit, Multisite-Schmerz, Übergewicht, Behinderung und religiöser Aktivität.</w:t>
      </w:r>
    </w:p>
    <w:p>
      <w:r>
        <w:rPr>
          <w:b/>
        </w:rPr>
        <w:t xml:space="preserve">Ergebnis: </w:t>
      </w:r>
      <w:r>
        <w:t>Depressive-Symptom-Prävalenz 9,3% (9,0% Männer, 9,6% Frauen). Hospitalisierung im vergangenen Jahr, schlechte Selbsteinschätzung, Multisite-Schmerz, Übergewicht und Behinderung positiv assoziiert; religiöse Aktivität protektiv (unadjustiert); bei Männern Rauchen zusätzlicher Risikofaktor.</w:t>
      </w:r>
    </w:p>
    <w:p>
      <w:r>
        <w:rPr>
          <w:b/>
          <w:sz w:val="19"/>
        </w:rPr>
        <w:t xml:space="preserve">Übertragbarkeit: </w:t>
      </w:r>
      <w:r>
        <w:rPr>
          <w:sz w:val="19"/>
        </w:rPr>
        <w:t>Indonesien; kulturelle/epidemiologische Unterschiede, aber psychosoziale Prädiktoren universal</w:t>
      </w:r>
    </w:p>
    <w:p>
      <w:r>
        <w:rPr>
          <w:color w:val="5A7D3A"/>
          <w:sz w:val="18"/>
        </w:rPr>
        <w:t>https://pubmed.ncbi.nlm.nih.gov/42698196/</w:t>
      </w:r>
    </w:p>
    <w:p>
      <w:pPr>
        <w:pStyle w:val="Heading2"/>
      </w:pPr>
      <w:r>
        <w:t>Geriatrisches Assessment mit Frailty Index optimiert Vorhersage von Sterblichkeit im Alter</w:t>
      </w:r>
    </w:p>
    <w:p>
      <w:r>
        <w:rPr>
          <w:i/>
          <w:color w:val="666666"/>
          <w:sz w:val="18"/>
        </w:rPr>
        <w:t>Quach J et al.  ·  Age Ageing  ·  04.09.2026  ·  PMID 42696642</w:t>
      </w:r>
    </w:p>
    <w:p>
      <w:r>
        <w:t>Analyse von 3.669 Patienten mit kardiovaskulärer Erkrankung: Bei einzelnen Deficit-Items war die Vorhersagekraft für Mortalität besser als bei zusammengefassten Frailty-Index-Scores; 10 Defizite reichten aus, um Vorhersagekraft zu optimieren.</w:t>
      </w:r>
    </w:p>
    <w:p>
      <w:r>
        <w:rPr>
          <w:b/>
        </w:rPr>
        <w:t xml:space="preserve">Ergebnis: </w:t>
      </w:r>
      <w:r>
        <w:t>Mit 46 Einzelitems C-Index 0,71 (95%KI 0,69–0,74) vs. composite FI 0,64–0,67; mit ~10 Items konvergierte Performance der Importance-ranked FI mit zufällig gewählten FI. Die Deficit-Interchangeability-Annahme des FI hält nur bei ausreichender Itemanzahl.</w:t>
      </w:r>
    </w:p>
    <w:p>
      <w:r>
        <w:rPr>
          <w:b/>
          <w:sz w:val="19"/>
        </w:rPr>
        <w:t xml:space="preserve">Übertragbarkeit: </w:t>
      </w:r>
      <w:r>
        <w:rPr>
          <w:sz w:val="19"/>
        </w:rPr>
        <w:t>USA-Daten, aber Frailty-Index-Methodik international anerkannt</w:t>
      </w:r>
    </w:p>
    <w:p>
      <w:r>
        <w:rPr>
          <w:color w:val="5A7D3A"/>
          <w:sz w:val="18"/>
        </w:rPr>
        <w:t>https://pubmed.ncbi.nlm.nih.gov/42696642/</w:t>
      </w:r>
    </w:p>
    <w:p>
      <w:pPr>
        <w:pStyle w:val="Heading2"/>
      </w:pPr>
      <w:r>
        <w:t>Benachteiligte Kindheit verschlechtert kognitive Funktion im Alter unabhängig von Erwachsenen-Erkrankungen</w:t>
      </w:r>
    </w:p>
    <w:p>
      <w:r>
        <w:rPr>
          <w:i/>
          <w:color w:val="666666"/>
          <w:sz w:val="18"/>
        </w:rPr>
        <w:t>Ripamonti E et al.  ·  J Clin Exp Neuropsychol  ·  06.07.2026  ·  PMID 42403102</w:t>
      </w:r>
    </w:p>
    <w:p>
      <w:r>
        <w:t>Longitudinale Studie: 508 schwedische Ältere verfolgt über mehrere Jahre; Analyse der Assoziation zwischen Kindheitsbenachteiligung und kognitiver Funktion (MMSE) bzw. Behinderung (ADL/iADL) im Alter mit Mediationsanalyse durch Krankheitszahl und chronische Schmerzen.</w:t>
      </w:r>
    </w:p>
    <w:p>
      <w:r>
        <w:rPr>
          <w:b/>
        </w:rPr>
        <w:t xml:space="preserve">Ergebnis: </w:t>
      </w:r>
      <w:r>
        <w:t>Benachteiligte Kindheit mit niedrigeren MMSE-Werten bei Baseline assoziiert (β=-0,14 [95%KI -0,27,-0,02]), aber nicht mit zeitlichem Verlauf (β=-0,01 [95%KI -0,03,0,01]); Mediationsanalyse: Krankheitszahl/Schmerz erklären nur minimalen Teil; keine Assoziation mit ADL/iADL. Unterstützt Sensitive-Period-Hypothese.</w:t>
      </w:r>
    </w:p>
    <w:p>
      <w:r>
        <w:rPr>
          <w:b/>
          <w:sz w:val="19"/>
        </w:rPr>
        <w:t xml:space="preserve">Übertragbarkeit: </w:t>
      </w:r>
      <w:r>
        <w:rPr>
          <w:sz w:val="19"/>
        </w:rPr>
        <w:t>Schweden (skandinavisches Sozialversicherungssystem), hochgradig übertragbar auf Deutschland</w:t>
      </w:r>
    </w:p>
    <w:p>
      <w:r>
        <w:rPr>
          <w:color w:val="5A7D3A"/>
          <w:sz w:val="18"/>
        </w:rPr>
        <w:t>https://pubmed.ncbi.nlm.nih.gov/42403102/</w:t>
      </w:r>
    </w:p>
    <w:p>
      <w:pPr>
        <w:pStyle w:val="Heading2"/>
      </w:pPr>
      <w:r>
        <w:t>Muskelleistung aus Sit-to-Stand-Test identifiziert Frailty bei älteren Community-Bewohnern</w:t>
      </w:r>
    </w:p>
    <w:p>
      <w:r>
        <w:rPr>
          <w:i/>
          <w:color w:val="666666"/>
          <w:sz w:val="18"/>
        </w:rPr>
        <w:t>Condon C et al.  ·  PLoS One  ·  02.07.2026  ·  PMID 42391194</w:t>
      </w:r>
    </w:p>
    <w:p>
      <w:r>
        <w:t>Querschnittsstudie mit 2.959 irischen Teilnehmern ≥50 Jahren: Geschätzte Muskelleistung aus 5×STS-Test verglichen mit Frailty-Index und etablierten Tests.</w:t>
      </w:r>
    </w:p>
    <w:p>
      <w:r>
        <w:rPr>
          <w:b/>
        </w:rPr>
        <w:t xml:space="preserve">Ergebnis: </w:t>
      </w:r>
      <w:r>
        <w:t>Schwellenwert &lt;2,5 Watt·kg⁻¹ Männer, &lt;2,08 Watt·kg⁻¹ Frauen mit erhöhtem Frailty-Risiko assoziiert; Sensitivität und Spezifität vergleichbar mit Timed Up and Go; praktisches Screening-Tool mit moderater Vorhersagekraft.</w:t>
      </w:r>
    </w:p>
    <w:p>
      <w:r>
        <w:rPr>
          <w:b/>
          <w:sz w:val="19"/>
        </w:rPr>
        <w:t xml:space="preserve">Übertragbarkeit: </w:t>
      </w:r>
      <w:r>
        <w:rPr>
          <w:sz w:val="19"/>
        </w:rPr>
        <w:t>Irland (vergleichbares Sozialversicherungssystem), einfach durchführbar in Praxen</w:t>
      </w:r>
    </w:p>
    <w:p>
      <w:r>
        <w:rPr>
          <w:color w:val="5A7D3A"/>
          <w:sz w:val="18"/>
        </w:rPr>
        <w:t>https://pubmed.ncbi.nlm.nih.gov/42391194/</w:t>
      </w:r>
    </w:p>
    <w:p>
      <w:pPr>
        <w:pStyle w:val="Heading1"/>
      </w:pPr>
      <w:r>
        <w:t>Aufgenommen am 05.09.2026</w:t>
      </w:r>
    </w:p>
    <w:p>
      <w:pPr>
        <w:pStyle w:val="Heading2"/>
      </w:pPr>
      <w:r>
        <w:t>Reaktive Balanceschulung senkt Sturzrisikofaktoren, nicht aber Stürze im Alltag</w:t>
      </w:r>
    </w:p>
    <w:p>
      <w:r>
        <w:rPr>
          <w:i/>
          <w:color w:val="666666"/>
          <w:sz w:val="18"/>
        </w:rPr>
        <w:t>Sharma S et al.  ·  Age Ageing  ·  04.09.2026  ·  PMID 42696641</w:t>
      </w:r>
    </w:p>
    <w:p>
      <w:r>
        <w:t>Randomisierte kontrollierte Studie mit 88 älteren Menschen: 43 erhielten wöchentliches ReacStep-Training (Reaktives Stepping, bewusste Ausrutscher) über 6 Wochen plus Heimkrafttraining, 45 nur Heimkrafttraining über 8 Wochen; Erhebung von reaktiver Balance, körperlichen Funktionen und Stürzen im Alltag über 12 Monate.</w:t>
      </w:r>
    </w:p>
    <w:p>
      <w:r>
        <w:rPr>
          <w:b/>
        </w:rPr>
        <w:t xml:space="preserve">Ergebnis: </w:t>
      </w:r>
      <w:r>
        <w:t>Adhärenz zum ReacStep-Programm 90 %, Interventionsgruppe zeigte signifikante Verbesserungen in maximaler Schrittlänge und Reaktionszeit beim Stepping (p&lt;0,05), aber keine Unterschiede in laborgestützten Sturzversuchen oder Häuslichkeitsstürzen über 12 Monate (p=0,19).</w:t>
      </w:r>
    </w:p>
    <w:p>
      <w:r>
        <w:rPr>
          <w:b/>
          <w:sz w:val="19"/>
        </w:rPr>
        <w:t xml:space="preserve">Übertragbarkeit: </w:t>
      </w:r>
      <w:r>
        <w:rPr>
          <w:sz w:val="19"/>
        </w:rPr>
        <w:t>Australien, vergleichbares Gesundheitssystem, aber begrenzte Übertragung zur Sturzprävention</w:t>
      </w:r>
    </w:p>
    <w:p>
      <w:r>
        <w:rPr>
          <w:color w:val="5A7D3A"/>
          <w:sz w:val="18"/>
        </w:rPr>
        <w:t>https://pubmed.ncbi.nlm.nih.gov/42696641/</w:t>
      </w:r>
    </w:p>
    <w:p>
      <w:pPr>
        <w:pStyle w:val="Heading2"/>
      </w:pPr>
      <w:r>
        <w:t>Urat-senkende Therapie und Frailty-Risiko bei Nierenpatienten</w:t>
      </w:r>
    </w:p>
    <w:p>
      <w:r>
        <w:rPr>
          <w:i/>
          <w:color w:val="666666"/>
          <w:sz w:val="18"/>
        </w:rPr>
        <w:t>Lee SY et al.  ·  Int J Med Sci  ·  04.08.2026  ·  PMID 42694867</w:t>
      </w:r>
    </w:p>
    <w:p>
      <w:r>
        <w:t>Retrospektive Kohortenstudie mit 19.389 Nephrologiepatienten: Untersuchung der Assoziation zwischen Febuxostat, Allopurinol und keiner Therapie mit neuaufgetretener und verschlimmerter Frailty über medianen Nachbeobachtungszeitraum von 3 Jahren.</w:t>
      </w:r>
    </w:p>
    <w:p>
      <w:r>
        <w:rPr>
          <w:b/>
        </w:rPr>
        <w:t xml:space="preserve">Ergebnis: </w:t>
      </w:r>
      <w:r>
        <w:t>892 (4,6 %) entwickelten neuaufgetretene Frailty, 5.253 (27,1 %) zeigten Verschlimmerung. Febuxostat war mit höherem Frailty-Risiko verbunden (HR 1,22; 95%-KI 1,01–1,48), Allopurinol mit geringerem Risiko (HR 0,65; 95%-KI 0,46–0,93); beide gemeinsam ohne signifikante Assoziation. Keine Effekte auf Frailty-Verschlimmerung.</w:t>
      </w:r>
    </w:p>
    <w:p>
      <w:r>
        <w:rPr>
          <w:b/>
          <w:sz w:val="19"/>
        </w:rPr>
        <w:t xml:space="preserve">Übertragbarkeit: </w:t>
      </w:r>
      <w:r>
        <w:rPr>
          <w:sz w:val="19"/>
        </w:rPr>
        <w:t>Taiwan, Nephrologiedaten vergleichbar, aber begrenzte Generalisierbarkeit</w:t>
      </w:r>
    </w:p>
    <w:p>
      <w:r>
        <w:rPr>
          <w:color w:val="5A7D3A"/>
          <w:sz w:val="18"/>
        </w:rPr>
        <w:t>https://pubmed.ncbi.nlm.nih.gov/42694867/</w:t>
      </w:r>
    </w:p>
    <w:p>
      <w:pPr>
        <w:pStyle w:val="Heading2"/>
      </w:pPr>
      <w:r>
        <w:t>Funkionsstatus und Pflegebedarf bei Eintritt in öffentlich finanzierte Altenhilfe</w:t>
      </w:r>
    </w:p>
    <w:p>
      <w:r>
        <w:rPr>
          <w:i/>
          <w:color w:val="666666"/>
          <w:sz w:val="18"/>
        </w:rPr>
        <w:t>Siljehag PA et al.  ·  BMC Health Serv Res  ·  02.09.2026  ·  PMID 42693458</w:t>
      </w:r>
    </w:p>
    <w:p>
      <w:r>
        <w:t>Schwedische Registeranalyse von 3.649 älteren Menschen (durchschnittlich 80 Jahre), die erstmals Altenhilfe in Anspruch nahmen, mit Erhebung von Komorbiditäten, funktionalen Einschränkungen und Vorbehandlung im Gesundheitswesen.</w:t>
      </w:r>
    </w:p>
    <w:p>
      <w:r>
        <w:rPr>
          <w:b/>
        </w:rPr>
        <w:t xml:space="preserve">Ergebnis: </w:t>
      </w:r>
      <w:r>
        <w:t>92 % hatten Multimorbidität, 25 % umfangreiche funktionale Einschränkungen, 95 % erhielten Pflege zu Hause, bei 50 % folgte die Altenhilfe unmittelbar nach stationärer Behandlung. Primärversorgung war bei 80 % der dominante ambulante Kontakt vor Heimaufnahme.</w:t>
      </w:r>
    </w:p>
    <w:p>
      <w:r>
        <w:rPr>
          <w:b/>
          <w:sz w:val="19"/>
        </w:rPr>
        <w:t xml:space="preserve">Übertragbarkeit: </w:t>
      </w:r>
      <w:r>
        <w:rPr>
          <w:sz w:val="19"/>
        </w:rPr>
        <w:t>Schweden, vergleichbare Sozialversicherung und Pflegefinanzierung</w:t>
      </w:r>
    </w:p>
    <w:p>
      <w:r>
        <w:rPr>
          <w:color w:val="5A7D3A"/>
          <w:sz w:val="18"/>
        </w:rPr>
        <w:t>https://pubmed.ncbi.nlm.nih.gov/42693458/</w:t>
      </w:r>
    </w:p>
    <w:p>
      <w:pPr>
        <w:pStyle w:val="Heading2"/>
      </w:pPr>
      <w:r>
        <w:t>Triglyzerid-Glukose-Frailty-Index zeigt stärkere Mortalitätsvorhersage als Insulinresistanzmarker</w:t>
      </w:r>
    </w:p>
    <w:p>
      <w:r>
        <w:rPr>
          <w:i/>
          <w:color w:val="666666"/>
          <w:sz w:val="18"/>
        </w:rPr>
        <w:t>Liu K et al.  ·  Cardiovasc Diabetol  ·  03.09.2026  ·  PMID 42693435</w:t>
      </w:r>
    </w:p>
    <w:p>
      <w:r>
        <w:t>Sekundäranalyse von 11.228 US-amerikanischen Erwachsenen (20–79 Jahre) aus NHANES 2001–2018: Vergleich des TyG-Frailty-Indexes (TyG-Index × Frailty-Index) mit konventionellen Insulinresistanzmarkern für kardiovaskuläre und Stoffwechselsyndrome sowie Mortalität über medianen Nachbeobachtungszeitraum von 90 Monaten.</w:t>
      </w:r>
    </w:p>
    <w:p>
      <w:r>
        <w:rPr>
          <w:b/>
        </w:rPr>
        <w:t xml:space="preserve">Ergebnis: </w:t>
      </w:r>
      <w:r>
        <w:t>TyG-FI-Quartil 4 vs. 1: fortgeschrittenes kardiovaskuläres-Nierenstoffwechsel-Syndrom OR=4,57 (95%-KI 3,50–5,99), kardiometabolische Multimorbidität OR=5,09 (95%-KI 2,83–9,16), Gesamtmortalität HR=3,90 (95%-KI 2,96–5,13), kardiovaskulär HR=5,82 (95%-KI 3,38–10,03). TyG-FI diskriminierte stärker als Vergleichsindizes, tiefere eGFR erklärte 16–27 % der Mortalitätsassoziation.</w:t>
      </w:r>
    </w:p>
    <w:p>
      <w:r>
        <w:rPr>
          <w:b/>
          <w:sz w:val="19"/>
        </w:rPr>
        <w:t xml:space="preserve">Übertragbarkeit: </w:t>
      </w:r>
      <w:r>
        <w:rPr>
          <w:sz w:val="19"/>
        </w:rPr>
        <w:t>USA-NHANES-Daten, begrenzte Übertragbarkeit auf deutsches System, aber Validierungsfrage ist altersunabhängig</w:t>
      </w:r>
    </w:p>
    <w:p>
      <w:r>
        <w:rPr>
          <w:color w:val="5A7D3A"/>
          <w:sz w:val="18"/>
        </w:rPr>
        <w:t>https://pubmed.ncbi.nlm.nih.gov/42693435/</w:t>
      </w:r>
    </w:p>
    <w:p>
      <w:pPr>
        <w:pStyle w:val="Heading2"/>
      </w:pPr>
      <w:r>
        <w:t>Muskelarchitektur und Kraft: Altern beeinträchtigt Faszickelkinetik trotz lebenslangem Training</w:t>
      </w:r>
    </w:p>
    <w:p>
      <w:r>
        <w:rPr>
          <w:i/>
          <w:color w:val="666666"/>
          <w:sz w:val="18"/>
        </w:rPr>
        <w:t>Michely S et al.  ·  J Appl Physiol (1985)  ·  01.09.2026  ·  PMID 42518311</w:t>
      </w:r>
    </w:p>
    <w:p>
      <w:r>
        <w:t>Querschnittsstudie mit 172 Leistungssportlern im Alter 35–90 Jahren (68 % männlich): Ultraschallmessung der Wadenmuskulatur bei willkürlicher Maximalkontraktion; Analyse von Faszickellänge, Pennationswinkel, -rotation und -verlängerung.</w:t>
      </w:r>
    </w:p>
    <w:p>
      <w:r>
        <w:rPr>
          <w:b/>
        </w:rPr>
        <w:t xml:space="preserve">Ergebnis: </w:t>
      </w:r>
      <w:r>
        <w:t>Oberflächliche Faszickelrotation (Pennationswinkelveränderung) sank um 6,6±51,3 % pro Jahrzehnt (p=0,003), tiefe Rotation blieb stabil (p=0,27). Ruhefaszickellänge sank um 1,8±13,7 % pro Jahrzehnt (p=0,002). Achillessehnen-kraft fiel um 4,3±16,3 % pro Jahrzehnt (p&lt;0,001), unabhängig vom Geschlecht. Eliteathleten (&gt;85 % age grade) erhielten größere oberflächliche Rotation.</w:t>
      </w:r>
    </w:p>
    <w:p>
      <w:r>
        <w:rPr>
          <w:b/>
          <w:sz w:val="19"/>
        </w:rPr>
        <w:t xml:space="preserve">Übertragbarkeit: </w:t>
      </w:r>
      <w:r>
        <w:rPr>
          <w:sz w:val="19"/>
        </w:rPr>
        <w:t>Deutschland, Deutsche Luft- und Raumfahrtforschung, vergleichbare Trainingsmethoden</w:t>
      </w:r>
    </w:p>
    <w:p>
      <w:r>
        <w:rPr>
          <w:color w:val="5A7D3A"/>
          <w:sz w:val="18"/>
        </w:rPr>
        <w:t>https://pubmed.ncbi.nlm.nih.gov/42518311/</w:t>
      </w:r>
    </w:p>
    <w:p>
      <w:pPr>
        <w:pStyle w:val="Heading2"/>
      </w:pPr>
      <w:r>
        <w:t>Soziale Frailty und Bildungsungleichheit: Sechs Ländervergleich mit 83.869 älteren Erwachsenen</w:t>
      </w:r>
    </w:p>
    <w:p>
      <w:r>
        <w:rPr>
          <w:i/>
          <w:color w:val="666666"/>
          <w:sz w:val="18"/>
        </w:rPr>
        <w:t>Xiang X et al.  ·  J Am Med Dir Assoc  ·  14.07.2026  ·  PMID 42447552</w:t>
      </w:r>
    </w:p>
    <w:p>
      <w:r>
        <w:t>Querschnittsanalyse aus sechs Längsschnittstudien in USA, England, Europa, Südkorea, Mexico und China mit 83.869 Personen ≥50 Jahren: Alter- und geschlechtsstandardisierte Prävalenz von sozialer Prefrailty und Frailty sowie Assoziation mit Bildungsabschlüssen.</w:t>
      </w:r>
    </w:p>
    <w:p>
      <w:r>
        <w:rPr>
          <w:b/>
        </w:rPr>
        <w:t xml:space="preserve">Ergebnis: </w:t>
      </w:r>
      <w:r>
        <w:t>Soziale Prefrailty 54,0–74,1 %, soziale Frailty 5,9–14,4 % je nach Land. Klare Bildungsstratifikation: mittlere vs. niedrige Bildung OR=0,72 (95%-KI 0,60–0,86) für Prefrailty und OR=0,54 (95%-KI 0,44–0,67) für Frailty; hohe Bildung OR=0,53 (95%-KI 0,36–0,78) bzw. OR=0,29 (95%-KI 0,17–0,51).</w:t>
      </w:r>
    </w:p>
    <w:p>
      <w:r>
        <w:rPr>
          <w:b/>
          <w:sz w:val="19"/>
        </w:rPr>
        <w:t xml:space="preserve">Übertragbarkeit: </w:t>
      </w:r>
      <w:r>
        <w:rPr>
          <w:sz w:val="19"/>
        </w:rPr>
        <w:t>Mehrländer-Poolanalyse, europäische Länder dabei, aber heterogene Systeme</w:t>
      </w:r>
    </w:p>
    <w:p>
      <w:r>
        <w:rPr>
          <w:color w:val="5A7D3A"/>
          <w:sz w:val="18"/>
        </w:rPr>
        <w:t>https://pubmed.ncbi.nlm.nih.gov/42447552/</w:t>
      </w:r>
    </w:p>
    <w:p>
      <w:pPr>
        <w:pStyle w:val="Heading1"/>
      </w:pPr>
      <w:r>
        <w:t>Aufgenommen am 04.09.2026</w:t>
      </w:r>
    </w:p>
    <w:p>
      <w:pPr>
        <w:pStyle w:val="Heading2"/>
      </w:pPr>
      <w:r>
        <w:t>Feinstaubexposition (PM2,5) erhöht Frailty-Risiko im Alter signifikant</w:t>
      </w:r>
    </w:p>
    <w:p>
      <w:r>
        <w:rPr>
          <w:i/>
          <w:color w:val="666666"/>
          <w:sz w:val="18"/>
        </w:rPr>
        <w:t>Chen K et al.  ·  Sichuan Da Xue Xue Bao Yi Xue Ban  ·  20.07.2026  ·  PMID 42688627</w:t>
      </w:r>
    </w:p>
    <w:p>
      <w:r>
        <w:t>Prospektive Kohortenstudie: 9603 Teilnehmende aus China Health and Retirement Longitudinal Study 2011–2020, Langzeit-PM2,5-Exposition und chemische Komponenten, Outcome Frailty nach Frailty-Index.</w:t>
      </w:r>
    </w:p>
    <w:p>
      <w:r>
        <w:rPr>
          <w:b/>
        </w:rPr>
        <w:t xml:space="preserve">Ergebnis: </w:t>
      </w:r>
      <w:r>
        <w:t>Jede Viertelbereichs-Zunahme der durchschnittlichen PM2,5-Konzentration des Vorjahres war mit 10,0% erhöhtem Frailty-Risiko assoziiert (HR 1,100, 95% KI 1,015–1,193). Organische Substanzen: HR 1,142 (14,2%); schwarzer Kohlenstoff: HR 1,131 (13,1%); Ammonium: HR 1,098 (9,8%). Luftschadstoffe, besonders Ruß und organische Aerosole, sind Risikofaktoren für Gebrechlichkeit bei älteren Menschen.</w:t>
      </w:r>
    </w:p>
    <w:p>
      <w:r>
        <w:rPr>
          <w:b/>
          <w:sz w:val="19"/>
        </w:rPr>
        <w:t xml:space="preserve">Übertragbarkeit: </w:t>
      </w:r>
      <w:r>
        <w:rPr>
          <w:sz w:val="19"/>
        </w:rPr>
        <w:t>China, aber Feinstaubbelastung und Expositionsmessung auch in Deutschland relevant</w:t>
      </w:r>
    </w:p>
    <w:p>
      <w:r>
        <w:rPr>
          <w:color w:val="5A7D3A"/>
          <w:sz w:val="18"/>
        </w:rPr>
        <w:t>https://pubmed.ncbi.nlm.nih.gov/42688627/</w:t>
      </w:r>
    </w:p>
    <w:p>
      <w:pPr>
        <w:pStyle w:val="Heading2"/>
      </w:pPr>
      <w:r>
        <w:t>Multikomponenten-Training und HMB-Supplementierung verbessern Gebrechlichkeit</w:t>
      </w:r>
    </w:p>
    <w:p>
      <w:r>
        <w:rPr>
          <w:i/>
          <w:color w:val="666666"/>
          <w:sz w:val="18"/>
        </w:rPr>
        <w:t>Jiang Y et al.  ·  Sichuan Da Xue Xue Bao Yi Xue Ban  ·  20.07.2026  ·  PMID 42688609</w:t>
      </w:r>
    </w:p>
    <w:p>
      <w:r>
        <w:t>Randomisierte Studie: 136 ältere Patienten mit Frailty erhielten 12 Wochen lang Übungstraining plus 3 g/d HMB oder Placebo; gemessen wurden physische Funktion (SPPB), Gangfähigkeit, Griffstärke, Muskelquerschnitt und Serumalbumin.</w:t>
      </w:r>
    </w:p>
    <w:p>
      <w:r>
        <w:rPr>
          <w:b/>
        </w:rPr>
        <w:t xml:space="preserve">Ergebnis: </w:t>
      </w:r>
      <w:r>
        <w:t>SPPB-Gesamtscore besserte sich in der HMB-Gruppe über 12 Wochen signifikant mehr als in der Kontrolle (Interaktionseffekt p&lt;0,001). HMB-Gruppe zeigte nach 4 Wochen bessere Bilanz (p&lt;0,05) und nach 12 Wochen auch bessere Gangscores und ASMI (p&lt;0,05). Serumalbumin war in der Interventionsgruppe erhöht (p&lt;0,05). HMB 3 g/d plus multikomponentales Training verbessert körperliche Funktion und Muskulatur bei älteren Patienten mit Gebrechlichkeit.</w:t>
      </w:r>
    </w:p>
    <w:p>
      <w:r>
        <w:rPr>
          <w:b/>
          <w:sz w:val="19"/>
        </w:rPr>
        <w:t xml:space="preserve">Übertragbarkeit: </w:t>
      </w:r>
      <w:r>
        <w:rPr>
          <w:sz w:val="19"/>
        </w:rPr>
        <w:t>China, Rehabilitation nach westlichem Standard, Frailty-Diagnostik vergleichbar</w:t>
      </w:r>
    </w:p>
    <w:p>
      <w:r>
        <w:rPr>
          <w:color w:val="5A7D3A"/>
          <w:sz w:val="18"/>
        </w:rPr>
        <w:t>https://pubmed.ncbi.nlm.nih.gov/42688609/</w:t>
      </w:r>
    </w:p>
    <w:p>
      <w:pPr>
        <w:pStyle w:val="Heading2"/>
      </w:pPr>
      <w:r>
        <w:t>Benzodiazepine-Induced Resistance: Drug Use Blunts Frailty-Intervention Effect</w:t>
      </w:r>
    </w:p>
    <w:p>
      <w:r>
        <w:rPr>
          <w:i/>
          <w:color w:val="666666"/>
          <w:sz w:val="18"/>
        </w:rPr>
        <w:t>Levati E et al.  ·  Age Ageing  ·  03.08.2026  ·  PMID 42685256</w:t>
      </w:r>
    </w:p>
    <w:p>
      <w:r>
        <w:t>Sekundäranalyse eines Trials zu multikomponentigen Lebensstiländerungen bei Frailty: 1506 ältere Patienten, 14% mit Benzodiazepin-Nutzung, Verfolgung der Mobilitätsbehindertung über Median 3,3 Jahre.</w:t>
      </w:r>
    </w:p>
    <w:p>
      <w:r>
        <w:rPr>
          <w:b/>
        </w:rPr>
        <w:t xml:space="preserve">Ergebnis: </w:t>
      </w:r>
      <w:r>
        <w:t>Bei Frailty-Patienten mit Benzodiazepin-Nutzung war die Effektivität der kombinierten Intervention (körperliche Übungen plus Ernährungsberatung) erheblich reduziert oder aufgehoben. Im Subgroup mit SPPB-Score 3–7 zeigte sich der präventive Effekt (HR 0,80) nur bei Nicht-Nutzern; Nutzer zeigten keinen Schutz (HR 1,06; p=0,035 für Interaktion). Benzodiazepine signifikant mindern die Wirksamkeit von Lebensstiländerungen bei älteren fragilen Menschen.</w:t>
      </w:r>
    </w:p>
    <w:p>
      <w:r>
        <w:rPr>
          <w:b/>
          <w:sz w:val="19"/>
        </w:rPr>
        <w:t xml:space="preserve">Übertragbarkeit: </w:t>
      </w:r>
      <w:r>
        <w:rPr>
          <w:sz w:val="19"/>
        </w:rPr>
        <w:t>Italien und Deutschland, vergleichbare klinische Versorgung und Frailty-Konzepte</w:t>
      </w:r>
    </w:p>
    <w:p>
      <w:r>
        <w:rPr>
          <w:color w:val="5A7D3A"/>
          <w:sz w:val="18"/>
        </w:rPr>
        <w:t>https://pubmed.ncbi.nlm.nih.gov/42685256/</w:t>
      </w:r>
    </w:p>
    <w:p>
      <w:pPr>
        <w:pStyle w:val="Heading2"/>
      </w:pPr>
      <w:r>
        <w:t>Gebrechlichkeit und Alter erhöhen postoperative Komplikationen nach Meningiom-Resektion</w:t>
      </w:r>
    </w:p>
    <w:p>
      <w:r>
        <w:rPr>
          <w:i/>
          <w:color w:val="666666"/>
          <w:sz w:val="18"/>
        </w:rPr>
        <w:t>Eibl T et al.  ·  J Clin Neurosci  ·  06.07.2026  ·  PMID 42407322</w:t>
      </w:r>
    </w:p>
    <w:p>
      <w:r>
        <w:t>Retrospektive Studie: 120 Patienten mit nicht-schädelbasis-Meningiomen (Alter Median 61 Jahre), Frailty (mFI-5, mFI-11), Charlson-Komorbidität, Outcome Heimententlassung, Aufenthaltssdauer, ICU-Tage, Komplikationen.</w:t>
      </w:r>
    </w:p>
    <w:p>
      <w:r>
        <w:rPr>
          <w:b/>
        </w:rPr>
        <w:t xml:space="preserve">Ergebnis: </w:t>
      </w:r>
      <w:r>
        <w:t>82,5% wurden nach Hause entlassen. Risikofaktoren für Nicht-Heimententlassung: höheres Alter (p&lt;0,001), größere Tumorvolumina (p=0,012), höhere Ödemvolumina (p=0,002), höhere Charlson-Score (p&lt;0,001), höhere mFI-5 und mFI-11 (beide p&lt;0,001). Postoperative Aufenthaltssdauer korrelierte mit mFI (rs=0,34 für beide, p&lt;0,001). Gebrechlichkeit und chronologisches Alter beeinflussen operatives Ergebnis erheblich und verlängern postoperativen Aufenthalt.</w:t>
      </w:r>
    </w:p>
    <w:p>
      <w:r>
        <w:rPr>
          <w:b/>
          <w:sz w:val="19"/>
        </w:rPr>
        <w:t xml:space="preserve">Übertragbarkeit: </w:t>
      </w:r>
      <w:r>
        <w:rPr>
          <w:sz w:val="19"/>
        </w:rPr>
        <w:t>Deutschland, vergleichbare Neurochirurgische Versorgung und Frailty-Konzepte</w:t>
      </w:r>
    </w:p>
    <w:p>
      <w:r>
        <w:rPr>
          <w:color w:val="5A7D3A"/>
          <w:sz w:val="18"/>
        </w:rPr>
        <w:t>https://pubmed.ncbi.nlm.nih.gov/42407322/</w:t>
      </w:r>
    </w:p>
    <w:p>
      <w:pPr>
        <w:pStyle w:val="Heading2"/>
      </w:pPr>
      <w:r>
        <w:t>TyG-Index mit BMI/WHtR vorhersagt Herz-Kreislauf-Erkrankung bei älteren Menschen</w:t>
      </w:r>
    </w:p>
    <w:p>
      <w:r>
        <w:rPr>
          <w:i/>
          <w:color w:val="666666"/>
          <w:sz w:val="18"/>
        </w:rPr>
        <w:t>Liu Z et al.  ·  Cardiovasc Diabetol  ·  05.07.2026  ·  PMID 42402573</w:t>
      </w:r>
    </w:p>
    <w:p>
      <w:r>
        <w:t>Prospektive Kohortenstudie: 1808 CVD-freie Personen ≥50 Jahre aus English Longitudinal Study of Ageing, Gruppierungstrajectorie von TyG mit BMI bzw. WHtR über ~8 Jahre, Outcome Herzinfarkt, Schlaganfall, Herzkrankheit.</w:t>
      </w:r>
    </w:p>
    <w:p>
      <w:r>
        <w:rPr>
          <w:b/>
        </w:rPr>
        <w:t xml:space="preserve">Ergebnis: </w:t>
      </w:r>
      <w:r>
        <w:t>Vier Trajektorie-Gruppen identifiziert. Im BMI+TyG-Modell (vs. Normalgewicht-niedriger TyG): Übergewicht-moderater TyG (HR 2,31, 95% KI 1,40–3,83), adipös-hoher TyG (HR 2,72, 1,63–4,52), stark adipös-hoher TyG (HR 5,06, 3,01–8,51). WHtR+TyG ähnliche Dosisantwort. Für Schlaganfall signifikant nur in höchstem Risiko. Robuste Dosis-Antwort-Gradienten unterstützen Monitoring dieser Indizes bei älteren Personen.</w:t>
      </w:r>
    </w:p>
    <w:p>
      <w:r>
        <w:rPr>
          <w:b/>
          <w:sz w:val="19"/>
        </w:rPr>
        <w:t xml:space="preserve">Übertragbarkeit: </w:t>
      </w:r>
      <w:r>
        <w:rPr>
          <w:sz w:val="19"/>
        </w:rPr>
        <w:t>Großbritannien, vergleichbare Epidemiologie und Metabolismus-Diagnostik</w:t>
      </w:r>
    </w:p>
    <w:p>
      <w:r>
        <w:rPr>
          <w:color w:val="5A7D3A"/>
          <w:sz w:val="18"/>
        </w:rPr>
        <w:t>https://pubmed.ncbi.nlm.nih.gov/42402573/</w:t>
      </w:r>
    </w:p>
    <w:p>
      <w:pPr>
        <w:pStyle w:val="Heading2"/>
      </w:pPr>
      <w:r>
        <w:t>Immunseneszenz-Biomarker für klinische Aging-Interventionsstudien</w:t>
      </w:r>
    </w:p>
    <w:p>
      <w:r>
        <w:rPr>
          <w:i/>
          <w:color w:val="666666"/>
          <w:sz w:val="18"/>
        </w:rPr>
        <w:t>Cipriano A et al.  ·  Nat Med  ·  03.07.2026  ·  PMID 42399672</w:t>
      </w:r>
    </w:p>
    <w:p>
      <w:r>
        <w:t>Konsensusrahmen von 26 Gerontologen und Immunologen zur Evaluierung von Immune-Aging-Biomarkern für klinische Trials; fünf Selektionskriterien, Bewertung von Kandidaten-Biomarkern und Empfehlungen für Lücken.</w:t>
      </w:r>
    </w:p>
    <w:p>
      <w:r>
        <w:rPr>
          <w:b/>
        </w:rPr>
        <w:t xml:space="preserve">Ergebnis: </w:t>
      </w:r>
      <w:r>
        <w:t>Metriken mit multidimensionalem Immunfunktionsspektrum, Inflammaging-Scores und funktionelle Assays schnitten gegen Selektionskriterien am besten ab. Vielversprechende aufkommende Maße identifiziert, aber kritische Lücken für zuverlässige, prädiktive Biomarker erkannt. Rahmen bietet kohärenten Weg zu klinisch aussagekräftigen Immunalterungs-Biomarkern für Geroscience-Interventionen.</w:t>
      </w:r>
    </w:p>
    <w:p>
      <w:r>
        <w:rPr>
          <w:b/>
          <w:sz w:val="19"/>
        </w:rPr>
        <w:t xml:space="preserve">Übertragbarkeit: </w:t>
      </w:r>
      <w:r>
        <w:rPr>
          <w:sz w:val="19"/>
        </w:rPr>
        <w:t>International konsensiert; Framework unabhängig von Ländersystem, aber Implementierung in Deutschland möglich</w:t>
      </w:r>
    </w:p>
    <w:p>
      <w:r>
        <w:rPr>
          <w:color w:val="5A7D3A"/>
          <w:sz w:val="18"/>
        </w:rPr>
        <w:t>https://pubmed.ncbi.nlm.nih.gov/42399672/</w:t>
      </w:r>
    </w:p>
    <w:p>
      <w:pPr>
        <w:pStyle w:val="Heading2"/>
      </w:pPr>
      <w:r>
        <w:t>Sexuelle Aktivitätsveränderung beeinträchtigt Lebensqualität im Alter nachweislich</w:t>
      </w:r>
    </w:p>
    <w:p>
      <w:r>
        <w:rPr>
          <w:i/>
          <w:color w:val="666666"/>
          <w:sz w:val="18"/>
        </w:rPr>
        <w:t>Kujawska A et al.  ·  Maturitas  ·  29.06.2026  ·  PMID 42391932</w:t>
      </w:r>
    </w:p>
    <w:p>
      <w:r>
        <w:t>Zweijahrliche Längsschnittstudie: 199 ältere Polen (80% Frauen, Alter 69,7±6 Jahre), Assessment von Sexualität und Lebensqualität nach WHO-QoL, Kovariaten Alter, Basalwerte, Traurigkeit, Gesundheit.</w:t>
      </w:r>
    </w:p>
    <w:p>
      <w:r>
        <w:rPr>
          <w:b/>
        </w:rPr>
        <w:t xml:space="preserve">Ergebnis: </w:t>
      </w:r>
      <w:r>
        <w:t>Keine signifikanten Veränderungen in Gesamt-QoL-Werten über zwei Jahre (p=0,3). Aber: Aufhören von Sexualität war assoziiert mit signifikant niedrigeren Folgepunkten in Sozialbeziehungen (p=0,006) und Umwelt-Domäne (p=0,007). Effekt hielt nach Ausschluß von Gesundheits- und Depressions-Veränderungen. Beendigung der Sexualität im Alter reduziert Sozialbeziehungen und Umwelt-Wohlbefinden nachweislich.</w:t>
      </w:r>
    </w:p>
    <w:p>
      <w:r>
        <w:rPr>
          <w:b/>
          <w:sz w:val="19"/>
        </w:rPr>
        <w:t xml:space="preserve">Übertragbarkeit: </w:t>
      </w:r>
      <w:r>
        <w:rPr>
          <w:sz w:val="19"/>
        </w:rPr>
        <w:t>Polen, ähnliche Altersstruktur, aber Übertragung auf Deutschland kulturabhängig</w:t>
      </w:r>
    </w:p>
    <w:p>
      <w:r>
        <w:rPr>
          <w:color w:val="5A7D3A"/>
          <w:sz w:val="18"/>
        </w:rPr>
        <w:t>https://pubmed.ncbi.nlm.nih.gov/42391932/</w:t>
      </w:r>
    </w:p>
    <w:p>
      <w:pPr>
        <w:pStyle w:val="Heading1"/>
      </w:pPr>
      <w:r>
        <w:t>Aufgenommen am 03.09.2026</w:t>
      </w:r>
    </w:p>
    <w:p>
      <w:pPr>
        <w:pStyle w:val="Heading2"/>
      </w:pPr>
      <w:r>
        <w:t>Hausarzt-Vertragsdienst in China verbessert Gesundheit älterer Erwachsener</w:t>
      </w:r>
    </w:p>
    <w:p>
      <w:r>
        <w:rPr>
          <w:i/>
          <w:color w:val="666666"/>
          <w:sz w:val="18"/>
        </w:rPr>
        <w:t>Jia C et al.  ·  Front Public Health  ·  18.08.2026  ·  PMID 42682531</w:t>
      </w:r>
    </w:p>
    <w:p>
      <w:r>
        <w:t>Nationale chinesische Querschnittsstudie (n = 11.455, ≥ 65 Jahre) aus der China Longitudinal Aging Social Survey 2023 zur Assoziation zwischen Teilnahme am Family Doctor Contract Service (FDCS) und Selbstbewertung, körperlichem Unbehagen und Lebenszufriedenheit, stratifiziert nach Land/Stadt und Bildung.</w:t>
      </w:r>
    </w:p>
    <w:p>
      <w:r>
        <w:rPr>
          <w:b/>
        </w:rPr>
        <w:t xml:space="preserve">Ergebnis: </w:t>
      </w:r>
      <w:r>
        <w:t>FDCS-Teilnahme assoziiert mit besseren Ergebnissen in allen drei Dimensionen. Ländliche und weniger gebildete Ältere zeigten stärkere Assoziationen mit geringerem körperlichem Unbehagen und höherer Lebenszufriedenheit; urbane und höher gebildete mit besserer Selbstbewertung. Heterogene Effekte nach Wohnort und Bildung.</w:t>
      </w:r>
    </w:p>
    <w:p>
      <w:r>
        <w:rPr>
          <w:b/>
          <w:sz w:val="19"/>
        </w:rPr>
        <w:t xml:space="preserve">Übertragbarkeit: </w:t>
      </w:r>
      <w:r>
        <w:rPr>
          <w:sz w:val="19"/>
        </w:rPr>
        <w:t>China, anderes System; Konzept der primärärztlichen Gatekeeping-Funktion teils übertragbar, Effektgrößen jedoch kontextabhängig.</w:t>
      </w:r>
    </w:p>
    <w:p>
      <w:r>
        <w:rPr>
          <w:color w:val="5A7D3A"/>
          <w:sz w:val="18"/>
        </w:rPr>
        <w:t>https://pubmed.ncbi.nlm.nih.gov/42682531/</w:t>
      </w:r>
    </w:p>
    <w:p>
      <w:pPr>
        <w:pStyle w:val="Heading2"/>
      </w:pPr>
      <w:r>
        <w:t>Serum-Periostin als Biomarker für Frailty bei Typ-2-Diabetes</w:t>
      </w:r>
    </w:p>
    <w:p>
      <w:r>
        <w:rPr>
          <w:i/>
          <w:color w:val="666666"/>
          <w:sz w:val="18"/>
        </w:rPr>
        <w:t>González-Salvatierra S et al.  ·  Int J Mol Sci  ·  21.08.2026  ·  PMID 42653500</w:t>
      </w:r>
    </w:p>
    <w:p>
      <w:r>
        <w:t>Spanische Querschnittsstudie (n = 137, Alter 65 ± 8 Jahre) zur Assoziation zwischen serum-Periostin und Frailty-Status (FRAIL-Skala: robust, pre-frail, frail) bei Typ-2-Diabetes.</w:t>
      </w:r>
    </w:p>
    <w:p>
      <w:r>
        <w:rPr>
          <w:b/>
        </w:rPr>
        <w:t xml:space="preserve">Ergebnis: </w:t>
      </w:r>
      <w:r>
        <w:t>Frailty korrelierte positiv mit Alter (p &lt; 0,001), BMI (p = 0,006), Taille (p = 0,01) und Diabetes-Dauer (p = 0,040), negativ mit TBS, HDL und eGFR. Periostin zeigte stärkste Korrelation mit Frailty (p &lt; 0,001). Frail: höhere Periostin als pre-frail (p = 0,006) und robust (p = 0,008). AUC für Frailty-Diskrimination 0,710 (p &lt; 0,001); kombiniert mit klinischen Variablen AUC 0,900 vs. 0,858. Schwellenwert &gt; 1307 pmol/L: 77,8% Sensitivität, 66,7% Spezifität.</w:t>
      </w:r>
    </w:p>
    <w:p>
      <w:r>
        <w:rPr>
          <w:b/>
          <w:sz w:val="19"/>
        </w:rPr>
        <w:t xml:space="preserve">Übertragbarkeit: </w:t>
      </w:r>
      <w:r>
        <w:rPr>
          <w:sz w:val="19"/>
        </w:rPr>
        <w:t>Spanien, europäisches System, vergleichbar; Biomarker-Entwicklung in progress.</w:t>
      </w:r>
    </w:p>
    <w:p>
      <w:r>
        <w:rPr>
          <w:color w:val="5A7D3A"/>
          <w:sz w:val="18"/>
        </w:rPr>
        <w:t>https://pubmed.ncbi.nlm.nih.gov/42653500/</w:t>
      </w:r>
    </w:p>
    <w:p>
      <w:pPr>
        <w:pStyle w:val="Heading2"/>
      </w:pPr>
      <w:r>
        <w:t>Geschlechtsspezifische Determinanten von Frailty bei alternden Menschen mit HIV</w:t>
      </w:r>
    </w:p>
    <w:p>
      <w:r>
        <w:rPr>
          <w:i/>
          <w:color w:val="666666"/>
          <w:sz w:val="18"/>
        </w:rPr>
        <w:t>Echeverría P et al.  ·  Viruses  ·  04.07.2026  ·  PMID 42515594</w:t>
      </w:r>
    </w:p>
    <w:p>
      <w:r>
        <w:t>Querschnittsstudie zu Frailty (Fried-Kriterien) bei 588 älteren Menschen mit HIV in Spanien, untersucht nach Geschlecht stratifiziert mittels geriatrischem Assessment.</w:t>
      </w:r>
    </w:p>
    <w:p>
      <w:r>
        <w:rPr>
          <w:b/>
        </w:rPr>
        <w:t xml:space="preserve">Ergebnis: </w:t>
      </w:r>
      <w:r>
        <w:t>Frauen mit HIV zeigten höhere Frailty-Prävalenz (17% vs. 9%) trotz jüngeren Alters und besserer Immunstatus. Bei Frauen waren muskuloskelettale Erkrankung (OR 3,85), kognitive Beeinträchtigung (OR 3,21), depressive Symptome (OR 2,67) und Mangelernährung (OR 2,14) unabhängig mit Frailty assoziiert; bei Männern alterstypischere Muster. Forderung nach geschlechtsspezifischer, ganzheitlicher geriatrischer Versorgung.</w:t>
      </w:r>
    </w:p>
    <w:p>
      <w:r>
        <w:rPr>
          <w:b/>
          <w:sz w:val="19"/>
        </w:rPr>
        <w:t xml:space="preserve">Übertragbarkeit: </w:t>
      </w:r>
      <w:r>
        <w:rPr>
          <w:sz w:val="19"/>
        </w:rPr>
        <w:t>Spanien, europäisches System, direkt vergleichbare Versorgungsstrukturen.</w:t>
      </w:r>
    </w:p>
    <w:p>
      <w:r>
        <w:rPr>
          <w:color w:val="5A7D3A"/>
          <w:sz w:val="18"/>
        </w:rPr>
        <w:t>https://pubmed.ncbi.nlm.nih.gov/42515594/</w:t>
      </w:r>
    </w:p>
    <w:p>
      <w:pPr>
        <w:pStyle w:val="Heading2"/>
      </w:pPr>
      <w:r>
        <w:t>Express-Screening für Frailty verbessert Versorgung älteren Patienten mit Notfallbedarf</w:t>
      </w:r>
    </w:p>
    <w:p>
      <w:r>
        <w:rPr>
          <w:i/>
          <w:color w:val="666666"/>
          <w:sz w:val="18"/>
        </w:rPr>
        <w:t>Ilnitski AN et al.  ·  Adv Gerontol  ·  2026  ·  PMID 42502931</w:t>
      </w:r>
    </w:p>
    <w:p>
      <w:r>
        <w:t>Russische Studie an 333 älteren Patienten (65–90 Jahre) in Notfallambulanz: Vergleich zwischen 234 Patienten mit Frailty-Screening (Gruppe 1) und 99 ohne Screening (Gruppe 2); Nachverfolgung 1 Monat.</w:t>
      </w:r>
    </w:p>
    <w:p>
      <w:r>
        <w:rPr>
          <w:b/>
        </w:rPr>
        <w:t xml:space="preserve">Ergebnis: </w:t>
      </w:r>
      <w:r>
        <w:t>Gruppe 1: 62,8% unter hausärztlicher Beobachtung, 0% Wiedervorstellungen, 0,4% Mortalität. Gruppe 2: 41,4% beobachtet, 6,1% Wiedervorstellungen, 2% Mortalität (p &lt; 0,001). Express-Screening ermöglichte bessere Nachbeobachtung und senkte Sterblichkeit und Inanspruchnahme.</w:t>
      </w:r>
    </w:p>
    <w:p>
      <w:r>
        <w:rPr>
          <w:b/>
          <w:sz w:val="19"/>
        </w:rPr>
        <w:t xml:space="preserve">Übertragbarkeit: </w:t>
      </w:r>
      <w:r>
        <w:rPr>
          <w:sz w:val="19"/>
        </w:rPr>
        <w:t>Russland, weniger direkt übertragbar; Konzept des Frailty-Screening in Notfallambulanzen adaptierbar.</w:t>
      </w:r>
    </w:p>
    <w:p>
      <w:r>
        <w:rPr>
          <w:color w:val="5A7D3A"/>
          <w:sz w:val="18"/>
        </w:rPr>
        <w:t>https://pubmed.ncbi.nlm.nih.gov/42502931/</w:t>
      </w:r>
    </w:p>
    <w:p>
      <w:pPr>
        <w:pStyle w:val="Heading2"/>
      </w:pPr>
      <w:r>
        <w:t>Geschlechtsspezifische Heterogenität der Handkraftveränderung im Alter: UK Biobank</w:t>
      </w:r>
    </w:p>
    <w:p>
      <w:r>
        <w:rPr>
          <w:i/>
          <w:color w:val="666666"/>
          <w:sz w:val="18"/>
        </w:rPr>
        <w:t>Fortinsky RH et al.  ·  J Gerontol A Biol Sci Med Sci  ·  04.08.2026  ·  PMID 42435411</w:t>
      </w:r>
    </w:p>
    <w:p>
      <w:r>
        <w:t>Longitudinale Kohorte aus UK Biobank (n = 73.134, 52% Frauen, 40–69 Jahre bei Baseline, 4–18 Jahre Nachverfolgung) zur Analyse der Varianz in Handkraft nach Altersgruppen und Geschlecht.</w:t>
      </w:r>
    </w:p>
    <w:p>
      <w:r>
        <w:rPr>
          <w:b/>
        </w:rPr>
        <w:t xml:space="preserve">Ergebnis: </w:t>
      </w:r>
      <w:r>
        <w:t>Frauen zeigten stabile Handkraft-Varianz über alle Altersgruppen querschnittlich und longitudinal; Männer zeigten cross-sectional Varianzabnahme mit Alter, longitudinal aber Varianzanstieg. Kovariaten schwächten Trends ab, eliminierten sie aber nicht. Heterogenität des Alterns operiert bei Männern und Frauen unterschiedlich; longitudinale und querschnittliche Muster divergieren deutlich.</w:t>
      </w:r>
    </w:p>
    <w:p>
      <w:r>
        <w:rPr>
          <w:b/>
          <w:sz w:val="19"/>
        </w:rPr>
        <w:t xml:space="preserve">Übertragbarkeit: </w:t>
      </w:r>
      <w:r>
        <w:rPr>
          <w:sz w:val="19"/>
        </w:rPr>
        <w:t>UK Biobank, vergleichbares englisches System, hohe Übertragbarkeit auf deutsche Bevölkerung.</w:t>
      </w:r>
    </w:p>
    <w:p>
      <w:r>
        <w:rPr>
          <w:color w:val="5A7D3A"/>
          <w:sz w:val="18"/>
        </w:rPr>
        <w:t>https://pubmed.ncbi.nlm.nih.gov/42435411/</w:t>
      </w:r>
    </w:p>
    <w:p>
      <w:pPr>
        <w:pStyle w:val="Heading2"/>
      </w:pPr>
      <w:r>
        <w:t>Gezielte epigenetische Uhr (TaM-Uhr) zeigt Grenzen bei Frailty-Vorhersage</w:t>
      </w:r>
    </w:p>
    <w:p>
      <w:r>
        <w:rPr>
          <w:i/>
          <w:color w:val="666666"/>
          <w:sz w:val="18"/>
        </w:rPr>
        <w:t>Awuah J et al.  ·  Clin Epigenetics  ·  07.07.2026  ·  PMID 42415175</w:t>
      </w:r>
    </w:p>
    <w:p>
      <w:r>
        <w:t>Deutsche Studie (Ulm, Aachen) zur Validierung einer verkürzten epigenetischen Uhr basierend auf drei Sterblichkeits-assoziierten CpG-Stellen gegen Frailty und Mortalität in der ActiFE-Kohorte (n = 446 bzw. 20 Frail/non-Frail).</w:t>
      </w:r>
    </w:p>
    <w:p>
      <w:r>
        <w:rPr>
          <w:b/>
        </w:rPr>
        <w:t xml:space="preserve">Ergebnis: </w:t>
      </w:r>
      <w:r>
        <w:t>In der kleinen Subset (n = 40) war das Delta-Alter mit Frailty assoziiert, jedoch in der größeren Kohorte keine signifikanten Assoziationen mit Frailty oder Mortalität. Ein CpG-Locus (cg20595453) zeigte Assoziation mit beiden Endpunkten, doch insgesamt war die Vorhersagekraft begrenzt. Die Autoren konstatieren, dass epigenetische Uhren in relativ gesunden Populationen nicht sensitiv genug sind.</w:t>
      </w:r>
    </w:p>
    <w:p>
      <w:r>
        <w:rPr>
          <w:b/>
          <w:sz w:val="19"/>
        </w:rPr>
        <w:t xml:space="preserve">Übertragbarkeit: </w:t>
      </w:r>
      <w:r>
        <w:rPr>
          <w:sz w:val="19"/>
        </w:rPr>
        <w:t>Deutschland (Aachen, Ulm), deutsches Studiendesign, hohe Übertragbarkeit; zeigt jedoch auch Grenzen der Methode.</w:t>
      </w:r>
    </w:p>
    <w:p>
      <w:r>
        <w:rPr>
          <w:color w:val="5A7D3A"/>
          <w:sz w:val="18"/>
        </w:rPr>
        <w:t>https://pubmed.ncbi.nlm.nih.gov/42415175/</w:t>
      </w:r>
    </w:p>
    <w:p>
      <w:pPr>
        <w:pStyle w:val="Heading1"/>
      </w:pPr>
      <w:r>
        <w:t>Aufgenommen am 02.09.2026</w:t>
      </w:r>
    </w:p>
    <w:p>
      <w:pPr>
        <w:pStyle w:val="Heading2"/>
      </w:pPr>
      <w:r>
        <w:t>Psychische Gesundheit älteren Menschen: Evidenzbasierte Prävention mit moderater körperlicher Aktivität</w:t>
      </w:r>
    </w:p>
    <w:p>
      <w:r>
        <w:rPr>
          <w:i/>
          <w:color w:val="666666"/>
          <w:sz w:val="18"/>
        </w:rPr>
        <w:t>Acoulon G et al.  ·  Sante Publique  ·  2026  ·  PMID 42674988</w:t>
      </w:r>
    </w:p>
    <w:p>
      <w:r>
        <w:t>Systematische Übersicht von Primärprävention psychischer Erkrankungen bei selbstständig lebenden älteren Menschen ab 60 Jahren.</w:t>
      </w:r>
    </w:p>
    <w:p>
      <w:r>
        <w:rPr>
          <w:b/>
        </w:rPr>
        <w:t xml:space="preserve">Ergebnis: </w:t>
      </w:r>
      <w:r>
        <w:t>Sieben Interventionskategorien identifiziert; moderate körperliche Aktivität (2–3 Sitzungen/Woche, ≥12 Wochen) reduzierte depressive und Angstsymptome am stärksten. Multimodale und in Gemeinderessourcen verankerte Programme zeigten beste Effektivität. Hauptchallenge: Dissemination und Anpassung an vulnerable Bevölkerungsgruppen, nicht die Identifikation wirksamer Interventionen.</w:t>
      </w:r>
    </w:p>
    <w:p>
      <w:r>
        <w:rPr>
          <w:b/>
          <w:sz w:val="19"/>
        </w:rPr>
        <w:t xml:space="preserve">Übertragbarkeit: </w:t>
      </w:r>
      <w:r>
        <w:rPr>
          <w:sz w:val="19"/>
        </w:rPr>
        <w:t>Frankreich, vergleichbare Sozialversicherung; Empfehlungen auf deutsches System übertragbar</w:t>
      </w:r>
    </w:p>
    <w:p>
      <w:r>
        <w:rPr>
          <w:color w:val="5A7D3A"/>
          <w:sz w:val="18"/>
        </w:rPr>
        <w:t>https://pubmed.ncbi.nlm.nih.gov/42674988/</w:t>
      </w:r>
    </w:p>
    <w:p>
      <w:pPr>
        <w:pStyle w:val="Heading2"/>
      </w:pPr>
      <w:r>
        <w:t>Sozial assistive Roboter in der Altenpflege: Phasen-orientierte Implementierung statt Technologie-Fokus</w:t>
      </w:r>
    </w:p>
    <w:p>
      <w:r>
        <w:rPr>
          <w:i/>
          <w:color w:val="666666"/>
          <w:sz w:val="18"/>
        </w:rPr>
        <w:t>Bubeck M et al.  ·  Arch Gerontol Geriatr  ·  28.07.2026  ·  PMID 42603460</w:t>
      </w:r>
    </w:p>
    <w:p>
      <w:r>
        <w:t>Qualitative Studie mit 14 professionellen Pflegekräften in deutschen Einrichtungen zur Erfahrung mit Robotern am Krankenbett.</w:t>
      </w:r>
    </w:p>
    <w:p>
      <w:r>
        <w:rPr>
          <w:b/>
        </w:rPr>
        <w:t xml:space="preserve">Ergebnis: </w:t>
      </w:r>
      <w:r>
        <w:t>Vier analytische Phasen der Implementierung identifiziert: Orientierung, Einführung, Routinenutzung, Neubewertung. Praktische und moralische Anforderungen verschoben sich systematisch. Zentrale Erkenntnisse: Nachhaltige, ethisch verantwortungsvolle Nutzung erfordert Unterstützung des professionellen Urteils und kontextuelle Sensibilität – nicht technisches Rollout ohne Reflexion.</w:t>
      </w:r>
    </w:p>
    <w:p>
      <w:r>
        <w:rPr>
          <w:b/>
          <w:sz w:val="19"/>
        </w:rPr>
        <w:t xml:space="preserve">Übertragbarkeit: </w:t>
      </w:r>
      <w:r>
        <w:rPr>
          <w:sz w:val="19"/>
        </w:rPr>
        <w:t>Deutschland, direkt auf deutsches Versorgungssystem anwendbar</w:t>
      </w:r>
    </w:p>
    <w:p>
      <w:r>
        <w:rPr>
          <w:color w:val="5A7D3A"/>
          <w:sz w:val="18"/>
        </w:rPr>
        <w:t>https://pubmed.ncbi.nlm.nih.gov/42603460/</w:t>
      </w:r>
    </w:p>
    <w:p>
      <w:pPr>
        <w:pStyle w:val="Heading2"/>
      </w:pPr>
      <w:r>
        <w:t>Urinmetabolom als biologische Alter-Uhr: Längsschnitt-Heterogenität und Mortalitätsvorhersage</w:t>
      </w:r>
    </w:p>
    <w:p>
      <w:r>
        <w:rPr>
          <w:i/>
          <w:color w:val="666666"/>
          <w:sz w:val="18"/>
        </w:rPr>
        <w:t>Gauß KF et al.  ·  J Gerontol A Biol Sci Med Sci  ·  04.08.2026  ·  PMID 42440338</w:t>
      </w:r>
    </w:p>
    <w:p>
      <w:r>
        <w:t>Entwicklung und Validierung eines biologischen Alter-Scores aus hochauflösender ¹H-Kernresonanzspektroskopie von Urinmetaboliten in großer populationsbasierter Kohorte mit &gt;10-Jahr Nachverfolgung.</w:t>
      </w:r>
    </w:p>
    <w:p>
      <w:r>
        <w:rPr>
          <w:b/>
        </w:rPr>
        <w:t xml:space="preserve">Ergebnis: </w:t>
      </w:r>
      <w:r>
        <w:t>Metabolisches Altern variiert zwischen Individuen, unterstreicht inter-individuelle Heterogenität. Metabolisches Alter zeigte Assoziation mit altersrelevanten klinischen Phänotypen und war prädiktiv für multiple Erkrankungen und Gesamtmortalität unabhängig vom chronologischen Alter. Urinmetabolom als non-invasives Werkzeug zur Risikostratifizierung validiert.</w:t>
      </w:r>
    </w:p>
    <w:p>
      <w:r>
        <w:rPr>
          <w:b/>
          <w:sz w:val="19"/>
        </w:rPr>
        <w:t xml:space="preserve">Übertragbarkeit: </w:t>
      </w:r>
      <w:r>
        <w:rPr>
          <w:sz w:val="19"/>
        </w:rPr>
        <w:t>Deutschland, Greifswald; deutsche Klinikdaten, vergleichbare Dokumentationspflichten</w:t>
      </w:r>
    </w:p>
    <w:p>
      <w:r>
        <w:rPr>
          <w:color w:val="5A7D3A"/>
          <w:sz w:val="18"/>
        </w:rPr>
        <w:t>https://pubmed.ncbi.nlm.nih.gov/42440338/</w:t>
      </w:r>
    </w:p>
    <w:p>
      <w:pPr>
        <w:pStyle w:val="Heading2"/>
      </w:pPr>
      <w:r>
        <w:t>Frailty-Übergänge und Schlaganfall-Risiko: China und Großbritannien im Vergleich</w:t>
      </w:r>
    </w:p>
    <w:p>
      <w:r>
        <w:rPr>
          <w:i/>
          <w:color w:val="666666"/>
          <w:sz w:val="18"/>
        </w:rPr>
        <w:t>Zhong S et al.  ·  Arch Gerontol Geriatr  ·  04.07.2026  ·  PMID 42418874</w:t>
      </w:r>
    </w:p>
    <w:p>
      <w:r>
        <w:t>Längsschnittstudie (CHARLS/ELSA) mit 14.682 älteren Erwachsenen zu Frailty-Verlauf und Schlaganfall-Inzidenz über 2 Jahre.</w:t>
      </w:r>
    </w:p>
    <w:p>
      <w:r>
        <w:rPr>
          <w:b/>
        </w:rPr>
        <w:t xml:space="preserve">Ergebnis: </w:t>
      </w:r>
      <w:r>
        <w:t>Baseline-Frailty erhöhte Schlaganfall-Risiko in beiden Ländern. Progression von robust zu pre-frail/frail: signifikant erhöhtes Risiko; Verbesserung von frail zu robust/pre-frail: Risikoreduktion. Höherer kumulativer Frailty-Index zeigte Dosis-Wirkungs-Beziehung (alle p&lt;0,0001). Frailty-Monitoring als Prognose-Instrument für Hochrisiko-Patienten bestätigt.</w:t>
      </w:r>
    </w:p>
    <w:p>
      <w:r>
        <w:rPr>
          <w:b/>
          <w:sz w:val="19"/>
        </w:rPr>
        <w:t xml:space="preserve">Übertragbarkeit: </w:t>
      </w:r>
      <w:r>
        <w:rPr>
          <w:sz w:val="19"/>
        </w:rPr>
        <w:t>Großbritannien und China, vorsichtig auf Deutschland; Altersstruktur und Versorgung unterschiedlich, Frailty-Mechanismus universal</w:t>
      </w:r>
    </w:p>
    <w:p>
      <w:r>
        <w:rPr>
          <w:color w:val="5A7D3A"/>
          <w:sz w:val="18"/>
        </w:rPr>
        <w:t>https://pubmed.ncbi.nlm.nih.gov/42418874/</w:t>
      </w:r>
    </w:p>
    <w:p>
      <w:pPr>
        <w:pStyle w:val="Heading2"/>
      </w:pPr>
      <w:r>
        <w:t>Soziale, psychische und spirituelle Versorgung am Lebensende: Ungleichheiten durch fehlende Formaldienste</w:t>
      </w:r>
    </w:p>
    <w:p>
      <w:r>
        <w:rPr>
          <w:i/>
          <w:color w:val="666666"/>
          <w:sz w:val="18"/>
        </w:rPr>
        <w:t>Meier C et al.  ·  Age Ageing  ·  02.07.2026  ·  PMID 42407095</w:t>
      </w:r>
    </w:p>
    <w:p>
      <w:r>
        <w:t>Analyse von 507 Proxy-Interviews verstorbener Personen (≥55 Jahre) aus der ELSA zur Unterstützung non-medizinischer Bedarf in den letzten drei Lebensmonaten.</w:t>
      </w:r>
    </w:p>
    <w:p>
      <w:r>
        <w:rPr>
          <w:b/>
        </w:rPr>
        <w:t xml:space="preserve">Ergebnis: </w:t>
      </w:r>
      <w:r>
        <w:t>Soziale Bedürfnisse bei 81,8%, psychische bei 77,8%, spirituelle bei 74,4% erfüllt. Überwiegend Familie als Unterstützer, kaum formale Dienste. Alleinleben assoziiert mit niedrigerer Erfüllungswahrscheinlichkeit; Demenz korreliert mit schlechterer psychischer und sozialer Unterstützung. Mangel an integrierten Angeboten verstärkt soziale Ungleichheiten am Lebensende.</w:t>
      </w:r>
    </w:p>
    <w:p>
      <w:r>
        <w:rPr>
          <w:b/>
          <w:sz w:val="19"/>
        </w:rPr>
        <w:t xml:space="preserve">Übertragbarkeit: </w:t>
      </w:r>
      <w:r>
        <w:rPr>
          <w:sz w:val="19"/>
        </w:rPr>
        <w:t>Großbritannien, vergleichbar mit deutschem NHS; Befund zur Systemabhängigkeit nicht-medizinischer Versorgung bedeutsam</w:t>
      </w:r>
    </w:p>
    <w:p>
      <w:r>
        <w:rPr>
          <w:color w:val="5A7D3A"/>
          <w:sz w:val="18"/>
        </w:rPr>
        <w:t>https://pubmed.ncbi.nlm.nih.gov/42407095/</w:t>
      </w:r>
    </w:p>
    <w:p>
      <w:pPr>
        <w:pStyle w:val="Heading2"/>
      </w:pPr>
      <w:r>
        <w:t>Schlafstörungen und Muskelkraftverlust im Alter: Geschlechtsspezifische Unterschiede bei älteren Erwachsenen</w:t>
      </w:r>
    </w:p>
    <w:p>
      <w:r>
        <w:rPr>
          <w:i/>
          <w:color w:val="666666"/>
          <w:sz w:val="18"/>
        </w:rPr>
        <w:t>Silveira LC et al.  ·  Age Ageing  ·  02.07.2026  ·  PMID 42407094</w:t>
      </w:r>
    </w:p>
    <w:p>
      <w:r>
        <w:t>Längsschnittstudie (8 Jahre, n=6.429, ELSA) zu Einfluss von Insomnie und Schlafdauer auf Handgriff-Kraft-Abnahme.</w:t>
      </w:r>
    </w:p>
    <w:p>
      <w:r>
        <w:rPr>
          <w:b/>
        </w:rPr>
        <w:t xml:space="preserve">Ergebnis: </w:t>
      </w:r>
      <w:r>
        <w:t>Männer mit erhöhter Insomnie: schnellerer Kraftverlust (–0,02 kg/Jahr; 95%-KI –0,04 bis –0,01). Frauen mit Schlafdauer ≥9 Stunden: stärkerer Rückgang (–0,14 kg/Jahr; 95%-KI –0,26 bis –0,03). Schlafprobleme beeinflussen Muskelabbau geschlechtsspezifisch unterschiedlich – bei Männern Insomnie, bei Frauen lange Schlafdauer.</w:t>
      </w:r>
    </w:p>
    <w:p>
      <w:r>
        <w:rPr>
          <w:b/>
          <w:sz w:val="19"/>
        </w:rPr>
        <w:t xml:space="preserve">Übertragbarkeit: </w:t>
      </w:r>
      <w:r>
        <w:rPr>
          <w:sz w:val="19"/>
        </w:rPr>
        <w:t>Großbritannien, epidemiologisch auf Deutschland übertragbar; Geschlechtsdimension in Prävention relevant</w:t>
      </w:r>
    </w:p>
    <w:p>
      <w:r>
        <w:rPr>
          <w:color w:val="5A7D3A"/>
          <w:sz w:val="18"/>
        </w:rPr>
        <w:t>https://pubmed.ncbi.nlm.nih.gov/42407094/</w:t>
      </w:r>
    </w:p>
    <w:p>
      <w:pPr>
        <w:pStyle w:val="Heading1"/>
      </w:pPr>
      <w:r>
        <w:t>Aufgenommen am 01.09.2026</w:t>
      </w:r>
    </w:p>
    <w:p>
      <w:pPr>
        <w:pStyle w:val="Heading2"/>
      </w:pPr>
      <w:r>
        <w:t>Geriatrisches Assessment vor Gefäßinterventionen senkt perioperative Risiken bei älteren Patienten</w:t>
      </w:r>
    </w:p>
    <w:p>
      <w:r>
        <w:rPr>
          <w:i/>
          <w:color w:val="666666"/>
          <w:sz w:val="18"/>
        </w:rPr>
        <w:t>Kolb G et al.  ·  Vasa  ·  Sept. 2026  ·  PMID 42669422</w:t>
      </w:r>
    </w:p>
    <w:p>
      <w:r>
        <w:t>Positionspapier dreier Fachgesellschaften zur Notwendigkeit geriatrischer Assessments vor gefäßmedizinischen Eingriffen bei älteren Menschen, da Frailty die Outcomes nach Gefäßchirurgie und Interventionen bestimmt.</w:t>
      </w:r>
    </w:p>
    <w:p>
      <w:r>
        <w:rPr>
          <w:b/>
        </w:rPr>
        <w:t xml:space="preserve">Ergebnis: </w:t>
      </w:r>
      <w:r>
        <w:t>Frailty-Status bestimmt Komplikationen und Outcomes nach Gefäßinterventionen; geriatrisches Assessment wird zur Risikostratifizierung empfohlen, konkrete Zahlen zu Outcome-Verbesserungen durch das Positionspapier nicht genannt.</w:t>
      </w:r>
    </w:p>
    <w:p>
      <w:r>
        <w:rPr>
          <w:b/>
          <w:sz w:val="19"/>
        </w:rPr>
        <w:t xml:space="preserve">Übertragbarkeit: </w:t>
      </w:r>
      <w:r>
        <w:rPr>
          <w:sz w:val="19"/>
        </w:rPr>
        <w:t>Deutschland: Stellungnahmen deutscher Fachgesellschaften, direkt relevant für Versorgungspraxis.</w:t>
      </w:r>
    </w:p>
    <w:p>
      <w:r>
        <w:rPr>
          <w:color w:val="5A7D3A"/>
          <w:sz w:val="18"/>
        </w:rPr>
        <w:t>https://pubmed.ncbi.nlm.nih.gov/42669422/</w:t>
      </w:r>
    </w:p>
    <w:p>
      <w:pPr>
        <w:pStyle w:val="Heading2"/>
      </w:pPr>
      <w:r>
        <w:t>Gesunde Ernährung verlangsamt epigenetisches Altern unabhängig von Ernährungsstil</w:t>
      </w:r>
    </w:p>
    <w:p>
      <w:r>
        <w:rPr>
          <w:i/>
          <w:color w:val="666666"/>
          <w:sz w:val="18"/>
        </w:rPr>
        <w:t>Tavares JF et al.  ·  Nat Commun  ·  29.08.2026  ·  PMID 42668319</w:t>
      </w:r>
    </w:p>
    <w:p>
      <w:r>
        <w:t>Zwei bevölkerungsbasierte Kohorten zeigten, dass Adhärenz zu gesunden Ernährungsmustern mit verlangsamtem epigenetischem Altern assoziiert ist, obwohl verschiedene Ernährungsstile unterschiedliche epigenetische Profile aufweisen.</w:t>
      </w:r>
    </w:p>
    <w:p>
      <w:r>
        <w:rPr>
          <w:b/>
        </w:rPr>
        <w:t xml:space="preserve">Ergebnis: </w:t>
      </w:r>
      <w:r>
        <w:t>Zehn verschiedene Ernährungsbewertungsindizes: minimale Überschneidung in der höchsten Adhärenz-Quartile, aber alle mit reduziertem epigenetischen Altern assoziiert; verschiedene Ernährungsstile konvergierten auf gleiche biologische Signalwege.</w:t>
      </w:r>
    </w:p>
    <w:p>
      <w:r>
        <w:rPr>
          <w:b/>
          <w:sz w:val="19"/>
        </w:rPr>
        <w:t xml:space="preserve">Übertragbarkeit: </w:t>
      </w:r>
      <w:r>
        <w:rPr>
          <w:sz w:val="19"/>
        </w:rPr>
        <w:t>Deutschland und deutschsprachiger Raum: Rhineland-Studie, vergleichbare Populationsstruktur, externe Validierung mit EPIC-Potsdam.</w:t>
      </w:r>
    </w:p>
    <w:p>
      <w:r>
        <w:rPr>
          <w:color w:val="5A7D3A"/>
          <w:sz w:val="18"/>
        </w:rPr>
        <w:t>https://pubmed.ncbi.nlm.nih.gov/42668319/</w:t>
      </w:r>
    </w:p>
    <w:p>
      <w:pPr>
        <w:pStyle w:val="Heading2"/>
      </w:pPr>
      <w:r>
        <w:t>Arbeitsplatzgewalt verkürzt die Erwerbstätigkeit älterer Arbeitnehmer um bis zu sieben Monate</w:t>
      </w:r>
    </w:p>
    <w:p>
      <w:r>
        <w:rPr>
          <w:i/>
          <w:color w:val="666666"/>
          <w:sz w:val="18"/>
        </w:rPr>
        <w:t>Holmgren R et al.  ·  Scand J Work Environ Health  ·  01.09.2026  ·  PMID 42563557</w:t>
      </w:r>
    </w:p>
    <w:p>
      <w:r>
        <w:t>Prospektive schwedische Kohortenstudie mit multistate Markov-Modellen zur Assoziation von Mobbing und Gewalt am Arbeitsplatz mit der verbleibenden Erwerbstätigkeit von über 50-Jährigen.</w:t>
      </w:r>
    </w:p>
    <w:p>
      <w:r>
        <w:rPr>
          <w:b/>
        </w:rPr>
        <w:t xml:space="preserve">Ergebnis: </w:t>
      </w:r>
      <w:r>
        <w:t>Exposition gegenüber Arbeitsplatzgewalt/Drohungen verkürzte die Erwerbstätigkeit ab 50 Jahren um 0,56 Jahre (95%-KI: −1,02–−0,10); Mobbing zeigte ähnliche Effektgröße (−0,63 Jahre, 95%-KI: −1,39–0,14), war aber nicht statistisch signifikant.</w:t>
      </w:r>
    </w:p>
    <w:p>
      <w:r>
        <w:rPr>
          <w:b/>
          <w:sz w:val="19"/>
        </w:rPr>
        <w:t xml:space="preserve">Übertragbarkeit: </w:t>
      </w:r>
      <w:r>
        <w:rPr>
          <w:sz w:val="19"/>
        </w:rPr>
        <w:t>Schweden, vergleichbares Sozialversicherungssystem, Längsschnitt-Follow-up 2008–2020.</w:t>
      </w:r>
    </w:p>
    <w:p>
      <w:r>
        <w:rPr>
          <w:color w:val="5A7D3A"/>
          <w:sz w:val="18"/>
        </w:rPr>
        <w:t>https://pubmed.ncbi.nlm.nih.gov/42563557/</w:t>
      </w:r>
    </w:p>
    <w:p>
      <w:pPr>
        <w:pStyle w:val="Heading2"/>
      </w:pPr>
      <w:r>
        <w:t>Frailty-Messung mit elektronischen Daten ist kontextabhängig und zeigt begrenzte Übertragbarkeit</w:t>
      </w:r>
    </w:p>
    <w:p>
      <w:r>
        <w:rPr>
          <w:i/>
          <w:color w:val="666666"/>
          <w:sz w:val="18"/>
        </w:rPr>
        <w:t>Cavanaugh R et al.  ·  J Gerontol A Biol Sci Med Sci  ·  04.08.2026  ·  PMID 42550179</w:t>
      </w:r>
    </w:p>
    <w:p>
      <w:r>
        <w:t>Internationale Vergleichsstudie zweier elektronischer Frailty-Indizes (VAFI, eFI) über fünf Datenbanken zeigte inkonsistente Frailty-Prävalenzen je nach Land und lokalen Kodierungsverhalten.</w:t>
      </w:r>
    </w:p>
    <w:p>
      <w:r>
        <w:rPr>
          <w:b/>
        </w:rPr>
        <w:t xml:space="preserve">Ergebnis: </w:t>
      </w:r>
      <w:r>
        <w:t>USA-Datenbanken: VAFI identifizierte höhere Frailty-Raten (All of Us: 10,3% vs. 2,5% eFI; Pharmetrics: 9,6% vs. 2%); UK-Datenbanken zeigten umgekehrtes Muster (eFI höher); FI-Messungen stark abhängig vom Entwicklungskontext und lokalen Kodierungsinzentiven.</w:t>
      </w:r>
    </w:p>
    <w:p>
      <w:r>
        <w:rPr>
          <w:b/>
          <w:sz w:val="19"/>
        </w:rPr>
        <w:t xml:space="preserve">Übertragbarkeit: </w:t>
      </w:r>
      <w:r>
        <w:rPr>
          <w:sz w:val="19"/>
        </w:rPr>
        <w:t>USA und UK: Warnung vor direkter Anwendung außerhalb des Entwicklungskontextes; deutsche Systeme benötigen eigene Validierung.</w:t>
      </w:r>
    </w:p>
    <w:p>
      <w:r>
        <w:rPr>
          <w:color w:val="5A7D3A"/>
          <w:sz w:val="18"/>
        </w:rPr>
        <w:t>https://pubmed.ncbi.nlm.nih.gov/42550179/</w:t>
      </w:r>
    </w:p>
    <w:p>
      <w:pPr>
        <w:pStyle w:val="Heading2"/>
      </w:pPr>
      <w:r>
        <w:t>Datenaustausch für Hirnalterungsforschung: Barrieren und Strategien in der Open Science</w:t>
      </w:r>
    </w:p>
    <w:p>
      <w:r>
        <w:rPr>
          <w:i/>
          <w:color w:val="666666"/>
          <w:sz w:val="18"/>
        </w:rPr>
        <w:t>Giehl K et al.  ·  Eur J Neurol  ·  Juli 2026  ·  PMID 42496021</w:t>
      </w:r>
    </w:p>
    <w:p>
      <w:r>
        <w:t>Übersichtsarbeit zu Hindernissen bei der Freigabe von Neuroimaging-Daten in der Alternsforschung und Vorschläge für vereinheitlichte rechtliche Rahmen, Standardisierung und akademische Anreize.</w:t>
      </w:r>
    </w:p>
    <w:p>
      <w:r>
        <w:rPr>
          <w:b/>
        </w:rPr>
        <w:t xml:space="preserve">Ergebnis: </w:t>
      </w:r>
      <w:r>
        <w:t>Die Hürden reichen von technischen und infrastrukturellen Grenzen bis zu rechtlichen Fragen. Die Arbeit plädiert für einen einheitlichen, DSGVO-konformen Rahmen, für die akademische Anerkennung von Data Stewardship und für ein abgestimmtes Vorgehen der Fachgemeinschaft hin zu Open Science in der Erforschung neurodegenerativer Erkrankungen.</w:t>
      </w:r>
    </w:p>
    <w:p>
      <w:r>
        <w:rPr>
          <w:b/>
          <w:sz w:val="19"/>
        </w:rPr>
        <w:t xml:space="preserve">Übertragbarkeit: </w:t>
      </w:r>
      <w:r>
        <w:rPr>
          <w:sz w:val="19"/>
        </w:rPr>
        <w:t>Europa: GDPR-Konformität, direkt auf EU-Systeme anwendbar, insbesondere Deutschland.</w:t>
      </w:r>
    </w:p>
    <w:p>
      <w:r>
        <w:rPr>
          <w:color w:val="5A7D3A"/>
          <w:sz w:val="18"/>
        </w:rPr>
        <w:t>https://pubmed.ncbi.nlm.nih.gov/42496021/</w:t>
      </w:r>
    </w:p>
    <w:p>
      <w:pPr>
        <w:pStyle w:val="Heading2"/>
      </w:pPr>
      <w:r>
        <w:t>Direkt wirkende Antivirale bei Hepatitis C verlängern Lebenserwartung um bis zu neun Jahre</w:t>
      </w:r>
    </w:p>
    <w:p>
      <w:r>
        <w:rPr>
          <w:i/>
          <w:color w:val="666666"/>
          <w:sz w:val="18"/>
        </w:rPr>
        <w:t>Etoori D et al.  ·  J Viral Hepat  ·  Aug. 2026  ·  PMID 42438144</w:t>
      </w:r>
    </w:p>
    <w:p>
      <w:r>
        <w:t>Englische Überwachungs- und Mortalitätsdaten zeigten, dass behandelte Hepatitis-C-Patienten eine um 8,5 bis 8,9 Jahre längere Lebenserwartung hatten, wobei dieser Vorsprung zwischen 2015–2018 und 2019–2022 abnahm.</w:t>
      </w:r>
    </w:p>
    <w:p>
      <w:r>
        <w:rPr>
          <w:b/>
        </w:rPr>
        <w:t xml:space="preserve">Ergebnis: </w:t>
      </w:r>
      <w:r>
        <w:t>Periode 2015–2018: behandelte Frauen +8,5 Jahre LE (95%-KI: 5,4–11,5), Männer +8,9 Jahre (95%-KI: 5,6–12,2); Periode 2019–2022: Frauen +6,7 Jahre (95%-KI: 3,3–10,2), Männer +5,3 Jahre (95%-KI: 3,0–7,6); Rückgang durch höhere Suizid-, Alkohol- und Drogentodesfälle in behandelter Population.</w:t>
      </w:r>
    </w:p>
    <w:p>
      <w:r>
        <w:rPr>
          <w:b/>
          <w:sz w:val="19"/>
        </w:rPr>
        <w:t xml:space="preserve">Übertragbarkeit: </w:t>
      </w:r>
      <w:r>
        <w:rPr>
          <w:sz w:val="19"/>
        </w:rPr>
        <w:t>Vereinigtes Königreich, vergleichbare westliche Versorgungsstrukturen, nationale Überwachungsdaten mit Mortalitätslinkage verfügbar.</w:t>
      </w:r>
    </w:p>
    <w:p>
      <w:r>
        <w:rPr>
          <w:color w:val="5A7D3A"/>
          <w:sz w:val="18"/>
        </w:rPr>
        <w:t>https://pubmed.ncbi.nlm.nih.gov/42438144/</w:t>
      </w:r>
    </w:p>
    <w:p>
      <w:pPr>
        <w:pStyle w:val="Heading2"/>
      </w:pPr>
      <w:r>
        <w:t>Französische Geriater fordern Fortbildung in Nephrologie: 75% Bedarf bei chronischen Nierenerkrankungen im Alter</w:t>
      </w:r>
    </w:p>
    <w:p>
      <w:r>
        <w:rPr>
          <w:i/>
          <w:color w:val="666666"/>
          <w:sz w:val="18"/>
        </w:rPr>
        <w:t>Mésinèle L et al.  ·  Geriatr Psychol Neuropsychiatr Vieil  ·  01.06.2026  ·  PMID 42412499</w:t>
      </w:r>
    </w:p>
    <w:p>
      <w:r>
        <w:t>Online-Befragung von 252 französischen Geriatrien zur Zusammenarbeit mit Nephrologie und Fortbildungsbedarf; 89% haben Zugang zu Nephrologen, aber nur 37% nennen einen Ansprechpartner für nephrogeriatrische Fragen.</w:t>
      </w:r>
    </w:p>
    <w:p>
      <w:r>
        <w:rPr>
          <w:b/>
        </w:rPr>
        <w:t xml:space="preserve">Ergebnis: </w:t>
      </w:r>
      <w:r>
        <w:t>89% haben Zugang zu Nephrologen, 37% identifizieren einen Ansprechpartner; häufigster Fortbildungswunsch: metabolische und kardiovaskuläre Komplikationen der CKD (60%), CKD-Stadien 1–4 (46%), Arzneimitteltherapie bei Niereninsuffizienz (38%); Geriater mit Nephro-Fortbildung häufiger in Shared Decision-Making zu Dialyse involviert.</w:t>
      </w:r>
    </w:p>
    <w:p>
      <w:r>
        <w:rPr>
          <w:b/>
          <w:sz w:val="19"/>
        </w:rPr>
        <w:t xml:space="preserve">Übertragbarkeit: </w:t>
      </w:r>
      <w:r>
        <w:rPr>
          <w:sz w:val="19"/>
        </w:rPr>
        <w:t>Frankreich, vergleichbares westeuropäisches Gesundheitssystem und Aus­bildungsanforderungen, Befragungsdaten direkt zur Versorgungsorganisation.</w:t>
      </w:r>
    </w:p>
    <w:p>
      <w:r>
        <w:rPr>
          <w:color w:val="5A7D3A"/>
          <w:sz w:val="18"/>
        </w:rPr>
        <w:t>https://pubmed.ncbi.nlm.nih.gov/42412499/</w:t>
      </w:r>
    </w:p>
    <w:p>
      <w:pPr>
        <w:pStyle w:val="Heading1"/>
      </w:pPr>
      <w:r>
        <w:t>Aufgenommen am 31.08.2026</w:t>
      </w:r>
    </w:p>
    <w:p>
      <w:pPr>
        <w:pStyle w:val="Heading2"/>
      </w:pPr>
      <w:r>
        <w:t>Gezieltes Geriatrie-Training in Intensivstationen verbessert Fachkompetenz des Personals</w:t>
      </w:r>
    </w:p>
    <w:p>
      <w:r>
        <w:rPr>
          <w:i/>
          <w:color w:val="666666"/>
          <w:sz w:val="18"/>
        </w:rPr>
        <w:t>Beernaert L et al.  ·  Soins Gerontol  ·  20.07.2026  ·  PMID 42542357</w:t>
      </w:r>
    </w:p>
    <w:p>
      <w:r>
        <w:t>Pilottudie zur Wirksamkeit gezielter Schulung von Pflegekräften und Paramedizinern in Geriatrie-Kompetenzen auf Intensivstationen.</w:t>
      </w:r>
    </w:p>
    <w:p>
      <w:r>
        <w:rPr>
          <w:b/>
        </w:rPr>
        <w:t xml:space="preserve">Ergebnis: </w:t>
      </w:r>
      <w:r>
        <w:t>Gezielte Schulungen führten zu signifikanten Verbesserungen der Geriatrie-Kenntnisse des Personals. Die Studie unterstützt den Wert kontinuierlicher Fortbildung, sollte aber durch multizentrische Studien bestätigt werden.</w:t>
      </w:r>
    </w:p>
    <w:p>
      <w:r>
        <w:rPr>
          <w:b/>
          <w:sz w:val="19"/>
        </w:rPr>
        <w:t xml:space="preserve">Übertragbarkeit: </w:t>
      </w:r>
      <w:r>
        <w:rPr>
          <w:sz w:val="19"/>
        </w:rPr>
        <w:t>Belgisches Universitätsspital, konzeptuell auf deutschsprachige Kliniken übertragbar.</w:t>
      </w:r>
    </w:p>
    <w:p>
      <w:r>
        <w:rPr>
          <w:color w:val="5A7D3A"/>
          <w:sz w:val="18"/>
        </w:rPr>
        <w:t>https://pubmed.ncbi.nlm.nih.gov/42542357/</w:t>
      </w:r>
    </w:p>
    <w:p>
      <w:pPr>
        <w:pStyle w:val="Heading2"/>
      </w:pPr>
      <w:r>
        <w:t>Triglyceride-Cholesterin-Körpergewicht-Index vorhersagt Hypertonie-Risiko bei älteren Menschen</w:t>
      </w:r>
    </w:p>
    <w:p>
      <w:r>
        <w:rPr>
          <w:i/>
          <w:color w:val="666666"/>
          <w:sz w:val="18"/>
        </w:rPr>
        <w:t>Luo F et al.  ·  J Int Med Res  ·  30.07.2026  ·  PMID 42530895</w:t>
      </w:r>
    </w:p>
    <w:p>
      <w:r>
        <w:t>Longitudinalanalyse der English Longitudinal Study of Ageing mit 5.731 älteren Erwachsenen über 12 Jahre zur Assoziation eines Stoffwechsel-Indexes mit Hypertonie-Inzidenz.</w:t>
      </w:r>
    </w:p>
    <w:p>
      <w:r>
        <w:rPr>
          <w:b/>
        </w:rPr>
        <w:t xml:space="preserve">Ergebnis: </w:t>
      </w:r>
      <w:r>
        <w:t>Jede Einheit Anstieg des log-transformierten Index war mit 43% höherer Hypertonie-Odds assoziiert (OR=1,43; 95% KI: 1,31–1,55). Prospektiv: adjustierte HR=1,16 (1,05–1,28). Trajektorien zeigten dosisabhängige Risikoerhöhung (hohe vs. niedrige Gruppe: OR=1,69, p&lt;0,001).</w:t>
      </w:r>
    </w:p>
    <w:p>
      <w:r>
        <w:rPr>
          <w:b/>
          <w:sz w:val="19"/>
        </w:rPr>
        <w:t xml:space="preserve">Übertragbarkeit: </w:t>
      </w:r>
      <w:r>
        <w:rPr>
          <w:sz w:val="19"/>
        </w:rPr>
        <w:t>England, demografische und epidemiologische Parallelität mit Deutschland gegeben.</w:t>
      </w:r>
    </w:p>
    <w:p>
      <w:r>
        <w:rPr>
          <w:color w:val="5A7D3A"/>
          <w:sz w:val="18"/>
        </w:rPr>
        <w:t>https://pubmed.ncbi.nlm.nih.gov/42530895/</w:t>
      </w:r>
    </w:p>
    <w:p>
      <w:pPr>
        <w:pStyle w:val="Heading2"/>
      </w:pPr>
      <w:r>
        <w:t>Gesundheitliche Behandlungspräferenzen Älterer: Alters- und Geschlechtsunterschiede in England</w:t>
      </w:r>
    </w:p>
    <w:p>
      <w:r>
        <w:rPr>
          <w:i/>
          <w:color w:val="666666"/>
          <w:sz w:val="18"/>
        </w:rPr>
        <w:t>Steel N et al.  ·  PLoS One  ·  29.07.2026  ·  PMID 42525585</w:t>
      </w:r>
    </w:p>
    <w:p>
      <w:r>
        <w:t>Querschnittsanalyse der English Longitudinal Study of Ageing (Wave 8, 2016/17) zu Präferenzen von über 50-Jährigen bei sechs Gesundheitsfragen (Risikobereitschaft, Zeitorientierung, Qualität vs. Länge des Lebens).</w:t>
      </w:r>
    </w:p>
    <w:p>
      <w:r>
        <w:rPr>
          <w:b/>
        </w:rPr>
        <w:t xml:space="preserve">Ergebnis: </w:t>
      </w:r>
      <w:r>
        <w:t>Frauen delegierten Entscheidungen weniger häufig an Ärzte und priorisierten Lebensqualität über Lebensdauer. Personen über 75 Jahre bevorzugten mehr Risikominderung und Delegierung. Substanzielle Variabilität zwischen Personen, systematische Unterschiede nach Alter und Geschlecht unterstützen strukturiertes Elicitierungsgesprächs-Protokoll.</w:t>
      </w:r>
    </w:p>
    <w:p>
      <w:r>
        <w:rPr>
          <w:b/>
          <w:sz w:val="19"/>
        </w:rPr>
        <w:t xml:space="preserve">Übertragbarkeit: </w:t>
      </w:r>
      <w:r>
        <w:rPr>
          <w:sz w:val="19"/>
        </w:rPr>
        <w:t>Großbritannien; übertragbar auf deutsches Versorgungssystem mit ähnlichen Partizipationsnormen.</w:t>
      </w:r>
    </w:p>
    <w:p>
      <w:r>
        <w:rPr>
          <w:color w:val="5A7D3A"/>
          <w:sz w:val="18"/>
        </w:rPr>
        <w:t>https://pubmed.ncbi.nlm.nih.gov/42525585/</w:t>
      </w:r>
    </w:p>
    <w:p>
      <w:pPr>
        <w:pStyle w:val="Heading2"/>
      </w:pPr>
      <w:r>
        <w:t>Depressive Symptome von Ehepartnern zeigen stabiles Muster, aber schwache prospektive Kopplung im Alter</w:t>
      </w:r>
    </w:p>
    <w:p>
      <w:r>
        <w:rPr>
          <w:i/>
          <w:color w:val="666666"/>
          <w:sz w:val="18"/>
        </w:rPr>
        <w:t>Miao J et al.  ·  Psychol Med  ·  29.07.2026  ·  PMID 42522229</w:t>
      </w:r>
    </w:p>
    <w:p>
      <w:r>
        <w:t>Harmonisierte Längsschnittanalyse aus CHARLS (China), HRS (USA) und ELSA (England) mit insgesamt 7.759 Paaren über 5–9 Wellen zu Depressionen, Aktivitätseinschränkungen und Partnereffekte.</w:t>
      </w:r>
    </w:p>
    <w:p>
      <w:r>
        <w:rPr>
          <w:b/>
        </w:rPr>
        <w:t xml:space="preserve">Ergebnis: </w:t>
      </w:r>
      <w:r>
        <w:t>Hohe Konkordanz depressiver Symptome zwischen Partnern (r=0,14–0,43) über alle Kohorten. Prospektive Cross-Spouse-Assoziationen waren nach Kontrolle stabiler Ähnlichkeiten schwach und nur in ELSA und multipel-imputierter HRS signifikant. Bidirektionale Depression-Funktionsstörung-Kopplung in westlichen Kohorten stärker, unterstützt kombinierte Behandlung und Rehabilitation.</w:t>
      </w:r>
    </w:p>
    <w:p>
      <w:r>
        <w:rPr>
          <w:b/>
          <w:sz w:val="19"/>
        </w:rPr>
        <w:t xml:space="preserve">Übertragbarkeit: </w:t>
      </w:r>
      <w:r>
        <w:rPr>
          <w:sz w:val="19"/>
        </w:rPr>
        <w:t>ELSA ist englische Bevölkerungsstichprobe; Ergebnisse auf deutsches Versorgungssystem moderat übertragbar.</w:t>
      </w:r>
    </w:p>
    <w:p>
      <w:r>
        <w:rPr>
          <w:color w:val="5A7D3A"/>
          <w:sz w:val="18"/>
        </w:rPr>
        <w:t>https://pubmed.ncbi.nlm.nih.gov/42522229/</w:t>
      </w:r>
    </w:p>
    <w:p>
      <w:pPr>
        <w:pStyle w:val="Heading2"/>
      </w:pPr>
      <w:r>
        <w:t>Frailty und psychische Gesundheit bei älteren Menschen: Längsschnittstudie aus Slowenien</w:t>
      </w:r>
    </w:p>
    <w:p>
      <w:r>
        <w:rPr>
          <w:i/>
          <w:color w:val="666666"/>
          <w:sz w:val="18"/>
        </w:rPr>
        <w:t>Mikolič Brence P et al.  ·  Front Public Health  ·  06.07.2026  ·  PMID 42518591</w:t>
      </w:r>
    </w:p>
    <w:p>
      <w:r>
        <w:t>Studienprotokoll einer prospektiven Kohortenstudie mit Erwachsenen ≥50 Jahren (geplant n=5.000, 2026–2028) zu Assoziationen zwischen Frailty und mentalen Gesundheitsfaktoren (Wohlbefinden, Resilienz, soziale Kohäsion).</w:t>
      </w:r>
    </w:p>
    <w:p>
      <w:r>
        <w:rPr>
          <w:b/>
        </w:rPr>
        <w:t xml:space="preserve">Ergebnis: </w:t>
      </w:r>
      <w:r>
        <w:t>Studie noch nicht abgeschlossen; das Protokoll wird zur Seite gelegt, da keine Ergebnisse vorliegen.</w:t>
      </w:r>
    </w:p>
    <w:p>
      <w:r>
        <w:rPr>
          <w:b/>
          <w:sz w:val="19"/>
        </w:rPr>
        <w:t xml:space="preserve">Übertragbarkeit: </w:t>
      </w:r>
      <w:r>
        <w:rPr>
          <w:sz w:val="19"/>
        </w:rPr>
        <w:t>Nicht anwendbar – Protokoll ohne Befunde.</w:t>
      </w:r>
    </w:p>
    <w:p>
      <w:r>
        <w:rPr>
          <w:color w:val="5A7D3A"/>
          <w:sz w:val="18"/>
        </w:rPr>
        <w:t>https://pubmed.ncbi.nlm.nih.gov/42518591/</w:t>
      </w:r>
    </w:p>
    <w:p>
      <w:pPr>
        <w:pStyle w:val="Heading2"/>
      </w:pPr>
      <w:r>
        <w:t>Lockdown-bedingte Immobilität beschleunigt Frailty: Sechs-Monats-Progression bei älteren Erwachsenen</w:t>
      </w:r>
    </w:p>
    <w:p>
      <w:r>
        <w:rPr>
          <w:i/>
          <w:color w:val="666666"/>
          <w:sz w:val="18"/>
        </w:rPr>
        <w:t>Rukavishnikov AS et al.  ·  Adv Gerontol  ·  2026  ·  PMID 42502942</w:t>
      </w:r>
    </w:p>
    <w:p>
      <w:r>
        <w:t>Quasiexperimentelle Studie mit 525 älteren Patienten (65–74 Jahre) in Pflege-Wohneinrichtungen während COVID-19-Lockdown; Geriatrisches Assessment mit Handgriffkraft und Sechs-Minuten-Gehtest zu Baseline, 1 und 6 Monaten.</w:t>
      </w:r>
    </w:p>
    <w:p>
      <w:r>
        <w:rPr>
          <w:b/>
        </w:rPr>
        <w:t xml:space="preserve">Ergebnis: </w:t>
      </w:r>
      <w:r>
        <w:t>Prävalenz der Präfrailty sank von 35,8% auf 14,1%, Frailty nahm von 49,5% auf 72% zu. Milde, moderate und schwere Frailty-Formen nahmen jeweils um 11,6%, 6,1% und 4,4% zu. Verlängerte Immobilität und soziale Isolation waren signifikante Beschleuniger der Frailty-Progression und Funktionsverschlechterung.</w:t>
      </w:r>
    </w:p>
    <w:p>
      <w:r>
        <w:rPr>
          <w:b/>
          <w:sz w:val="19"/>
        </w:rPr>
        <w:t xml:space="preserve">Übertragbarkeit: </w:t>
      </w:r>
      <w:r>
        <w:rPr>
          <w:sz w:val="19"/>
        </w:rPr>
        <w:t>Russland (Sankt-Petersburg); Befunde zur Dekonditionierung durch Immobilität universal, aber Pflegeheim-Setting unterscheidet sich von deutschem Versorgungskontext.</w:t>
      </w:r>
    </w:p>
    <w:p>
      <w:r>
        <w:rPr>
          <w:color w:val="5A7D3A"/>
          <w:sz w:val="18"/>
        </w:rPr>
        <w:t>https://pubmed.ncbi.nlm.nih.gov/42502942/</w:t>
      </w:r>
    </w:p>
    <w:p>
      <w:pPr>
        <w:pStyle w:val="Heading1"/>
      </w:pPr>
      <w:r>
        <w:t>Aufgenommen am 30.08.2026</w:t>
      </w:r>
    </w:p>
    <w:p>
      <w:pPr>
        <w:pStyle w:val="Heading2"/>
      </w:pPr>
      <w:r>
        <w:t>Frailty und Ernährung bei Herzinsuffizienz im Alter: prognostische Faktoren</w:t>
      </w:r>
    </w:p>
    <w:p>
      <w:r>
        <w:rPr>
          <w:i/>
          <w:color w:val="666666"/>
          <w:sz w:val="18"/>
        </w:rPr>
        <w:t>Li J et al.  ·  Front Public Health  ·  14.08.2026  ·  PMID 42666459</w:t>
      </w:r>
    </w:p>
    <w:p>
      <w:r>
        <w:t>Retrospektive Studie an 200 älteren Patienten mit Herzinsuffizienz untersuchte Frailty und Ernährungsstatus als Prognosefaktoren für 6-Monats-Ergebnisse.</w:t>
      </w:r>
    </w:p>
    <w:p>
      <w:r>
        <w:rPr>
          <w:b/>
        </w:rPr>
        <w:t xml:space="preserve">Ergebnis: </w:t>
      </w:r>
      <w:r>
        <w:t>Bei gebrechlichen Patienten (n=92) waren Mortalität (4,35 % vs. 0,93 %) und Rehospitalisierungsrate (14,13 % vs. 1,85 %) höher als bei nicht gebrechlichen (n=108). Unter gebrechlichen Patienten stieg die Ereignisrate mit Mangelernährung: moderat-schwer 26,19 %, mild 16,13 %, normal 5,26 %. GNRI und HDL waren unabhängig mit ungünstiger Prognose assoziiert.</w:t>
      </w:r>
    </w:p>
    <w:p>
      <w:r>
        <w:rPr>
          <w:b/>
          <w:sz w:val="19"/>
        </w:rPr>
        <w:t xml:space="preserve">Übertragbarkeit: </w:t>
      </w:r>
      <w:r>
        <w:rPr>
          <w:sz w:val="19"/>
        </w:rPr>
        <w:t>China, internationales Instrument (Fried-Kriterien), begrenzte Direktübertragung auf Deutschland</w:t>
      </w:r>
    </w:p>
    <w:p>
      <w:r>
        <w:rPr>
          <w:color w:val="5A7D3A"/>
          <w:sz w:val="18"/>
        </w:rPr>
        <w:t>https://pubmed.ncbi.nlm.nih.gov/42666459/</w:t>
      </w:r>
    </w:p>
    <w:p>
      <w:pPr>
        <w:pStyle w:val="Heading2"/>
      </w:pPr>
      <w:r>
        <w:t>Gastrointestinale Erkrankungen und funktioneller Verfall im Alter: CHARLS und ELSA</w:t>
      </w:r>
    </w:p>
    <w:p>
      <w:r>
        <w:rPr>
          <w:i/>
          <w:color w:val="666666"/>
          <w:sz w:val="18"/>
        </w:rPr>
        <w:t>Peng D et al.  ·  Geriatr Gerontol Int  ·  Sept. 2026  ·  PMID 42665870</w:t>
      </w:r>
    </w:p>
    <w:p>
      <w:r>
        <w:t>Longitudinale Analyse in zwei Kohorten (CHARLS China; ELSA England) untersuchte, ob wiederholte Meldungen gastrointestinaler Erkrankungen mit kognitiven, ADL- oder depressiven Verschlechterungen assoziiert sind.</w:t>
      </w:r>
    </w:p>
    <w:p>
      <w:r>
        <w:rPr>
          <w:b/>
        </w:rPr>
        <w:t xml:space="preserve">Ergebnis: </w:t>
      </w:r>
      <w:r>
        <w:t>CHARLS (n=9.555): wiederholte Meldung war mit 6–10 % erhöhtem Relativrisiko für Multidomain-Verschlechterung assoziiert (aRR 1,06–1,10). ELSA-Schätzungen waren richtungsgleich aber weniger präzise (aOR 1,21; 95%-KI 0,90–1,63). Gastrointestinale Exposition bot geringe diskriminative Aussagekraft.</w:t>
      </w:r>
    </w:p>
    <w:p>
      <w:r>
        <w:rPr>
          <w:b/>
          <w:sz w:val="19"/>
        </w:rPr>
        <w:t xml:space="preserve">Übertragbarkeit: </w:t>
      </w:r>
      <w:r>
        <w:rPr>
          <w:sz w:val="19"/>
        </w:rPr>
        <w:t>China und Großbritannien; Ergebnisse konsistent aber schwach, begrenzte Übertragbarkeit</w:t>
      </w:r>
    </w:p>
    <w:p>
      <w:r>
        <w:rPr>
          <w:color w:val="5A7D3A"/>
          <w:sz w:val="18"/>
        </w:rPr>
        <w:t>https://pubmed.ncbi.nlm.nih.gov/42665870/</w:t>
      </w:r>
    </w:p>
    <w:p>
      <w:pPr>
        <w:pStyle w:val="Heading2"/>
      </w:pPr>
      <w:r>
        <w:t>Schlafqualität und Sturzrisiko im Alter: prospektive Kohortenstudie</w:t>
      </w:r>
    </w:p>
    <w:p>
      <w:r>
        <w:rPr>
          <w:i/>
          <w:color w:val="666666"/>
          <w:sz w:val="18"/>
        </w:rPr>
        <w:t>Li Y et al.  ·  Brain Behav  ·  Aug. 2026  ·  PMID 42644837</w:t>
      </w:r>
    </w:p>
    <w:p>
      <w:r>
        <w:t>Prospektive Kohorte mit 3.224 Personen (≥50 Jahre) aus der English Longitudinal Study of Ageing; Schlafroutenuntersuchung über 4 Jahre mit Analyse der Assoziation zwischen Schlafqualität und neuaufgetretenen Stürzen.</w:t>
      </w:r>
    </w:p>
    <w:p>
      <w:r>
        <w:rPr>
          <w:b/>
        </w:rPr>
        <w:t xml:space="preserve">Ergebnis: </w:t>
      </w:r>
      <w:r>
        <w:t>Schlechtere Schlafqualität war mit höherem Sturzrisiko assoziiert (OR 1,04; 95%-KI 1,01–1,07). Depressive Symptome vermittelten 28,2 % dieser Assoziation. Dosisabhängige Beziehung zwischen Schlafqualität und Sturzrisiko.</w:t>
      </w:r>
    </w:p>
    <w:p>
      <w:r>
        <w:rPr>
          <w:b/>
          <w:sz w:val="19"/>
        </w:rPr>
        <w:t xml:space="preserve">Übertragbarkeit: </w:t>
      </w:r>
      <w:r>
        <w:rPr>
          <w:sz w:val="19"/>
        </w:rPr>
        <w:t>Großbritannien, vergleichbare Gesundheitsversorgung und Altersstruktur</w:t>
      </w:r>
    </w:p>
    <w:p>
      <w:r>
        <w:rPr>
          <w:color w:val="5A7D3A"/>
          <w:sz w:val="18"/>
        </w:rPr>
        <w:t>https://pubmed.ncbi.nlm.nih.gov/42644837/</w:t>
      </w:r>
    </w:p>
    <w:p>
      <w:pPr>
        <w:pStyle w:val="Heading2"/>
      </w:pPr>
      <w:r>
        <w:t>Lebensstil, Übergewicht und Lebenserwartung in der EU: Systemanalyse</w:t>
      </w:r>
    </w:p>
    <w:p>
      <w:r>
        <w:rPr>
          <w:i/>
          <w:color w:val="666666"/>
          <w:sz w:val="18"/>
        </w:rPr>
        <w:t>Vărzaru AA  ·  Nutrients  ·  11.07.2026  ·  PMID 42514344</w:t>
      </w:r>
    </w:p>
    <w:p>
      <w:r>
        <w:t>Querschnittsanalyse von 27 EU-Ländern mittels EHIS und Eurostat untersuchte Assoziationen zwischen Ernährung, körperlicher Aktivität, Rauchen, Übergewicht und Lebenserwartung sowie Healthy Life Years.</w:t>
      </w:r>
    </w:p>
    <w:p>
      <w:r>
        <w:rPr>
          <w:b/>
        </w:rPr>
        <w:t xml:space="preserve">Ergebnis: </w:t>
      </w:r>
      <w:r>
        <w:t>Gesunde Ernährung korrelierte mit Lebenserwartung (r=0,459; p=0,016), ebenso körperliche Aktivität (r=0,435; p=0,023). Übergewichtsprävalenz war invers mit Lebenserwartung assoziiert (r=−0,505; p=0,007). Das reduzierte Modell erklärte 47,4 % der Varianz in der Lebenserwartung. Clusteranalyse identifizierte drei Lebensstil-Gesundheits-Profile mit unterschiedlichen Outcomes.</w:t>
      </w:r>
    </w:p>
    <w:p>
      <w:r>
        <w:rPr>
          <w:b/>
          <w:sz w:val="19"/>
        </w:rPr>
        <w:t xml:space="preserve">Übertragbarkeit: </w:t>
      </w:r>
      <w:r>
        <w:rPr>
          <w:sz w:val="19"/>
        </w:rPr>
        <w:t>EU-weit, direkt auf deutsches Gesundheitssystem übertragbar</w:t>
      </w:r>
    </w:p>
    <w:p>
      <w:r>
        <w:rPr>
          <w:color w:val="5A7D3A"/>
          <w:sz w:val="18"/>
        </w:rPr>
        <w:t>https://pubmed.ncbi.nlm.nih.gov/42514344/</w:t>
      </w:r>
    </w:p>
    <w:p>
      <w:pPr>
        <w:pStyle w:val="Heading2"/>
      </w:pPr>
      <w:r>
        <w:t>Frailty im Hämodialyse: Visuelle Analogskala vereinfacht Screening</w:t>
      </w:r>
    </w:p>
    <w:p>
      <w:r>
        <w:rPr>
          <w:i/>
          <w:color w:val="666666"/>
          <w:sz w:val="18"/>
        </w:rPr>
        <w:t>Schulte-Kemna L et al.  ·  BMC Nephrol  ·  22.07.2026  ·  PMID 42493781</w:t>
      </w:r>
    </w:p>
    <w:p>
      <w:r>
        <w:t>Studie untersuchte die Genauigkeit einer Selbst-Rating-Skala (VAS) zur Frailty-Früherkennung bei 122 Hämodialysepatienten und identifizierte klinische Prädiktoren der Gebrechlichkeit anhand modifizierter Fried-Kriterien.</w:t>
      </w:r>
    </w:p>
    <w:p>
      <w:r>
        <w:rPr>
          <w:b/>
        </w:rPr>
        <w:t xml:space="preserve">Ergebnis: </w:t>
      </w:r>
      <w:r>
        <w:t>Die VAS hatte gute Spezifität (94,3%), übersah aber viele gebrechliche Patienten (Sensitivität 36,5%). Ein Modell mit Routineparametern zeigte gute Vorhersageleistung (AUC 0,816). Patienten mit Fried-Frailty hatten häufiger zentrale Venenkatheter, niedrigere Diurese, Kreatinin und Albumin sowie mehr Herz-Kreislauf-Erkrankungen.</w:t>
      </w:r>
    </w:p>
    <w:p>
      <w:r>
        <w:rPr>
          <w:b/>
          <w:sz w:val="19"/>
        </w:rPr>
        <w:t xml:space="preserve">Übertragbarkeit: </w:t>
      </w:r>
      <w:r>
        <w:rPr>
          <w:sz w:val="19"/>
        </w:rPr>
        <w:t>Deutsche Kliniken, vergleichbare Dialysedokumentation und Versorgungsstrukturen</w:t>
      </w:r>
    </w:p>
    <w:p>
      <w:r>
        <w:rPr>
          <w:color w:val="5A7D3A"/>
          <w:sz w:val="18"/>
        </w:rPr>
        <w:t>https://pubmed.ncbi.nlm.nih.gov/42493781/</w:t>
      </w:r>
    </w:p>
    <w:p>
      <w:pPr>
        <w:pStyle w:val="Heading2"/>
      </w:pPr>
      <w:r>
        <w:t>Diabetes-Epidemiologie in Dänemark: Trends von 1996 bis 2024</w:t>
      </w:r>
    </w:p>
    <w:p>
      <w:r>
        <w:rPr>
          <w:i/>
          <w:color w:val="666666"/>
          <w:sz w:val="18"/>
        </w:rPr>
        <w:t>Wibaek R et al.  ·  BMJ Open Diabetes Res Care  ·  10.07.2026  ·  PMID 42431705</w:t>
      </w:r>
    </w:p>
    <w:p>
      <w:r>
        <w:t>Nationale Register-Kohortenstudie (1996–2024) quantifizierte Trends in Prävalenz, Inzidenz, Mortalität und Lebensjahren verloren durch Diabetes in Dänemark.</w:t>
      </w:r>
    </w:p>
    <w:p>
      <w:r>
        <w:rPr>
          <w:b/>
        </w:rPr>
        <w:t xml:space="preserve">Ergebnis: </w:t>
      </w:r>
      <w:r>
        <w:t>Diabetes-Prävalenz verdreifachte sich auf 6,1 % (366.174 Personen); Typ 2 Diabetes stieg jährlich ~4,1 %. Typ 1 Inzidenz sank um 1,1 % pro Jahr. Mortalität sank bis 2012, dann Stabilisierung. Standardisierte Mortalitätsquoten sanken für Typ 1 (nach 2008), stiegen aber für Typ 2. Männer hatten höhere Typ 2 Inzidenz als Frauen.</w:t>
      </w:r>
    </w:p>
    <w:p>
      <w:r>
        <w:rPr>
          <w:b/>
          <w:sz w:val="19"/>
        </w:rPr>
        <w:t xml:space="preserve">Übertragbarkeit: </w:t>
      </w:r>
      <w:r>
        <w:rPr>
          <w:sz w:val="19"/>
        </w:rPr>
        <w:t>Skandinavien, vergleichbares Sozialversicherungssystem und Datenzugang</w:t>
      </w:r>
    </w:p>
    <w:p>
      <w:r>
        <w:rPr>
          <w:color w:val="5A7D3A"/>
          <w:sz w:val="18"/>
        </w:rPr>
        <w:t>https://pubmed.ncbi.nlm.nih.gov/42431705/</w:t>
      </w:r>
    </w:p>
    <w:p>
      <w:pPr>
        <w:pStyle w:val="Heading2"/>
      </w:pPr>
      <w:r>
        <w:t>Darmmikrobiota und Frailty bei älteren Frauen: europäische Validierung</w:t>
      </w:r>
    </w:p>
    <w:p>
      <w:r>
        <w:rPr>
          <w:i/>
          <w:color w:val="666666"/>
          <w:sz w:val="18"/>
        </w:rPr>
        <w:t>Vilar Geraldi M et al.  ·  Nat Commun  ·  08.07.2026  ·  PMID 42420265</w:t>
      </w:r>
    </w:p>
    <w:p>
      <w:r>
        <w:t>Studie analysierte Darmmetagenomik-Profile bei 2.081 schwedischen Frauen (75-80 Jahre) im Bezug auf einen entwickelten Frailty-Mortality-Index (FMI) und validierte Ergebnisse in einer chinesischen Kohorte.</w:t>
      </w:r>
    </w:p>
    <w:p>
      <w:r>
        <w:rPr>
          <w:b/>
        </w:rPr>
        <w:t xml:space="preserve">Ergebnis: </w:t>
      </w:r>
      <w:r>
        <w:t>FMI war invers assoziiert mit mikrobieller Diversität, Genreichtum und funktionaler Kapazität. 404 Bakterienarten waren signifikant mit FMI assoziiert; die meisten zeigten konsistente Assoziationen in der chinesischen Kohorte (n=1.448). Mikrobielle Signaturen waren mit Mortalität und funktioneller Einschränkung verknüpft.</w:t>
      </w:r>
    </w:p>
    <w:p>
      <w:r>
        <w:rPr>
          <w:b/>
          <w:sz w:val="19"/>
        </w:rPr>
        <w:t xml:space="preserve">Übertragbarkeit: </w:t>
      </w:r>
      <w:r>
        <w:rPr>
          <w:sz w:val="19"/>
        </w:rPr>
        <w:t>Skandinavien, ähnliche Sozialversicherung und Alterspopulation</w:t>
      </w:r>
    </w:p>
    <w:p>
      <w:r>
        <w:rPr>
          <w:color w:val="5A7D3A"/>
          <w:sz w:val="18"/>
        </w:rPr>
        <w:t>https://pubmed.ncbi.nlm.nih.gov/42420265/</w:t>
      </w:r>
    </w:p>
    <w:p>
      <w:pPr>
        <w:pStyle w:val="Heading1"/>
      </w:pPr>
      <w:r>
        <w:t>Aufgenommen am 29.08.2026</w:t>
      </w:r>
    </w:p>
    <w:p>
      <w:pPr>
        <w:pStyle w:val="Heading2"/>
      </w:pPr>
      <w:r>
        <w:t>Frailty verdoppelt Mortalität und Pflegebedarf bei hospitalisierten Älteren</w:t>
      </w:r>
    </w:p>
    <w:p>
      <w:r>
        <w:rPr>
          <w:i/>
          <w:color w:val="666666"/>
          <w:sz w:val="18"/>
        </w:rPr>
        <w:t>Kamo T et al.  ·  Geriatr Gerontol Int  ·  Sept. 2026  ·  PMID 42642794</w:t>
      </w:r>
    </w:p>
    <w:p>
      <w:r>
        <w:t>Systematische Übersicht und Metaanalyse von 57 Kohortenstudien zu Auswirkungen von Frailty auf Aktivitäten des täglichen Lebens und klinische Outcomes bei hospitalisierten älteren Erwachsenen (≥65 Jahre).</w:t>
      </w:r>
    </w:p>
    <w:p>
      <w:r>
        <w:rPr>
          <w:b/>
        </w:rPr>
        <w:t xml:space="preserve">Ergebnis: </w:t>
      </w:r>
      <w:r>
        <w:t>Frailty war assoziiert mit schlechterer ADL-Funktionsfähigkeit (SMD –1,04), höherer Mortalität (RR 2,26), niedrigerer Wahrscheinlichkeit von Entlassung nach Hause (RR 0,79) und höherem Wiederaufnahmerisiko in 30 Tagen (RR 1,47). Diese Effekte waren konsistent über Studien hinweg.</w:t>
      </w:r>
    </w:p>
    <w:p>
      <w:r>
        <w:rPr>
          <w:b/>
          <w:sz w:val="19"/>
        </w:rPr>
        <w:t xml:space="preserve">Übertragbarkeit: </w:t>
      </w:r>
      <w:r>
        <w:rPr>
          <w:sz w:val="19"/>
        </w:rPr>
        <w:t>Überwiegend anglo-amerikanische und europäische Studien; Frailty-Screening ist systemübergreifend anwendbar</w:t>
      </w:r>
    </w:p>
    <w:p>
      <w:r>
        <w:rPr>
          <w:color w:val="5A7D3A"/>
          <w:sz w:val="18"/>
        </w:rPr>
        <w:t>https://pubmed.ncbi.nlm.nih.gov/42642794/</w:t>
      </w:r>
    </w:p>
    <w:p>
      <w:pPr>
        <w:pStyle w:val="Heading2"/>
      </w:pPr>
      <w:r>
        <w:t>Plasma-Biomarker p-tau217 bei älteren Patienten: Nierenfunktion erklärt mehr Varianz als Gebrechlichkeit</w:t>
      </w:r>
    </w:p>
    <w:p>
      <w:r>
        <w:rPr>
          <w:i/>
          <w:color w:val="666666"/>
          <w:sz w:val="18"/>
        </w:rPr>
        <w:t>Goll J et al.  ·  Alzheimers Dement  ·  Aug. 2026  ·  PMID 42625502</w:t>
      </w:r>
    </w:p>
    <w:p>
      <w:r>
        <w:t>Querschnittsuntersuchung von 283 älteren Patienten (Norfrail- und Dementia-Cohort) zur Assoziation zwischen Gebrechlichkeit und Plasma-Biomarkern (p-tau217, Neurofilament-Leichte-Kette, GFAP) für Alzheimer-Pathologie.</w:t>
      </w:r>
    </w:p>
    <w:p>
      <w:r>
        <w:rPr>
          <w:b/>
        </w:rPr>
        <w:t xml:space="preserve">Ergebnis: </w:t>
      </w:r>
      <w:r>
        <w:t>Keine signifikante Assoziation zwischen p-tau217 und Gebrechlichkeit; die eGFR erklärte 27% der p-tau217-Varianz (p &lt; 0,001). Neurofilament-Leichte-Kette war einziger Biomarker signifikant mit Gebrechlichkeit assoziiert (p &lt; 0,01). Kliniker müssen Nierenfunktion bei Interpretation berücksichtigen.</w:t>
      </w:r>
    </w:p>
    <w:p>
      <w:r>
        <w:rPr>
          <w:b/>
          <w:sz w:val="19"/>
        </w:rPr>
        <w:t xml:space="preserve">Übertragbarkeit: </w:t>
      </w:r>
      <w:r>
        <w:rPr>
          <w:sz w:val="19"/>
        </w:rPr>
        <w:t>Norwegen, europäisches Gesundheitssystem; Befund zum Niereneinflusses auf Blutbiomarker ist systemunabhängig</w:t>
      </w:r>
    </w:p>
    <w:p>
      <w:r>
        <w:rPr>
          <w:color w:val="5A7D3A"/>
          <w:sz w:val="18"/>
        </w:rPr>
        <w:t>https://pubmed.ncbi.nlm.nih.gov/42625502/</w:t>
      </w:r>
    </w:p>
    <w:p>
      <w:pPr>
        <w:pStyle w:val="Heading2"/>
      </w:pPr>
      <w:r>
        <w:t>Frühe Zuckerrestriktion reduziert Krebsrisiko um 30–70% und verlangsamt biologisches Altern</w:t>
      </w:r>
    </w:p>
    <w:p>
      <w:r>
        <w:rPr>
          <w:i/>
          <w:color w:val="666666"/>
          <w:sz w:val="18"/>
        </w:rPr>
        <w:t>Zhu C et al.  ·  Proc Natl Acad Sci U S A  ·  11.08.2026  ·  PMID 42550905</w:t>
      </w:r>
    </w:p>
    <w:p>
      <w:r>
        <w:t>Kausalitätsanalyse mittels natürliches Experiment (Ende der UK-Zuckerrationierung 1953) mit 64.761 Biobank-Teilnehmern geboren 1951–1956, zur Langzeitwirkung früher Zuckerexposition auf Krebsinzidenz und biologisches Altern.</w:t>
      </w:r>
    </w:p>
    <w:p>
      <w:r>
        <w:rPr>
          <w:b/>
        </w:rPr>
        <w:t xml:space="preserve">Ergebnis: </w:t>
      </w:r>
      <w:r>
        <w:t>Geburtskohortenunter Rationierung zeigten dosisabhängig reduzierte Krebsraten: Leber (HR 0,31), Rektum (HR 0,60), Lunge (HR 0,59), Prostata (HR 0,48), Brust (HR 0,64). Mechanismen: Persistente gesündere Ernährungsgewohnheiten (verhaltoral) und längere Telomere (2,2 Jahre weniger biologisches Altern), niedrigeres Granzym B. Kausalitätsevidenzen für frühe Ernährungsprägung.</w:t>
      </w:r>
    </w:p>
    <w:p>
      <w:r>
        <w:rPr>
          <w:b/>
          <w:sz w:val="19"/>
        </w:rPr>
        <w:t xml:space="preserve">Übertragbarkeit: </w:t>
      </w:r>
      <w:r>
        <w:rPr>
          <w:sz w:val="19"/>
        </w:rPr>
        <w:t>Großbritannien, vergleichbare Geburtskohortenstruktur; Befund zu prägenden Effekten früher Ernährung fundamental, aber Realisierbarkeit in Deutschland unterschiedlich</w:t>
      </w:r>
    </w:p>
    <w:p>
      <w:r>
        <w:rPr>
          <w:color w:val="5A7D3A"/>
          <w:sz w:val="18"/>
        </w:rPr>
        <w:t>https://pubmed.ncbi.nlm.nih.gov/42550905/</w:t>
      </w:r>
    </w:p>
    <w:p>
      <w:pPr>
        <w:pStyle w:val="Heading2"/>
      </w:pPr>
      <w:r>
        <w:t>Immediate orthostatic hypotension zeigt keine Assoziation mit Stürzen und Synkopen im Alter</w:t>
      </w:r>
    </w:p>
    <w:p>
      <w:r>
        <w:rPr>
          <w:i/>
          <w:color w:val="666666"/>
          <w:sz w:val="18"/>
        </w:rPr>
        <w:t>Reddin C et al.  ·  Age Ageing  ·  02.07.2026  ·  PMID 42462204</w:t>
      </w:r>
    </w:p>
    <w:p>
      <w:r>
        <w:t>Querschnitts- und prospektive Kohortenstudie mit 4.596 älteren Erwachsenen über 8 Jahre, die die Assoziation von orthosensitiver Hypotonie (OH) und unmittelbarer OH mit Stürzen und Synkopen untersuchte.</w:t>
      </w:r>
    </w:p>
    <w:p>
      <w:r>
        <w:rPr>
          <w:b/>
        </w:rPr>
        <w:t xml:space="preserve">Ergebnis: </w:t>
      </w:r>
      <w:r>
        <w:t>Unmittelbare OH kam bei 20,7% vor und war nicht signifikant mit Stürzen/Synkopen assoziiert (OR 1,22, 95% KI 0,93–1,57); hingegen war persistente OH assoziiert (OR 1,31, 95% KI 1,04–1,66, p &lt; 0,05). Die Unterscheidung zwischen beiden Varianten ist klinisch relevant.</w:t>
      </w:r>
    </w:p>
    <w:p>
      <w:r>
        <w:rPr>
          <w:b/>
          <w:sz w:val="19"/>
        </w:rPr>
        <w:t xml:space="preserve">Übertragbarkeit: </w:t>
      </w:r>
      <w:r>
        <w:rPr>
          <w:sz w:val="19"/>
        </w:rPr>
        <w:t>Irland, vergleichbares europäisches Gesundheitssystem, bevölkerungsrepräsentative Stichprobe</w:t>
      </w:r>
    </w:p>
    <w:p>
      <w:r>
        <w:rPr>
          <w:color w:val="5A7D3A"/>
          <w:sz w:val="18"/>
        </w:rPr>
        <w:t>https://pubmed.ncbi.nlm.nih.gov/42462204/</w:t>
      </w:r>
    </w:p>
    <w:p>
      <w:pPr>
        <w:pStyle w:val="Heading2"/>
      </w:pPr>
      <w:r>
        <w:t>Gebrechlichkeit in etablierten Surveys messbar – ein Framework für nationale Monitoring in Europa</w:t>
      </w:r>
    </w:p>
    <w:p>
      <w:r>
        <w:rPr>
          <w:i/>
          <w:color w:val="666666"/>
          <w:sz w:val="18"/>
        </w:rPr>
        <w:t>Aicardi T et al.  ·  Eur J Public Health  ·  10.06.2026  ·  PMID 42452852</w:t>
      </w:r>
    </w:p>
    <w:p>
      <w:r>
        <w:t>Querschnittsstudie mit drei etablierten Frailty-Indikatoren (Tilburg, Groningen, Edmonton) in vier italienischen Bevölkerungssurveillance-Datensätzen (SHARE, EU-SILC, EHIS, AVQ).</w:t>
      </w:r>
    </w:p>
    <w:p>
      <w:r>
        <w:rPr>
          <w:b/>
        </w:rPr>
        <w:t xml:space="preserve">Ergebnis: </w:t>
      </w:r>
      <w:r>
        <w:t>Der Groningen Frailty Indicator war am replizierbaren über Surveys hinweg; die Edmonton Frail Scale zeigte stärkste Vorhersagekraft. EHIS-Daten waren optimal für Messungen geeignet. Gebrechlichkeit erklärte Gesundheitsoutcomes besser als Chronologisches Alter allein; klarer Nord-Süd-Gradient in Italien (p &lt; 0,001).</w:t>
      </w:r>
    </w:p>
    <w:p>
      <w:r>
        <w:rPr>
          <w:b/>
          <w:sz w:val="19"/>
        </w:rPr>
        <w:t xml:space="preserve">Übertragbarkeit: </w:t>
      </w:r>
      <w:r>
        <w:rPr>
          <w:sz w:val="19"/>
        </w:rPr>
        <w:t>Italien, EU-Mitgliedstaaten, vergleichbare Datensysteme mit Deutschland übertragbar</w:t>
      </w:r>
    </w:p>
    <w:p>
      <w:r>
        <w:rPr>
          <w:color w:val="5A7D3A"/>
          <w:sz w:val="18"/>
        </w:rPr>
        <w:t>https://pubmed.ncbi.nlm.nih.gov/42452852/</w:t>
      </w:r>
    </w:p>
    <w:p>
      <w:pPr>
        <w:pStyle w:val="Heading2"/>
      </w:pPr>
      <w:r>
        <w:t>Gesunde Lebensjahre regional stark abhängig von Einkommen und sozialen Faktoren</w:t>
      </w:r>
    </w:p>
    <w:p>
      <w:r>
        <w:rPr>
          <w:i/>
          <w:color w:val="666666"/>
          <w:sz w:val="18"/>
        </w:rPr>
        <w:t>Bachmann M et al.  ·  BMJ Open  ·  13.07.2026  ·  PMID 42442804</w:t>
      </w:r>
    </w:p>
    <w:p>
      <w:r>
        <w:t>Querschnittsanalyse zur Variabilität der gesunden Lebenserwartung (HLE) und Risikofaktoren in 128 kleinen geografischen Bereichen eines britischen integrierten Versorgungssystems.</w:t>
      </w:r>
    </w:p>
    <w:p>
      <w:r>
        <w:rPr>
          <w:b/>
        </w:rPr>
        <w:t xml:space="preserve">Ergebnis: </w:t>
      </w:r>
      <w:r>
        <w:t>HLE betrug durchschnittlich 66,5 Jahre (Männer, Spannweite 52–73) und 67,5 Jahre (Frauen, Spannweite 56–74). £100 höheres Wocheneinkommen war assoziiert mit 4,4 (95% KI 3,5–5,2) beziehungsweise 4,6 (95% KI 3,8–5,4) zusätzlichen HLE-Jahren. Alleinsein älterer Personen, körperliche Inaktivität und Deprivation zeigten starke Assoziationen mit niedrigerer HLE.</w:t>
      </w:r>
    </w:p>
    <w:p>
      <w:r>
        <w:rPr>
          <w:b/>
          <w:sz w:val="19"/>
        </w:rPr>
        <w:t xml:space="preserve">Übertragbarkeit: </w:t>
      </w:r>
      <w:r>
        <w:rPr>
          <w:sz w:val="19"/>
        </w:rPr>
        <w:t>Großbritannien, NHS-ähnliche Systeme; Ungleichheitsmessung direkt auf deutsche Regionen übertragbar</w:t>
      </w:r>
    </w:p>
    <w:p>
      <w:r>
        <w:rPr>
          <w:color w:val="5A7D3A"/>
          <w:sz w:val="18"/>
        </w:rPr>
        <w:t>https://pubmed.ncbi.nlm.nih.gov/42442804/</w:t>
      </w:r>
    </w:p>
    <w:p>
      <w:pPr>
        <w:pStyle w:val="Heading1"/>
      </w:pPr>
      <w:r>
        <w:t>Aufgenommen am 28.08.2026</w:t>
      </w:r>
    </w:p>
    <w:p>
      <w:pPr>
        <w:pStyle w:val="Heading2"/>
      </w:pPr>
      <w:r>
        <w:t>Territoriale Ungleichheiten von Gebrechlichkeit und Langlebigkeit in Italien</w:t>
      </w:r>
    </w:p>
    <w:p>
      <w:r>
        <w:rPr>
          <w:i/>
          <w:color w:val="666666"/>
          <w:sz w:val="18"/>
        </w:rPr>
        <w:t>Maccheroni C et al.  ·  Int J Environ Res Public Health  ·  23.07.2026  ·  PMID 42652263</w:t>
      </w:r>
    </w:p>
    <w:p>
      <w:r>
        <w:t>Analyse der geografischen Verteilung von Frailty, funktionalen Einschränkungen und Anspruch auf öffentliche Unterstützung in 21 italienischen Regionen auf Basis von Istat-, Eurostat- und INPS-Daten.</w:t>
      </w:r>
    </w:p>
    <w:p>
      <w:r>
        <w:rPr>
          <w:b/>
        </w:rPr>
        <w:t xml:space="preserve">Ergebnis: </w:t>
      </w:r>
      <w:r>
        <w:t>Italien zeigt hohe Lebenserwartung (Frauen 85,4, Männer 81,4 Jahre), aber gesunde Lebensjahre von nur 69,6 bzw. 68,5 Jahren. Der Süden und die Inseln weisen deutlich höhere Frailty-Prävalenz, mehr funktionale Einschränkungen und höhere Ansprüche auf öffentliche Hilfe auf als Zentrum-Nord. Frauen erleben längere Leben mit mehr Behinderung und Abhängigkeit.</w:t>
      </w:r>
    </w:p>
    <w:p>
      <w:r>
        <w:rPr>
          <w:b/>
          <w:sz w:val="19"/>
        </w:rPr>
        <w:t xml:space="preserve">Übertragbarkeit: </w:t>
      </w:r>
      <w:r>
        <w:rPr>
          <w:sz w:val="19"/>
        </w:rPr>
        <w:t>Italien, vollständige nationale Registeranalyse, europäisches Wohlfahrtssystem</w:t>
      </w:r>
    </w:p>
    <w:p>
      <w:r>
        <w:rPr>
          <w:color w:val="5A7D3A"/>
          <w:sz w:val="18"/>
        </w:rPr>
        <w:t>https://pubmed.ncbi.nlm.nih.gov/42652263/</w:t>
      </w:r>
    </w:p>
    <w:p>
      <w:pPr>
        <w:pStyle w:val="Heading2"/>
      </w:pPr>
      <w:r>
        <w:t>Kognitive Frailty bei älteren Herzinsuffizienzpatienten: systematische Übersicht</w:t>
      </w:r>
    </w:p>
    <w:p>
      <w:r>
        <w:rPr>
          <w:i/>
          <w:color w:val="666666"/>
          <w:sz w:val="18"/>
        </w:rPr>
        <w:t>Cheng M et al.  ·  Front Public Health  ·  11.08.2026  ·  PMID 42644078</w:t>
      </w:r>
    </w:p>
    <w:p>
      <w:r>
        <w:t>Systematische Übersicht und Metaanalyse von 22 Kohortenstudien (8.892 Patienten ≥65 Jahre mit Herzinsuffizienz) zur Prävalenz und Faktoren kognitiver Frailty.</w:t>
      </w:r>
    </w:p>
    <w:p>
      <w:r>
        <w:rPr>
          <w:b/>
        </w:rPr>
        <w:t xml:space="preserve">Ergebnis: </w:t>
      </w:r>
      <w:r>
        <w:t>Gepoolte Prävalenz kognitiver Frailty: 32 % (95%-KI 27–37 %). Bei Frauen 37 %, bei Männern 31 %. Nach NYHA-Klassifikation bei Klasse IV 44 %, Klasse II–III 28 %. Mit COPD-Komorbidität 46 %. Höheres Alter (bereinigt OR 1,12, 95%-KI 1,06–1,18) und Depression assoziiert mit höheren Odds; körperliche Aktivität und intellektuelle Aktivität mit niedrigeren Odds.</w:t>
      </w:r>
    </w:p>
    <w:p>
      <w:r>
        <w:rPr>
          <w:b/>
          <w:sz w:val="19"/>
        </w:rPr>
        <w:t xml:space="preserve">Übertragbarkeit: </w:t>
      </w:r>
      <w:r>
        <w:rPr>
          <w:sz w:val="19"/>
        </w:rPr>
        <w:t>Mehrländerstudie, überwiegend observativ, Versorgungsrelevanz für Herzinsuffizienz</w:t>
      </w:r>
    </w:p>
    <w:p>
      <w:r>
        <w:rPr>
          <w:color w:val="5A7D3A"/>
          <w:sz w:val="18"/>
        </w:rPr>
        <w:t>https://pubmed.ncbi.nlm.nih.gov/42644078/</w:t>
      </w:r>
    </w:p>
    <w:p>
      <w:pPr>
        <w:pStyle w:val="Heading2"/>
      </w:pPr>
      <w:r>
        <w:t>Erhöhte Arbeitsunfälle durch verzögerte Pensionierung im Alter</w:t>
      </w:r>
    </w:p>
    <w:p>
      <w:r>
        <w:rPr>
          <w:i/>
          <w:color w:val="666666"/>
          <w:sz w:val="18"/>
        </w:rPr>
        <w:t>Ardito C et al.  ·  Econ Hum Biol  ·  10.08.2026  ·  PMID 42617339</w:t>
      </w:r>
    </w:p>
    <w:p>
      <w:r>
        <w:t>Evaluation des Effekts der italienischen Rentenreform 2012 (Erhöhung der Anspruchsaltersgrenze) auf Arbeitsunfallrisiken bei älteren Erwerbstätigen mittels administrativer Daten aus der Privatwirtschaft.</w:t>
      </w:r>
    </w:p>
    <w:p>
      <w:r>
        <w:rPr>
          <w:b/>
        </w:rPr>
        <w:t xml:space="preserve">Ergebnis: </w:t>
      </w:r>
      <w:r>
        <w:t>Verzögerte Pensionierung führte zu statistisch signifikantem Anstieg krankheitsbedingter Abwesenheit durch Arbeitsunfälle um 2,6 % gegenüber dem Ausgangswert. Der Effekt konzentriert sich auf Kleinbetriebe (unter 15 Angestellten) und körperlich oder kognitiv fordernde Sektoren wie Fertigung. Kein Spillover-Effekt auf Arbeitskollegen.</w:t>
      </w:r>
    </w:p>
    <w:p>
      <w:r>
        <w:rPr>
          <w:b/>
          <w:sz w:val="19"/>
        </w:rPr>
        <w:t xml:space="preserve">Übertragbarkeit: </w:t>
      </w:r>
      <w:r>
        <w:rPr>
          <w:sz w:val="19"/>
        </w:rPr>
        <w:t>Italien, administrative Privatwirtschaftsdaten, vergleichbare Sozialversicherungssysteme</w:t>
      </w:r>
    </w:p>
    <w:p>
      <w:r>
        <w:rPr>
          <w:color w:val="5A7D3A"/>
          <w:sz w:val="18"/>
        </w:rPr>
        <w:t>https://pubmed.ncbi.nlm.nih.gov/42617339/</w:t>
      </w:r>
    </w:p>
    <w:p>
      <w:pPr>
        <w:pStyle w:val="Heading2"/>
      </w:pPr>
      <w:r>
        <w:t>Lebenserwartung und Gesundheitslebensjahre von Migranten in England und Wales</w:t>
      </w:r>
    </w:p>
    <w:p>
      <w:r>
        <w:rPr>
          <w:i/>
          <w:color w:val="666666"/>
          <w:sz w:val="18"/>
        </w:rPr>
        <w:t>Harrison J et al.  ·  PLoS One  ·  19.08.2026  ·  PMID 42616754</w:t>
      </w:r>
    </w:p>
    <w:p>
      <w:r>
        <w:t>Vergleich der Lebenserwartung und behinderungsfreien Lebensjahre bei 37 Ländern von Geburtsort in England und Wales über drei Zeitpunkte (2000–02, 2010–12, 2020–22) mittels Lebenstafeln und Sullivan-Methode.</w:t>
      </w:r>
    </w:p>
    <w:p>
      <w:r>
        <w:rPr>
          <w:b/>
        </w:rPr>
        <w:t xml:space="preserve">Ergebnis: </w:t>
      </w:r>
      <w:r>
        <w:t>Heterogene Muster: Die meisten Migrantengruppen zeigten höhere Lebenserwartung und behinderungsfreie Lebensjahre als in England und Wales geborene; einige der größten Migrantengruppen (Schottland, Irland, Polen, Litauen) zeigten niedrigere Lebenserwartung und höhere Behinderungslasten. Frauen aus Pakistan und Bangladesch lebten länger, aber mit mehr Behinderung.</w:t>
      </w:r>
    </w:p>
    <w:p>
      <w:r>
        <w:rPr>
          <w:b/>
          <w:sz w:val="19"/>
        </w:rPr>
        <w:t xml:space="preserve">Übertragbarkeit: </w:t>
      </w:r>
      <w:r>
        <w:rPr>
          <w:sz w:val="19"/>
        </w:rPr>
        <w:t>Großbritannien, nationale Zensus- und Mortalitätsdaten, vergleichbares Versicherungssystem</w:t>
      </w:r>
    </w:p>
    <w:p>
      <w:r>
        <w:rPr>
          <w:color w:val="5A7D3A"/>
          <w:sz w:val="18"/>
        </w:rPr>
        <w:t>https://pubmed.ncbi.nlm.nih.gov/42616754/</w:t>
      </w:r>
    </w:p>
    <w:p>
      <w:pPr>
        <w:pStyle w:val="Heading2"/>
      </w:pPr>
      <w:r>
        <w:t>Milde Bewegungstremor korreliert mit kognitiver Beeinträchtigung im Alter</w:t>
      </w:r>
    </w:p>
    <w:p>
      <w:r>
        <w:rPr>
          <w:i/>
          <w:color w:val="666666"/>
          <w:sz w:val="18"/>
        </w:rPr>
        <w:t>Kuhlenbäumer G et al.  ·  J Neurol  ·  11.08.2026  ·  PMID 42581283</w:t>
      </w:r>
    </w:p>
    <w:p>
      <w:r>
        <w:t>Querschnittsanalyse der KORA-Age-Studie (65–93 Jahre) zur Assoziation zwischen Tremorschweregrad (Archimedes-Spiral-Rating) und kognitiver Leistung (TICS-m) unter Verwendung multivariater Regression.</w:t>
      </w:r>
    </w:p>
    <w:p>
      <w:r>
        <w:rPr>
          <w:b/>
        </w:rPr>
        <w:t xml:space="preserve">Ergebnis: </w:t>
      </w:r>
      <w:r>
        <w:t>Tremorschweregrad war unabhängig mit kognitiver Leistung assoziiert. Im finalen Modell waren wichtigste Prädiktoren: Alter, Geschlecht, Parkinson-Score, Frailty und Tremor. Sensitivitätsanalysen unter Ausschluss wahrscheinlich pathologischer Tremoren attenuierten die Assoziation nicht. Altersbedingte Hirnveränderungen könnten gemeinsame Ursache sein.</w:t>
      </w:r>
    </w:p>
    <w:p>
      <w:r>
        <w:rPr>
          <w:b/>
          <w:sz w:val="19"/>
        </w:rPr>
        <w:t xml:space="preserve">Übertragbarkeit: </w:t>
      </w:r>
      <w:r>
        <w:rPr>
          <w:sz w:val="19"/>
        </w:rPr>
        <w:t>Deutschland, KORA-Bevölkerungskohort, nationale Datengrundlage</w:t>
      </w:r>
    </w:p>
    <w:p>
      <w:r>
        <w:rPr>
          <w:color w:val="5A7D3A"/>
          <w:sz w:val="18"/>
        </w:rPr>
        <w:t>https://pubmed.ncbi.nlm.nih.gov/42581283/</w:t>
      </w:r>
    </w:p>
    <w:p>
      <w:pPr>
        <w:pStyle w:val="Heading2"/>
      </w:pPr>
      <w:r>
        <w:t>Geriatrische Rehabilitation verbessert Funktionalität bei Mangelernährungsrisiko</w:t>
      </w:r>
    </w:p>
    <w:p>
      <w:r>
        <w:rPr>
          <w:i/>
          <w:color w:val="666666"/>
          <w:sz w:val="18"/>
        </w:rPr>
        <w:t>Runikhina NK et al.  ·  Adv Gerontol  ·  2026  ·  PMID 42502926</w:t>
      </w:r>
    </w:p>
    <w:p>
      <w:r>
        <w:t>Evaluierung von 21-Tage-Rehabilitationsprogrammen bei 482 älteren Patienten (60+ Jahre) mit (96, 19,9 %) und ohne Mangelernährungsrisiko durch umfassende geriatrische Bewertung vor und nach Intervention.</w:t>
      </w:r>
    </w:p>
    <w:p>
      <w:r>
        <w:rPr>
          <w:b/>
        </w:rPr>
        <w:t xml:space="preserve">Ergebnis: </w:t>
      </w:r>
      <w:r>
        <w:t>Beide Gruppen verbesserten sich signifikant in Funktionalität, kognitiver Leistung und Schmerz/Schlaf/Depression. Patienten mit Mangelernährungsrisiko waren älter (80,3 vs. 78,2 Jahre), hatten mehr Frailty (52,1 % vs. 30,9 %), mehr Stürze (36,8 % vs. 25,3 %) und Depression (40,6 % vs. 20,8 %). Diese Gruppe zeigte deutlich größere Verbesserungen in basaler und instrumenteller Funktionalität.</w:t>
      </w:r>
    </w:p>
    <w:p>
      <w:r>
        <w:rPr>
          <w:b/>
          <w:sz w:val="19"/>
        </w:rPr>
        <w:t xml:space="preserve">Übertragbarkeit: </w:t>
      </w:r>
      <w:r>
        <w:rPr>
          <w:sz w:val="19"/>
        </w:rPr>
        <w:t>Russland, Pirogov-Universitätsklinik, europäischer Gesundheitsauftrag vergleichbar</w:t>
      </w:r>
    </w:p>
    <w:p>
      <w:r>
        <w:rPr>
          <w:color w:val="5A7D3A"/>
          <w:sz w:val="18"/>
        </w:rPr>
        <w:t>https://pubmed.ncbi.nlm.nih.gov/42502926/</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2026-10-01T06:00:00Z</dcterms:created>
  <dcterms:modified xsi:type="dcterms:W3CDTF">2026-10-01T06:00:00Z</dcterms:modified>
  <cp:category/>
</cp:coreProperties>
</file>