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28.09.2026  |  6 Studien  |  longevity.m-vf.de</w:t>
      </w:r>
    </w:p>
    <w:p>
      <w:pPr>
        <w:pStyle w:val="Heading1"/>
      </w:pPr>
      <w:r>
        <w:t>Aufgenommen am 28.09.2026</w:t>
      </w:r>
    </w:p>
    <w:p>
      <w:pPr>
        <w:pStyle w:val="Heading2"/>
      </w:pPr>
      <w:r>
        <w:t>Alzheimer-Therapien im geriatrischen Alter: Implementierungsherausforderungen und Chancen</w:t>
      </w:r>
    </w:p>
    <w:p>
      <w:r>
        <w:rPr>
          <w:i/>
          <w:color w:val="666666"/>
          <w:sz w:val="18"/>
        </w:rPr>
        <w:t>Zrineh A et al.  ·  Clin Interv Aging  ·  22.09.2026  ·  PMID 42801246</w:t>
      </w:r>
    </w:p>
    <w:p>
      <w:r>
        <w:t>Narratives Review der Alzheimer-Pathophysiologie, diagnostischer Biomarker und Therapien (Cholinesterase-Inhibitoren, Lecanemab, Donanemab) mit Fokus auf geriatrische Versorgung und Integration in Kliniken.</w:t>
      </w:r>
    </w:p>
    <w:p>
      <w:r>
        <w:rPr>
          <w:b/>
        </w:rPr>
        <w:t xml:space="preserve">Ergebnis: </w:t>
      </w:r>
      <w:r>
        <w:t>Neue monoklonale Anti-Amyloid-Antikörper zeigen klinisch signifikante, aber moderate Verzögerung des Rückgangs. Risiken: Amyloid-related imaging abnormalities, hohe Kosten, ungelöste Fragen zur langfristigen Aussagekraft. Integrierung in geriatrische Praxis erfordert Biomarker-gesteuertes Screening, Sicherheitsüberwachung, Polypharmazie-Management.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und international; praktische Empfehlungen für Versorgung gelten über Länder hinweg, aber Zugänglichkeit und Finanzierung unterscheiden sich</w:t>
      </w:r>
    </w:p>
    <w:p>
      <w:r>
        <w:rPr>
          <w:color w:val="5A7D3A"/>
          <w:sz w:val="18"/>
        </w:rPr>
        <w:t>https://pubmed.ncbi.nlm.nih.gov/42801246/</w:t>
      </w:r>
    </w:p>
    <w:p>
      <w:pPr>
        <w:pStyle w:val="Heading2"/>
      </w:pPr>
      <w:r>
        <w:t>Mittelmeerdiät bei älteren Menschen mit HIV: Körperzusammensetzung und klinisches Profil</w:t>
      </w:r>
    </w:p>
    <w:p>
      <w:r>
        <w:rPr>
          <w:i/>
          <w:color w:val="666666"/>
          <w:sz w:val="18"/>
        </w:rPr>
        <w:t>Mazzitelli M et al.  ·  Viruses  ·  25.08.2026  ·  PMID 42797764</w:t>
      </w:r>
    </w:p>
    <w:p>
      <w:r>
        <w:t>Querschnittsstudie an 130 italienischen erwachsenen Menschen mit HIV im Median 57 Jahren: Mediterrane Diät-Adhärenz anhand MedDiet Score gemessen, Körperzusammensetzung mittels DXA analysiert.</w:t>
      </w:r>
    </w:p>
    <w:p>
      <w:r>
        <w:rPr>
          <w:b/>
        </w:rPr>
        <w:t xml:space="preserve">Ergebnis: </w:t>
      </w:r>
      <w:r>
        <w:t>80,8% zeigten hohe Adhärenz. Hohe Adhärenz assoziiert mit niedrigerem BMI (β −5,3, 95%-KI −7,3 bis −3,4, p&lt;0,001), niedrigerer totaler und Rumpf-Fettmasse und höherer Knochenmineraldichte der LWS. Günstigeres klinisches Profil mit höherer CD4-Zahl.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spezialisierte HIV-Kliniken; Übertragbarkeit auf deutsche Versorgung begrenzt durch HIV-Fokus</w:t>
      </w:r>
    </w:p>
    <w:p>
      <w:r>
        <w:rPr>
          <w:color w:val="5A7D3A"/>
          <w:sz w:val="18"/>
        </w:rPr>
        <w:t>https://pubmed.ncbi.nlm.nih.gov/42797764/</w:t>
      </w:r>
    </w:p>
    <w:p>
      <w:pPr>
        <w:pStyle w:val="Heading2"/>
      </w:pPr>
      <w:r>
        <w:t>Ernährung im höchsten Alter: Milchprodukte und Hühnchen assoziiert mit längerer Überlebensdauer</w:t>
      </w:r>
    </w:p>
    <w:p>
      <w:r>
        <w:rPr>
          <w:i/>
          <w:color w:val="666666"/>
          <w:sz w:val="18"/>
        </w:rPr>
        <w:t>Errigo A et al.  ·  Nutrients  ·  20.09.2026  ·  PMID 42797055</w:t>
      </w:r>
    </w:p>
    <w:p>
      <w:r>
        <w:t>Prospektive Kohorte von 200 sardischen Bewohnern über 90 Jahren: Ernährungsmuster wurden erhoben, Überleben über bis zu 7 Jahre verfolgt.</w:t>
      </w:r>
    </w:p>
    <w:p>
      <w:r>
        <w:rPr>
          <w:b/>
        </w:rPr>
        <w:t xml:space="preserve">Ergebnis: </w:t>
      </w:r>
      <w:r>
        <w:t>Höherer Konsum von Milch, Käse und Hühnchen war mit niedrigerer Sterblichkeit assoziiert (HR 0,839 pro SD-Anstieg des Dairy-Traditional-Fat-Musters, 95%-KI 0,727–0,969, p=0,017); Wein-Konsum positiv mit Mortalität assoziiert. Assoziationen bei Einzellebensmitteln blieben nach Korrektion für multiples Testen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Blue Zone; begrenzte direkte Übertragbarkeit auf Deutsche, aber Ernährungsmuster in extremem Alter untersucht</w:t>
      </w:r>
    </w:p>
    <w:p>
      <w:r>
        <w:rPr>
          <w:color w:val="5A7D3A"/>
          <w:sz w:val="18"/>
        </w:rPr>
        <w:t>https://pubmed.ncbi.nlm.nih.gov/42797055/</w:t>
      </w:r>
    </w:p>
    <w:p>
      <w:pPr>
        <w:pStyle w:val="Heading2"/>
      </w:pPr>
      <w:r>
        <w:t>Ernährungsqualität und Blutmarker des Alterns: Proteomarker-Studie an älteren Schweden</w:t>
      </w:r>
    </w:p>
    <w:p>
      <w:r>
        <w:rPr>
          <w:i/>
          <w:color w:val="666666"/>
          <w:sz w:val="18"/>
        </w:rPr>
        <w:t>DaCosta RA et al.  ·  BMC Med  ·  15.09.2026  ·  PMID 42791570</w:t>
      </w:r>
    </w:p>
    <w:p>
      <w:r>
        <w:t>Bevölkerungsbasierte Querschnittsanalyse von 1.769 schwedischen Personen ≥60 Jahren: Ernährungsqualität mittels AMED, AHEI und rEDII gemessen, 54 Blutbiomarker analysiert.</w:t>
      </w:r>
    </w:p>
    <w:p>
      <w:r>
        <w:rPr>
          <w:b/>
        </w:rPr>
        <w:t xml:space="preserve">Ergebnis: </w:t>
      </w:r>
      <w:r>
        <w:t>Höhere AMED-Adhärenz assoziiert mit höheren Folsäure-Spiegeln (β 0,066, 95%-KI 0,033–0,099) und niedrigerem GFAP (β −0,018, 95%-KI −0,030 bis −0,006, p=0,003). Höhere rEDII-Adhärenz mit niedrigerem Leptin, Insulin, GDF15, alkalischer Phosphatase und TNF-Rezeptor. Biomarker in metabolischen und inflammatorischen Domänen betroffen.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nationale Längsschnittstudie; vergleichbare Gesundheitssysteme, gute Datenqualität</w:t>
      </w:r>
    </w:p>
    <w:p>
      <w:r>
        <w:rPr>
          <w:color w:val="5A7D3A"/>
          <w:sz w:val="18"/>
        </w:rPr>
        <w:t>https://pubmed.ncbi.nlm.nih.gov/42791570/</w:t>
      </w:r>
    </w:p>
    <w:p>
      <w:pPr>
        <w:pStyle w:val="Heading2"/>
      </w:pPr>
      <w:r>
        <w:t>Wearable-Autonomie-Komponente und kardiometabolische Gesundheit im Alter</w:t>
      </w:r>
    </w:p>
    <w:p>
      <w:r>
        <w:rPr>
          <w:i/>
          <w:color w:val="666666"/>
          <w:sz w:val="18"/>
        </w:rPr>
        <w:t>Calvani R et al.  ·  Med Sci (Basel)  ·  02.09.2026  ·  PMID 42783415</w:t>
      </w:r>
    </w:p>
    <w:p>
      <w:r>
        <w:t>Querschnitt von 97 italienischen Erwachsenen (Durchschnittsalter 51,3 Jahre): 24-h Wearable-Geräte-Messung, Hauptkomponentenanalyse der ECG- und Bewegungsvariablen, Assoziation mit 8-Domänen-Gesundheits-Screening.</w:t>
      </w:r>
    </w:p>
    <w:p>
      <w:r>
        <w:rPr>
          <w:b/>
        </w:rPr>
        <w:t xml:space="preserve">Ergebnis: </w:t>
      </w:r>
      <w:r>
        <w:t>Prinzipalkomponente PC1 (gekennzeichnet durch hohes SDNN, hohes RMSSD, niedrige nächtliche Herzfrequenz) unabhängig assoziiert mit Gesamt-Gesundheit (B=+0,402, 95%-KI [+0,103, +0,700], p=0,009). Nach Benjamini-Hochberg-Korrektur in Einzeldomänen nur Glukose-Gesundheit signifikant (95%-KI [1,32, 4,62], p=0,039).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Community-Setting; Wearable-Technologie relevant für deutsche Präventivmedizin, aber Stichprobe klein</w:t>
      </w:r>
    </w:p>
    <w:p>
      <w:r>
        <w:rPr>
          <w:color w:val="5A7D3A"/>
          <w:sz w:val="18"/>
        </w:rPr>
        <w:t>https://pubmed.ncbi.nlm.nih.gov/42783415/</w:t>
      </w:r>
    </w:p>
    <w:p>
      <w:pPr>
        <w:pStyle w:val="Heading2"/>
      </w:pPr>
      <w:r>
        <w:t>Gewichteter Alterungspace als Prädiktor: sterblichkeitsinformiertes Biomarker-Modell</w:t>
      </w:r>
    </w:p>
    <w:p>
      <w:r>
        <w:rPr>
          <w:i/>
          <w:color w:val="666666"/>
          <w:sz w:val="18"/>
        </w:rPr>
        <w:t>Sluiskes MH et al.  ·  J Gerontol A Biol Sci Med Sci  ·  05.09.2026  ·  PMID 42625435</w:t>
      </w:r>
    </w:p>
    <w:p>
      <w:r>
        <w:t>Längsschnittstudie schwedischer älterer Paare (SATSA): Gewichteter Pace of Aging (wPoA) aus 10 Biomarkern berechnet, anhand Sterblichkeit gewichtet, gegen etablierte Alterungs-Prädiktoren validiert.</w:t>
      </w:r>
    </w:p>
    <w:p>
      <w:r>
        <w:rPr>
          <w:b/>
        </w:rPr>
        <w:t xml:space="preserve">Ergebnis: </w:t>
      </w:r>
      <w:r>
        <w:t>wPoA korreliert mit biologischen Alterungs-Prädiktoren und stärker mit Functional Aging Index (FAA) und Frailty Index (FI). Moderate Korrelationen über alle Prädiktoren deuten darauf hin, dass jedes Maß unterschiedliche Aspekte des biologischen Alterns erfasst; wPoA eignet sich für Kohorten mit reichen Längsdaten.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nationale Adoptions-/Zwillingsstudie; europäisches Gesundheitssystem, methodisch robust</w:t>
      </w:r>
    </w:p>
    <w:p>
      <w:r>
        <w:rPr>
          <w:color w:val="5A7D3A"/>
          <w:sz w:val="18"/>
        </w:rPr>
        <w:t>https://pubmed.ncbi.nlm.nih.gov/42625435/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2026-09-28T06:00:00Z</dcterms:created>
  <dcterms:modified xsi:type="dcterms:W3CDTF">2026-09-28T06:00:00Z</dcterms:modified>
  <cp:category/>
</cp:coreProperties>
</file>