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21.08.2026  |  2 Studien  |  longevity.m-vf.de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Heimgestützte multikomponenten Intervention bei Frailty und Prefrailty in älteren Krebsüberlebenden: Pilotuntersuchung</w:t>
      </w:r>
    </w:p>
    <w:p>
      <w:r>
        <w:rPr>
          <w:i/>
          <w:color w:val="666666"/>
          <w:sz w:val="18"/>
        </w:rPr>
        <w:t>Drevet S et al.  ·  Age Ageing  ·  03.08.2026  ·  PMID 42621847</w:t>
      </w:r>
    </w:p>
    <w:p>
      <w:r>
        <w:t>Quasi-experimentelle Vorher-Nachher-Studie (6 Monate) mit 110 Patienten ≥70 Jahren in Remission (Fried-Kriterien erfüllt). Intervention: betreute Übungen + Ernährungsunterstützung. Primärer Endpunkt: Anteil mit Frailty-/Prefrailty-Verbesserung von Baseline (M0) zu M6.</w:t>
      </w:r>
    </w:p>
    <w:p>
      <w:r>
        <w:rPr>
          <w:b/>
        </w:rPr>
        <w:t xml:space="preserve">Ergebnis: </w:t>
      </w:r>
      <w:r>
        <w:t>81 von 110 Teilnehmern vollendeten die Intervention. Baseline: 45% frail, 0% robust. Bei M6: 62% verbesserten ihren Frailty-Status; 78% der Frail zeigten Besserung, 51% der Prefrail wurden robust. Frailty-Schweregrad sank bei 74% der Teilnehmer. Vitamin-D zeigte Gruppen×Zeit-Interaktion; unterschiedliche Frailty-Trajektorien je nach Vitamin-D-Status. Funktionelle und physische Maße bei Baseline assoziiert mit Frailty (p&lt;0,05), nicht aber Tumor-Charakteristika.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geriatrische Rehab in Praxis; multikomponenten Ansatz auch auf deutsches Versorgungssystem übertragbar</w:t>
      </w:r>
    </w:p>
    <w:p>
      <w:r>
        <w:rPr>
          <w:color w:val="5A7D3A"/>
          <w:sz w:val="18"/>
        </w:rPr>
        <w:t>https://pubmed.ncbi.nlm.nih.gov/42621847/</w:t>
      </w:r>
    </w:p>
    <w:p>
      <w:pPr>
        <w:pStyle w:val="Heading2"/>
      </w:pPr>
      <w:r>
        <w:t>Verankering älterer Menschen in globalen Klimaanpassungsplänen: Analyse von 204 Ländern</w:t>
      </w:r>
    </w:p>
    <w:p>
      <w:r>
        <w:rPr>
          <w:i/>
          <w:color w:val="666666"/>
          <w:sz w:val="18"/>
        </w:rPr>
        <w:t>Katz GM et al.  ·  Lancet Healthy Longev  ·  12.08.2026  ·  PMID 42586104</w:t>
      </w:r>
    </w:p>
    <w:p>
      <w:r>
        <w:t>Dokumentenanalyse von 204 Nationalstaaten zu Berücksichtigung älterer Menschen (≥65 Jahre) in Klimaanpassungsplänen. Identifiziert 16 Adaptationsthemen (Temperaturschutz, Partizipation, Katastrophenvorsorge, etc.) und deren Häufigkeit in nationalen Strategien.</w:t>
      </w:r>
    </w:p>
    <w:p>
      <w:r>
        <w:rPr>
          <w:b/>
        </w:rPr>
        <w:t xml:space="preserve">Ergebnis: </w:t>
      </w:r>
      <w:r>
        <w:t>125 Länder (61,3%) integrieren 1–5 Themen, 2 Länder (1,0%) sechs bis zehn, 1 Land (0,5%) ≥11 Themen, 77 Länder (37,7%) keine Themen. Häufigste Themen: extreme Hitze, Partizipation Älterer, Katastrophenprävention. Nur 47 Länder (23%) beschreiben konkrete Maßnahmen, Programme oder Finanzierungszusagen für ältere Menschen. Befund: erhebliche Lücken in der Berücksichtigung älterter Menschen in Klimapolitik.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Perspektive, Deutschland in Stichprobe enthalten, zeigt Governance-Gap bei Umwelt und Gerontologie</w:t>
      </w:r>
    </w:p>
    <w:p>
      <w:r>
        <w:rPr>
          <w:color w:val="5A7D3A"/>
          <w:sz w:val="18"/>
        </w:rPr>
        <w:t>https://pubmed.ncbi.nlm.nih.gov/42586104/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