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03.10.2026  |  6 Studien  |  longevity.m-vf.de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Multimorbiditäts-Effekte auf erhaltene Funktionsfähigkeit: Heterogenität nach Krankheitstyp und sozioökonomischem Status</w:t>
      </w:r>
    </w:p>
    <w:p>
      <w:r>
        <w:rPr>
          <w:i/>
          <w:color w:val="666666"/>
          <w:sz w:val="18"/>
        </w:rPr>
        <w:t>Zeng Z et al.  ·  Medicine (Baltimore)  ·  02.10.2026  ·  PMID 42826326</w:t>
      </w:r>
    </w:p>
    <w:p>
      <w:r>
        <w:t>Querschnittsstudie mit wiederholten Beobachtungen aus China (2011, 2015, 2018) zu Assoziationen zwischen Multimorbiditäten und Intrinsic Capacity (selbstständiges Leben) mit Subgruppenanalysen nach Erkrankungstyp, Region und Einkommen.</w:t>
      </w:r>
    </w:p>
    <w:p>
      <w:r>
        <w:rPr>
          <w:b/>
        </w:rPr>
        <w:t xml:space="preserve">Ergebnis: </w:t>
      </w:r>
      <w:r>
        <w:t>Multimorbiditäten waren signifikant mit niedriger Intrinsic Capacity assoziiert (β=−0,076, p&lt;0,01). Neurodegenerative Erkrankungen zeigten die stärkste negative Assoziation (β=−0,587), gefolgt von kardiovaskulären Erkrankungen (β=−0,135). Negative Assoziationen waren stärker in ländlichen Gebieten, westlichen Regionen und bei niedrigerem Einkommen/Bildung.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 Ausgangslage; Befunde zu Multimorbiditäts-Burden in alternder Bevölkerung relevant für globale Perspektive</w:t>
      </w:r>
    </w:p>
    <w:p>
      <w:r>
        <w:rPr>
          <w:color w:val="5A7D3A"/>
          <w:sz w:val="18"/>
        </w:rPr>
        <w:t>https://pubmed.ncbi.nlm.nih.gov/42826326/</w:t>
      </w:r>
    </w:p>
    <w:p>
      <w:pPr>
        <w:pStyle w:val="Heading2"/>
      </w:pPr>
      <w:r>
        <w:t>Kompetenzdefizite von Pflegefachpersonen bei Frailty-Management: Praxis schwächer als Wissen</w:t>
      </w:r>
    </w:p>
    <w:p>
      <w:r>
        <w:rPr>
          <w:i/>
          <w:color w:val="666666"/>
          <w:sz w:val="18"/>
        </w:rPr>
        <w:t>Lyu J et al.  ·  Front Public Health  ·  17.09.2026  ·  PMID 42824785</w:t>
      </w:r>
    </w:p>
    <w:p>
      <w:r>
        <w:t>Querschnittsbefragung von 610 Pflegefachpersonen an 41 Krankenhäusern in China zu Wissen, Einstellungen und praktischen Fertigkeiten (KAP) zur Frailty-Versorgung und deren Determinanten.</w:t>
      </w:r>
    </w:p>
    <w:p>
      <w:r>
        <w:rPr>
          <w:b/>
        </w:rPr>
        <w:t xml:space="preserve">Ergebnis: </w:t>
      </w:r>
      <w:r>
        <w:t>Mittleres KAP-Score 103,07±12,65 (81,16% des Maximums): Einstellung 88,53%, Wissen 81,38%, Praxis 74,40%. Recente Frailty-Schulung war unabhängig mit besserem Gesamt-KAP assoziiert (β=−6,820 für nicht trainiert versus innerhalb eines Monats trainiert, p=0,036). Geriatrische Fachzertifizierung war nur mit Wissen assoziiert, nicht mit Gesamtleistung oder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 Gesundheitssystem-Struktur; Erkenntnis zur Schulungsrelevanz bei Fachpersonal übertragbar</w:t>
      </w:r>
    </w:p>
    <w:p>
      <w:r>
        <w:rPr>
          <w:color w:val="5A7D3A"/>
          <w:sz w:val="18"/>
        </w:rPr>
        <w:t>https://pubmed.ncbi.nlm.nih.gov/42824785/</w:t>
      </w:r>
    </w:p>
    <w:p>
      <w:pPr>
        <w:pStyle w:val="Heading2"/>
      </w:pPr>
      <w:r>
        <w:t>Geografische Disparitäten beim direkten Zugang zu akutgeriatrischer Versorgung</w:t>
      </w:r>
    </w:p>
    <w:p>
      <w:r>
        <w:rPr>
          <w:i/>
          <w:color w:val="666666"/>
          <w:sz w:val="18"/>
        </w:rPr>
        <w:t>Varg S et al.  ·  BMC Geriatr  ·  02.10.2026  ·  PMID 42823763</w:t>
      </w:r>
    </w:p>
    <w:p>
      <w:r>
        <w:t>Observationsstudie in Stockholm zu Variation der Rettungswagen-Einweisungen von über 65-Jährigen direkt in Geriatrische Stationen versus Notaufnahmen und zugrunde liegenden Unterschieden zwischen Versorgungsgebieten.</w:t>
      </w:r>
    </w:p>
    <w:p>
      <w:r>
        <w:rPr>
          <w:b/>
        </w:rPr>
        <w:t xml:space="preserve">Ergebnis: </w:t>
      </w:r>
      <w:r>
        <w:t>Von 8.208 Patienten wurden 603 (7%) direkt in eine Geriatrische Station aufgenommen; Quoten variierten zwischen 4% und 21% je Krankenhaus-Versorgungsgebiet. Nach Adjustierung für Angebotsfaktoren erklärten Nähe zur geriatrischen Einheit (26% Varianzreduktion), Trägerschaft (27%) und Bettenzahl (38%) einen Teil der Variation; erhebliche Residualvariation blieb bestehen (MOR=1,54), was auf unmessbare Faktoren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Klinikdaten, Notfallsystem mit weniger fragmentierter Versorgungslandschaft als Deutschland</w:t>
      </w:r>
    </w:p>
    <w:p>
      <w:r>
        <w:rPr>
          <w:color w:val="5A7D3A"/>
          <w:sz w:val="18"/>
        </w:rPr>
        <w:t>https://pubmed.ncbi.nlm.nih.gov/42823763/</w:t>
      </w:r>
    </w:p>
    <w:p>
      <w:pPr>
        <w:pStyle w:val="Heading2"/>
      </w:pPr>
      <w:r>
        <w:t>Frailty-Komponenten und Funktionsfähigkeit: Unterschiede zwischen baltischen und nordischen Ländern</w:t>
      </w:r>
    </w:p>
    <w:p>
      <w:r>
        <w:rPr>
          <w:i/>
          <w:color w:val="666666"/>
          <w:sz w:val="18"/>
        </w:rPr>
        <w:t>Bukova-Žideļūna A et al.  ·  BMC Geriatr  ·  28.07.2026  ·  PMID 42823669</w:t>
      </w:r>
    </w:p>
    <w:p>
      <w:r>
        <w:t>Längsschnittstudie über zwei Jahre zu Zusammenhängen zwischen Frailty-Status und neuen Einschränkungen bei Aktivitäten des täglichen Lebens (ADL/IADL) in über 65-Jährigen aus baltischen und nordischen Ländern mit SHARE-Daten.</w:t>
      </w:r>
    </w:p>
    <w:p>
      <w:r>
        <w:rPr>
          <w:b/>
        </w:rPr>
        <w:t xml:space="preserve">Ergebnis: </w:t>
      </w:r>
      <w:r>
        <w:t>Über zwei Jahre entwickelten 5,9% neue IADL-Einschränkungen in baltischen und 6,4% in nordischen Ländern; 4,6% bzw. 4,7% neue ADL-Einschränkungen. Pre-Frailty war in beiden Regionen mit neuen IADL-Einschränkungen assoziiert. Erschöpfung war die einzige Frailty-Komponente, die unabhängig in beiden Regionen mit neuen Limitationen verknüpft war. Frailty-Prevalenz war in baltischen Ländern deutlich höher.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SHARE-Daten aus Europa, vergleichbare Gesundheitssysteme und Datenqualität</w:t>
      </w:r>
    </w:p>
    <w:p>
      <w:r>
        <w:rPr>
          <w:color w:val="5A7D3A"/>
          <w:sz w:val="18"/>
        </w:rPr>
        <w:t>https://pubmed.ncbi.nlm.nih.gov/42823669/</w:t>
      </w:r>
    </w:p>
    <w:p>
      <w:pPr>
        <w:pStyle w:val="Heading2"/>
      </w:pPr>
      <w:r>
        <w:t>Vorhersagefaktoren für erhaltene Robustheit im Alter: 8-Jahres-Kohortenstudie</w:t>
      </w:r>
    </w:p>
    <w:p>
      <w:r>
        <w:rPr>
          <w:i/>
          <w:color w:val="666666"/>
          <w:sz w:val="18"/>
        </w:rPr>
        <w:t>Iktilat K et al.  ·  BMC Geriatr  ·  19.08.2026  ·  PMID 42823660</w:t>
      </w:r>
    </w:p>
    <w:p>
      <w:r>
        <w:t>Multinationalle Langzeitanalyse über acht Jahre zu Baseline-Merkmalen, die das Verbleiben in einem robusten (nicht-frail) Zustand vorhersagen bei älteren Erwachsenen 65–84 Jahren aus 27 SHARE-Ländern.</w:t>
      </w:r>
    </w:p>
    <w:p>
      <w:r>
        <w:rPr>
          <w:b/>
        </w:rPr>
        <w:t xml:space="preserve">Ergebnis: </w:t>
      </w:r>
      <w:r>
        <w:t>Nach acht Jahren verblieben 52% der jüngeren Älteren (65–74 J.) und 26% der älteren Älteren (75–84 J.) robust. Konsistent beste Vorhersagefaktoren waren bessere subjektive Gesundheit (OR ≈0,72, p&lt;0,001), weniger chronische Erkrankungen (OR ≈0,89, p&lt;0,001) und finanzielle Sicherheit (OR ≈1,11, p=0,018). Soziale und kognitive Aktivitäten zeigten in manchen Modellen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SHARE-Daten aus Europa, vergleichbare Bevölkerungsstruktur und Sozialsysteme</w:t>
      </w:r>
    </w:p>
    <w:p>
      <w:r>
        <w:rPr>
          <w:color w:val="5A7D3A"/>
          <w:sz w:val="18"/>
        </w:rPr>
        <w:t>https://pubmed.ncbi.nlm.nih.gov/42823660/</w:t>
      </w:r>
    </w:p>
    <w:p>
      <w:pPr>
        <w:pStyle w:val="Heading2"/>
      </w:pPr>
      <w:r>
        <w:t>Frailty als Prädiktor für Krankenhausaufnahme jenseits des Triage-Scores</w:t>
      </w:r>
    </w:p>
    <w:p>
      <w:r>
        <w:rPr>
          <w:i/>
          <w:color w:val="666666"/>
          <w:sz w:val="18"/>
        </w:rPr>
        <w:t>Hata N et al.  ·  Acad Emerg Med  ·  Okt. 2026  ·  PMID 42811477</w:t>
      </w:r>
    </w:p>
    <w:p>
      <w:r>
        <w:t>Retrospektive Kohortenanalyse von Notaufnahme-Patienten ≥65 Jahren in Japan (n=3127 Besuche) zur Assoziation zwischen Clinical Frailty Scale und Hospitalisierung, stratifiziert nach Triage-Kategorien.</w:t>
      </w:r>
    </w:p>
    <w:p>
      <w:r>
        <w:rPr>
          <w:b/>
        </w:rPr>
        <w:t xml:space="preserve">Ergebnis: </w:t>
      </w:r>
      <w:r>
        <w:t>Von 3.127 ED-Besuchen führten 1.526 zur Aufnahme. Adjustierte Odds Ratios für Frailty (CFS≥5) waren 1,00 (95% CI 0,65–1,55) in JTAS 2, 1,54 (1,19–1,99) in JTAS 3 und 2,01 (1,13–3,58) in JTAS 4/5. Globale CFS-by-JTAS-Interaktion war nicht signifikant (p=0,091), deutet aber numerisch auf stärkere Frailty-Effekte bei niedrigerer Triage-Dringlichkeit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ähnliches Gesundheitssystem; Befund zu Frailty-Screening in der Notaufnahme strukturübergreifend relevant</w:t>
      </w:r>
    </w:p>
    <w:p>
      <w:r>
        <w:rPr>
          <w:color w:val="5A7D3A"/>
          <w:sz w:val="18"/>
        </w:rPr>
        <w:t>https://pubmed.ncbi.nlm.nih.gov/42811477/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