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05.09.2026  |  6 Studien  |  longevity.m-vf.de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Reaktive Balanceschulung senkt Sturzrisikofaktoren, nicht aber Stürze im Alltag</w:t>
      </w:r>
    </w:p>
    <w:p>
      <w:r>
        <w:rPr>
          <w:i/>
          <w:color w:val="666666"/>
          <w:sz w:val="18"/>
        </w:rPr>
        <w:t>Sharma S et al.  ·  Age Ageing  ·  04.09.2026  ·  PMID 42696641</w:t>
      </w:r>
    </w:p>
    <w:p>
      <w:r>
        <w:t>Randomisierte kontrollierte Studie mit 88 älteren Menschen: 43 erhielten wöchentliches ReacStep-Training (Reaktives Stepping, bewusste Ausrutscher) über 6 Wochen plus Heimkrafttraining, 45 nur Heimkrafttraining über 8 Wochen; Erhebung von reaktiver Balance, körperlichen Funktionen und Stürzen im Alltag über 12 Monate.</w:t>
      </w:r>
    </w:p>
    <w:p>
      <w:r>
        <w:rPr>
          <w:b/>
        </w:rPr>
        <w:t xml:space="preserve">Ergebnis: </w:t>
      </w:r>
      <w:r>
        <w:t>Adhärenz zum ReacStep-Programm 90 %, Interventionsgruppe zeigte signifikante Verbesserungen in maximaler Schrittlänge und Reaktionszeit beim Stepping (p&lt;0,05), aber keine Unterschiede in laborgestützten Sturzversuchen oder Häuslichkeitsstürzen über 12 Monate (p=0,19).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vergleichbares Gesundheitssystem, aber begrenzte Übertragung zur Sturzprävention</w:t>
      </w:r>
    </w:p>
    <w:p>
      <w:r>
        <w:rPr>
          <w:color w:val="5A7D3A"/>
          <w:sz w:val="18"/>
        </w:rPr>
        <w:t>https://pubmed.ncbi.nlm.nih.gov/42696641/</w:t>
      </w:r>
    </w:p>
    <w:p>
      <w:pPr>
        <w:pStyle w:val="Heading2"/>
      </w:pPr>
      <w:r>
        <w:t>Urat-senkende Therapie und Frailty-Risiko bei Nierenpatienten</w:t>
      </w:r>
    </w:p>
    <w:p>
      <w:r>
        <w:rPr>
          <w:i/>
          <w:color w:val="666666"/>
          <w:sz w:val="18"/>
        </w:rPr>
        <w:t>Lee SY et al.  ·  Int J Med Sci  ·  04.08.2026  ·  PMID 42694867</w:t>
      </w:r>
    </w:p>
    <w:p>
      <w:r>
        <w:t>Retrospektive Kohortenstudie mit 19.389 Nephrologiepatienten: Untersuchung der Assoziation zwischen Febuxostat, Allopurinol und keiner Therapie mit neuaufgetretener und verschlimmerter Frailty über medianen Nachbeobachtungszeitraum von 3 Jahren.</w:t>
      </w:r>
    </w:p>
    <w:p>
      <w:r>
        <w:rPr>
          <w:b/>
        </w:rPr>
        <w:t xml:space="preserve">Ergebnis: </w:t>
      </w:r>
      <w:r>
        <w:t>892 (4,6 %) entwickelten neuaufgetretene Frailty, 5.253 (27,1 %) zeigten Verschlimmerung. Febuxostat war mit höherem Frailty-Risiko verbunden (HR 1,22; 95%-KI 1,01–1,48), Allopurinol mit geringerem Risiko (HR 0,65; 95%-KI 0,46–0,93); beide gemeinsam ohne signifikante Assoziation. Keine Effekte auf Frailty-Verschlimmerung.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Nephrologiedaten vergleichbar, aber begrenzte Generalisierbarkeit</w:t>
      </w:r>
    </w:p>
    <w:p>
      <w:r>
        <w:rPr>
          <w:color w:val="5A7D3A"/>
          <w:sz w:val="18"/>
        </w:rPr>
        <w:t>https://pubmed.ncbi.nlm.nih.gov/42694867/</w:t>
      </w:r>
    </w:p>
    <w:p>
      <w:pPr>
        <w:pStyle w:val="Heading2"/>
      </w:pPr>
      <w:r>
        <w:t>Funkionsstatus und Pflegebedarf bei Eintritt in öffentlich finanzierte Altenhilfe</w:t>
      </w:r>
    </w:p>
    <w:p>
      <w:r>
        <w:rPr>
          <w:i/>
          <w:color w:val="666666"/>
          <w:sz w:val="18"/>
        </w:rPr>
        <w:t>Siljehag PA et al.  ·  BMC Health Serv Res  ·  02.09.2026  ·  PMID 42693458</w:t>
      </w:r>
    </w:p>
    <w:p>
      <w:r>
        <w:t>Schwedische Registeranalyse von 3.649 älteren Menschen (durchschnittlich 80 Jahre), die erstmals Altenhilfe in Anspruch nahmen, mit Erhebung von Komorbiditäten, funktionalen Einschränkungen und Vorbehandlung im Gesundheitswesen.</w:t>
      </w:r>
    </w:p>
    <w:p>
      <w:r>
        <w:rPr>
          <w:b/>
        </w:rPr>
        <w:t xml:space="preserve">Ergebnis: </w:t>
      </w:r>
      <w:r>
        <w:t>92 % hatten Multimorbidität, 25 % umfangreiche funktionale Einschränkungen, 95 % erhielten Pflege zu Hause, bei 50 % folgte die Altenhilfe unmittelbar nach stationärer Behandlung. Primärversorgung war bei 80 % der dominante ambulante Kontakt vor Heimaufnahme.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vergleichbare Sozialversicherung und Pflegefinanzierung</w:t>
      </w:r>
    </w:p>
    <w:p>
      <w:r>
        <w:rPr>
          <w:color w:val="5A7D3A"/>
          <w:sz w:val="18"/>
        </w:rPr>
        <w:t>https://pubmed.ncbi.nlm.nih.gov/42693458/</w:t>
      </w:r>
    </w:p>
    <w:p>
      <w:pPr>
        <w:pStyle w:val="Heading2"/>
      </w:pPr>
      <w:r>
        <w:t>Triglyzerid-Glukose-Frailty-Index zeigt stärkere Mortalitätsvorhersage als Insulinresistanzmarker</w:t>
      </w:r>
    </w:p>
    <w:p>
      <w:r>
        <w:rPr>
          <w:i/>
          <w:color w:val="666666"/>
          <w:sz w:val="18"/>
        </w:rPr>
        <w:t>Liu K et al.  ·  Cardiovasc Diabetol  ·  03.09.2026  ·  PMID 42693435</w:t>
      </w:r>
    </w:p>
    <w:p>
      <w:r>
        <w:t>Sekundäranalyse von 11.228 US-amerikanischen Erwachsenen (20–79 Jahre) aus NHANES 2001–2018: Vergleich des TyG-Frailty-Indexes (TyG-Index × Frailty-Index) mit konventionellen Insulinresistanzmarkern für kardiovaskuläre und Stoffwechselsyndrome sowie Mortalität über medianen Nachbeobachtungszeitraum von 90 Monaten.</w:t>
      </w:r>
    </w:p>
    <w:p>
      <w:r>
        <w:rPr>
          <w:b/>
        </w:rPr>
        <w:t xml:space="preserve">Ergebnis: </w:t>
      </w:r>
      <w:r>
        <w:t>TyG-FI-Quartil 4 vs. 1: fortgeschrittenes kardiovaskuläres-Nierenstoffwechsel-Syndrom OR=4,57 (95%-KI 3,50–5,99), kardiometabolische Multimorbidität OR=5,09 (95%-KI 2,83–9,16), Gesamtmortalität HR=3,90 (95%-KI 2,96–5,13), kardiovaskulär HR=5,82 (95%-KI 3,38–10,03). TyG-FI diskriminierte stärker als Vergleichsindizes, tiefere eGFR erklärte 16–27 % der Mortalitätsassoziation.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USA-NHANES-Daten, begrenzte Übertragbarkeit auf deutsches System, aber Validierungsfrage ist altersunabhängig</w:t>
      </w:r>
    </w:p>
    <w:p>
      <w:r>
        <w:rPr>
          <w:color w:val="5A7D3A"/>
          <w:sz w:val="18"/>
        </w:rPr>
        <w:t>https://pubmed.ncbi.nlm.nih.gov/42693435/</w:t>
      </w:r>
    </w:p>
    <w:p>
      <w:pPr>
        <w:pStyle w:val="Heading2"/>
      </w:pPr>
      <w:r>
        <w:t>Muskelarchitektur und Kraft: Altern beeinträchtigt Faszickelkinetik trotz lebenslangem Training</w:t>
      </w:r>
    </w:p>
    <w:p>
      <w:r>
        <w:rPr>
          <w:i/>
          <w:color w:val="666666"/>
          <w:sz w:val="18"/>
        </w:rPr>
        <w:t>Michely S et al.  ·  J Appl Physiol (1985)  ·  01.09.2026  ·  PMID 42518311</w:t>
      </w:r>
    </w:p>
    <w:p>
      <w:r>
        <w:t>Querschnittsstudie mit 172 Leistungssportlern im Alter 35–90 Jahren (68 % männlich): Ultraschallmessung der Wadenmuskulatur bei willkürlicher Maximalkontraktion; Analyse von Faszickellänge, Pennationswinkel, -rotation und -verlängerung.</w:t>
      </w:r>
    </w:p>
    <w:p>
      <w:r>
        <w:rPr>
          <w:b/>
        </w:rPr>
        <w:t xml:space="preserve">Ergebnis: </w:t>
      </w:r>
      <w:r>
        <w:t>Oberflächliche Faszickelrotation (Pennationswinkelveränderung) sank um 6,6±51,3 % pro Jahrzehnt (p=0,003), tiefe Rotation blieb stabil (p=0,27). Ruhefaszickellänge sank um 1,8±13,7 % pro Jahrzehnt (p=0,002). Achillessehnen-kraft fiel um 4,3±16,3 % pro Jahrzehnt (p&lt;0,001), unabhängig vom Geschlecht. Eliteathleten (&gt;85 % age grade) erhielten größere oberflächliche Rotation.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 Luft- und Raumfahrtforschung, vergleichbare Trainingsmethoden</w:t>
      </w:r>
    </w:p>
    <w:p>
      <w:r>
        <w:rPr>
          <w:color w:val="5A7D3A"/>
          <w:sz w:val="18"/>
        </w:rPr>
        <w:t>https://pubmed.ncbi.nlm.nih.gov/42518311/</w:t>
      </w:r>
    </w:p>
    <w:p>
      <w:pPr>
        <w:pStyle w:val="Heading2"/>
      </w:pPr>
      <w:r>
        <w:t>Soziale Frailty und Bildungsungleichheit: Sechs Ländervergleich mit 83.869 älteren Erwachsenen</w:t>
      </w:r>
    </w:p>
    <w:p>
      <w:r>
        <w:rPr>
          <w:i/>
          <w:color w:val="666666"/>
          <w:sz w:val="18"/>
        </w:rPr>
        <w:t>Xiang X et al.  ·  J Am Med Dir Assoc  ·  14.07.2026  ·  PMID 42447552</w:t>
      </w:r>
    </w:p>
    <w:p>
      <w:r>
        <w:t>Querschnittsanalyse aus sechs Längsschnittstudien in USA, England, Europa, Südkorea, Mexico und China mit 83.869 Personen ≥50 Jahren: Alter- und geschlechtsstandardisierte Prävalenz von sozialer Prefrailty und Frailty sowie Assoziation mit Bildungsabschlüssen.</w:t>
      </w:r>
    </w:p>
    <w:p>
      <w:r>
        <w:rPr>
          <w:b/>
        </w:rPr>
        <w:t xml:space="preserve">Ergebnis: </w:t>
      </w:r>
      <w:r>
        <w:t>Soziale Prefrailty 54,0–74,1 %, soziale Frailty 5,9–14,4 % je nach Land. Klare Bildungsstratifikation: mittlere vs. niedrige Bildung OR=0,72 (95%-KI 0,60–0,86) für Prefrailty und OR=0,54 (95%-KI 0,44–0,67) für Frailty; hohe Bildung OR=0,53 (95%-KI 0,36–0,78) bzw. OR=0,29 (95%-KI 0,17–0,51).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Mehrländer-Poolanalyse, europäische Länder dabei, aber heterogene Systeme</w:t>
      </w:r>
    </w:p>
    <w:p>
      <w:r>
        <w:rPr>
          <w:color w:val="5A7D3A"/>
          <w:sz w:val="18"/>
        </w:rPr>
        <w:t>https://pubmed.ncbi.nlm.nih.gov/42447552/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