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08.10.2026  |  7 Studien  |  longevity.m-vf.de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Hitzewellen gefährden geriatrische Versorgungspfade – Stresstest zeigt Systemfragmentierung</w:t>
      </w:r>
    </w:p>
    <w:p>
      <w:r>
        <w:rPr>
          <w:i/>
          <w:color w:val="666666"/>
          <w:sz w:val="18"/>
        </w:rPr>
        <w:t>Annweiler C et al.  ·  Geriatr Psychol Neuropsychiatr Vieil  ·  01.09.2026  ·  PMID 42842818</w:t>
      </w:r>
    </w:p>
    <w:p>
      <w:r>
        <w:t>Beobachtungsstudie zu Auswirkungen der Hitzewelle Juni/Juli 2026 auf akute geriatrische Stationen und Rehabilitationseinheiten in Frankreich mit Erfassung von Raumtemperaturen, Kapazitätsbelastung und organisatorischen Anpassungen.</w:t>
      </w:r>
    </w:p>
    <w:p>
      <w:r>
        <w:rPr>
          <w:b/>
        </w:rPr>
        <w:t xml:space="preserve">Ergebnis: </w:t>
      </w:r>
      <w:r>
        <w:t>45,5 % der Stationen meldeten zunächst unerträgliche Patientenzimmertemperaturen, 88,4 % Personalermüdung. Eine Woche später besserten sich die Akutsymptome (tolerable Temperaturen 53,6 % → 100 %, p&lt;0,001; Notaufnahmebelastung 91,1 % → 63,3 %, p&lt;0,001), doch die Downstream-Kapazität blieb kritisch: 87,5 % der Stationen meldeten unzureichende Rehabilitationskapazität, die sich nicht verbesserte (86,7 %, p=0,903). Gekürzte Räume und Geräte reduzierten Hitzekomplikationen. Das Hitzeereignis offenbarte ein bereits fragiles System mit persistenter Versorgungsfragmentierung.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deutsche Versorgung vergleichbar gefährdet; Klimaresilenz Gesundheitswesen zentrale Strategie</w:t>
      </w:r>
    </w:p>
    <w:p>
      <w:r>
        <w:rPr>
          <w:color w:val="5A7D3A"/>
          <w:sz w:val="18"/>
        </w:rPr>
        <w:t>https://pubmed.ncbi.nlm.nih.gov/42842818/</w:t>
      </w:r>
    </w:p>
    <w:p>
      <w:pPr>
        <w:pStyle w:val="Heading2"/>
      </w:pPr>
      <w:r>
        <w:t>Kohlenhydrat-Fett-Verhältnis positiv mit Gebrechlichkeit assoziiert – Ernährungsempfehlung für Ältere</w:t>
      </w:r>
    </w:p>
    <w:p>
      <w:r>
        <w:rPr>
          <w:i/>
          <w:color w:val="666666"/>
          <w:sz w:val="18"/>
        </w:rPr>
        <w:t>Nanri H et al.  ·  Eur J Nutr  ·  07.10.2026  ·  PMID 42841976</w:t>
      </w:r>
    </w:p>
    <w:p>
      <w:r>
        <w:t>Querschnittstudie an 5.679 älteren Japanern (≥65 Jahre) zur Assoziation des Kohlenhydrat-zu-Fett-Energieverh ältnisses (CFr) mit umfassender Gebrechlichkeit (Kihon-Checklist-Score ≥7) über multivariable logistische Regression mit Stratifizierung nach Proteinzufuhr.</w:t>
      </w:r>
    </w:p>
    <w:p>
      <w:r>
        <w:rPr>
          <w:b/>
        </w:rPr>
        <w:t xml:space="preserve">Ergebnis: </w:t>
      </w:r>
      <w:r>
        <w:t>30,0 % (1.705/5.679) zeigten umfassende Gebrechlichkeit. Adjustierte Odds-Ratios für höchstes CFr-Quartil vs. niedrigstes: 1,92 (95%-KI 1,55–2,38, p&lt;0,001). Dose-Wirkung-Beziehung linear über alle Geschlechter und Proteinzufuhr-Tertile, ohne Effektmodifikation. Höhere Kohlenhydrate bei moderater Fettreduktion assoziiert mit erhöhter Gebrechlichkeitsprä valenz, unabhängig von Proteinmenge.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Ernährungsepidemiologie; Qualität beschränkt auf Querschnitt ohne Kausalität</w:t>
      </w:r>
    </w:p>
    <w:p>
      <w:r>
        <w:rPr>
          <w:color w:val="5A7D3A"/>
          <w:sz w:val="18"/>
        </w:rPr>
        <w:t>https://pubmed.ncbi.nlm.nih.gov/42841976/</w:t>
      </w:r>
    </w:p>
    <w:p>
      <w:pPr>
        <w:pStyle w:val="Heading2"/>
      </w:pPr>
      <w:r>
        <w:t>Gebrechlichkeit vorhersagt prolongierte Hospitalisierung und schlechtere Outcomes nach Quadrizeps-Sehnenriss</w:t>
      </w:r>
    </w:p>
    <w:p>
      <w:r>
        <w:rPr>
          <w:i/>
          <w:color w:val="666666"/>
          <w:sz w:val="18"/>
        </w:rPr>
        <w:t>Ozdemir E et al.  ·  Ulus Travma Acil Cerrahi Derg  ·  Okt. 2026  ·  PMID 42841891</w:t>
      </w:r>
    </w:p>
    <w:p>
      <w:r>
        <w:t>Retrospektive multizentrische Kohortenstudie an 67 älteren Patienten (Mittelwert 57,5 Jahre) mit akutem Quadrizeps-Sehnenriss, bewertet mit modifiziertem Frailty Index (mFI-5) und Clinical Frailty Scale (CFS) zur Vorhersage von Aufenthaltsdauer und funktionaler Erholung (Lysholm-Score ≥12 Monate).</w:t>
      </w:r>
    </w:p>
    <w:p>
      <w:r>
        <w:rPr>
          <w:b/>
        </w:rPr>
        <w:t xml:space="preserve">Ergebnis: </w:t>
      </w:r>
      <w:r>
        <w:t>Höhere mFI-5-Scores waren mit prolongierter Hospitalisierungsdauer assoziiert (r=0,404, p&lt;0,001); jeder 1-Punkt-Anstieg sagte 1,26 Tage längeren Aufenthalt voraus (95%-KI 0,61–1,90; R²=0,337). CFS war unabhängig mit schlechterer Erholung verbunden: jeder 1-Punkt-Anstieg entsprach 4,32-Punkt-Reduktion im Lysholm-Score (95%-KI –6,98 bis –1,67; R²=0,163). Höchstes Risiko-Quartil zeigte 16,7× erhöhtes Mortalitätsrisiko.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Orthopädie-Versorgung vergleichbar; geriatrisches Assessment umsetzbar</w:t>
      </w:r>
    </w:p>
    <w:p>
      <w:r>
        <w:rPr>
          <w:color w:val="5A7D3A"/>
          <w:sz w:val="18"/>
        </w:rPr>
        <w:t>https://pubmed.ncbi.nlm.nih.gov/42841891/</w:t>
      </w:r>
    </w:p>
    <w:p>
      <w:pPr>
        <w:pStyle w:val="Heading2"/>
      </w:pPr>
      <w:r>
        <w:t>Biofeedback reduziert Schwindel-Beeinträchtigung im Alltag älterer Menschen</w:t>
      </w:r>
    </w:p>
    <w:p>
      <w:r>
        <w:rPr>
          <w:i/>
          <w:color w:val="666666"/>
          <w:sz w:val="18"/>
        </w:rPr>
        <w:t>Chiara B et al.  ·  Curr Aging Sci  ·  2026  ·  PMID 42841459</w:t>
      </w:r>
    </w:p>
    <w:p>
      <w:r>
        <w:t>Randomisierte kontrollierte Studie zur Wirksamkeit von Biofeedback-Training (Procomp Infinity) bei 190 älteren Ambulanzpatienten (&gt;65 Jahre) mit Schwindel über 3 Monate ohne Auffrischungssitzungen.</w:t>
      </w:r>
    </w:p>
    <w:p>
      <w:r>
        <w:rPr>
          <w:b/>
        </w:rPr>
        <w:t xml:space="preserve">Ergebnis: </w:t>
      </w:r>
      <w:r>
        <w:t>Repeated-ANOVA zeigte signifikante Reduktion der Dizziness-Handicap-Inventory(DHI)-Scores nach 3 Monaten in der Biofeedback-Gruppe; Patienten lernten durch Muskelentspannung und Atemkontrolle, die Symptome zu bewältigen und erlangten Selbstwirksamkeit. Die Intervention reduzierte die funktionalen Auswirkungen von Schwindel und Instabilität im alltäglichen Leben substanziell.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Methode kulturübergreifend übertragbar; Effektgröße in Abstract nicht quantifiziert</w:t>
      </w:r>
    </w:p>
    <w:p>
      <w:r>
        <w:rPr>
          <w:color w:val="5A7D3A"/>
          <w:sz w:val="18"/>
        </w:rPr>
        <w:t>https://pubmed.ncbi.nlm.nih.gov/42841459/</w:t>
      </w:r>
    </w:p>
    <w:p>
      <w:pPr>
        <w:pStyle w:val="Heading2"/>
      </w:pPr>
      <w:r>
        <w:t>Beschleunigtes Hirnaltern bei psychiatrischen und neurodegenerativen Störungen quantifiziert</w:t>
      </w:r>
    </w:p>
    <w:p>
      <w:r>
        <w:rPr>
          <w:i/>
          <w:color w:val="666666"/>
          <w:sz w:val="18"/>
        </w:rPr>
        <w:t>Gupta Y et al.  ·  Psychol Med  ·  07.10.2026  ·  PMID 42839301</w:t>
      </w:r>
    </w:p>
    <w:p>
      <w:r>
        <w:t>Lifespan-MRT-Studie an 25.425 Gesunden (Alter 2–95 Jahre) und 3.530 Patienten mit Schizophrenie, Depression, bipolarer Störung, ADHS, Substanzabhängigkeit, Alzheimer und FTD zur Bestimmung eines Brain-Predicted-Age-Difference (brain-PAD).</w:t>
      </w:r>
    </w:p>
    <w:p>
      <w:r>
        <w:rPr>
          <w:b/>
        </w:rPr>
        <w:t xml:space="preserve">Ergebnis: </w:t>
      </w:r>
      <w:r>
        <w:t>Modell erreichte mittleren absoluten Fehler von 5–7 Jahren. Signifikante Erhöhung von Δbrain-PAD bei Schizophrenie (+7,64 Jahre), FTD (+7,61), Alzheimer (+3,24), bipolarer Störung (+2,08), Depression (+2,76) und CSUD (+2,91 Jahre), nicht bei ADHS. Regionale Analysen zeigten gemeinsame und störungsspezifische morphometrische Alterationen. Effekt: Quantitativer Rahmen für Hirnaltern über Störungen hinweg, aber mechanistischer Versorgungsbezug fehlt.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Forschung; Mechanismus-Biomarker ohne Behandlungsendpunkt – begrenzte geriatrische Relevanz</w:t>
      </w:r>
    </w:p>
    <w:p>
      <w:r>
        <w:rPr>
          <w:color w:val="5A7D3A"/>
          <w:sz w:val="18"/>
        </w:rPr>
        <w:t>https://pubmed.ncbi.nlm.nih.gov/42839301/</w:t>
      </w:r>
    </w:p>
    <w:p>
      <w:pPr>
        <w:pStyle w:val="Heading2"/>
      </w:pPr>
      <w:r>
        <w:t>Dehnen verbessert Gelenkbeweglichkeit älterer Menschen, aber nicht isoliert funktionale Leistung</w:t>
      </w:r>
    </w:p>
    <w:p>
      <w:r>
        <w:rPr>
          <w:i/>
          <w:color w:val="666666"/>
          <w:sz w:val="18"/>
        </w:rPr>
        <w:t>Tenace D et al.  ·  Recenti Prog Med  ·  Okt. 2026  ·  PMID 42831708</w:t>
      </w:r>
    </w:p>
    <w:p>
      <w:r>
        <w:t>Narrative Literaturübersicht (PubMed, Scopus, Cochrane) zu Effektivität statischen, dynamischen Dehnens und propriozeptiver neuromuskulärer Fazilitation auf Beweglichkeit, Steifheit, Schmerz und funktionale Autonomie bei älteren Menschen.</w:t>
      </w:r>
    </w:p>
    <w:p>
      <w:r>
        <w:rPr>
          <w:b/>
        </w:rPr>
        <w:t xml:space="preserve">Ergebnis: </w:t>
      </w:r>
      <w:r>
        <w:t>Evidenz für Dehnen zeigt konsistente Gewinne bei Gelenkbeweglichkeit und Flexibilität; einige Studien berichten günstige Effekte auf wahrgenommene Steifheit und muskuloskelettale Schmerzen. Verbesserungen der Gesamtfunktion, Balance und Sturzprävention sind jedoch weniger konsistent. Fazit: Dehnen ist kein Monotherapie-Ansatz, sondern komplementäre Komponente in Multikomponenten-Programmen, am wirksamsten für Mobilitätsgewinne bei Menschen mit Ausgangsfunktionsverlust.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Evidenzlage europäisch dominiert, methodisch konsistent</w:t>
      </w:r>
    </w:p>
    <w:p>
      <w:r>
        <w:rPr>
          <w:color w:val="5A7D3A"/>
          <w:sz w:val="18"/>
        </w:rPr>
        <w:t>https://pubmed.ncbi.nlm.nih.gov/42831708/</w:t>
      </w:r>
    </w:p>
    <w:p>
      <w:pPr>
        <w:pStyle w:val="Heading2"/>
      </w:pPr>
      <w:r>
        <w:t>Resilienz ist häufige, aber nicht universelle Reaktion auf funktionalen Gesundheitsverlust im Alter</w:t>
      </w:r>
    </w:p>
    <w:p>
      <w:r>
        <w:rPr>
          <w:i/>
          <w:color w:val="666666"/>
          <w:sz w:val="18"/>
        </w:rPr>
        <w:t>Köhler T et al.  ·  Soc Sci Med  ·  29.08.2026  ·  PMID 42700481</w:t>
      </w:r>
    </w:p>
    <w:p>
      <w:r>
        <w:t>Growth-Mixture-Modelling-Analyse von SHARE-Daten zu Anpassungstrajektorien der Lebensqualität nach Beginn von Aktivitätseinschränkungen bei älteren Menschen (Match-Kontroll-Design für Kausalitätsattribution).</w:t>
      </w:r>
    </w:p>
    <w:p>
      <w:r>
        <w:rPr>
          <w:b/>
        </w:rPr>
        <w:t xml:space="preserve">Ergebnis: </w:t>
      </w:r>
      <w:r>
        <w:t>Bei Lebenszufriedenheit und Lebensqualität entstanden 3 Trajektorien mit Resilienz als Modalantwort (86,5 % bzw. 78,7 %); bei depressiven Symptomen 4 Trajektorien mit gleichen Anteilen resilient und chronisch (je 43,4 %). Stärkere Behinderung sagte Erholungstrajektorie voraus, vorbestehende Limitations und sozioökonomische Benachteiligung waren mit chronischen Pfaden assoziiert. Befund: Resilienz ist verbreitet, aber nicht uniform; multidimensionale Outcomes essentiell.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 (SHARE), deutsches Sozialversicherungssystem direkt übertragbar</w:t>
      </w:r>
    </w:p>
    <w:p>
      <w:r>
        <w:rPr>
          <w:color w:val="5A7D3A"/>
          <w:sz w:val="18"/>
        </w:rPr>
        <w:t>https://pubmed.ncbi.nlm.nih.gov/42700481/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