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Neueste Studien - Gesundes Altern und Longevity</w:t>
      </w:r>
    </w:p>
    <w:p>
      <w:r>
        <w:rPr>
          <w:i/>
          <w:color w:val="666666"/>
          <w:sz w:val="18"/>
        </w:rPr>
        <w:t>Stand: 15.10.2026  |  6 Studien  |  longevity.m-vf.de</w:t>
      </w:r>
    </w:p>
    <w:p>
      <w:pPr>
        <w:pStyle w:val="Heading1"/>
      </w:pPr>
      <w:r>
        <w:t>Aufgenommen am 15.10.2026</w:t>
      </w:r>
    </w:p>
    <w:p>
      <w:pPr>
        <w:pStyle w:val="Heading2"/>
      </w:pPr>
      <w:r>
        <w:t>Blutmetaboliten als Sterblichkeitsuhr: Beschleunigte Metabolomic-Alterung erhöht Mortalität um 60%</w:t>
      </w:r>
    </w:p>
    <w:p>
      <w:r>
        <w:rPr>
          <w:i/>
          <w:color w:val="666666"/>
          <w:sz w:val="18"/>
        </w:rPr>
        <w:t>Cao L et al.  ·  Sci Transl Med  ·  14.10.2026  ·  PMID 42873893</w:t>
      </w:r>
    </w:p>
    <w:p>
      <w:r>
        <w:t>Entwicklung von Metabolomic-Alterungsuhr (mAA) und Mortalitäts-Metrik (Age Deviation) an 18.476 Chinesen (Alter 1–96 Jahre) mittels Plasma-Metabolom-Profiling über 6 Jahre Nachbeobachtung (2019–2025).</w:t>
      </w:r>
    </w:p>
    <w:p>
      <w:r>
        <w:rPr>
          <w:b/>
        </w:rPr>
        <w:t xml:space="preserve">Ergebnis: </w:t>
      </w:r>
      <w:r>
        <w:t>56 altersassoziierte Metabolite wurden identifiziert. Höhere mAA war assoziiert mit Gesundheitsverschlechterung, ungünstigen Lebensstilen und erhöhtem Risiko für chronische Erkrankungen (Fettleber, Hypertonie, Diabetes) sowie All-Cause-Mortalität während Follow-up. Age Deviation (Abweichung vom alterserwarteten Mortalitätsrisiko) korrelierte mit etablierten Gesundheitsmessgrößen und Multimorbidität. Plasma-Metabolomic-Profile könnten als skalierbare, lebensumfassende Methode zur Risikoschichtung verwendet werden.</w:t>
      </w:r>
    </w:p>
    <w:p>
      <w:r>
        <w:rPr>
          <w:b/>
          <w:sz w:val="19"/>
        </w:rPr>
        <w:t xml:space="preserve">Übertragbarkeit: </w:t>
      </w:r>
      <w:r>
        <w:rPr>
          <w:sz w:val="19"/>
        </w:rPr>
        <w:t>China; Metabolomic-Biomarker erfordern Validierung in europäischen Kohorten</w:t>
      </w:r>
    </w:p>
    <w:p>
      <w:r>
        <w:rPr>
          <w:color w:val="5A7D3A"/>
          <w:sz w:val="18"/>
        </w:rPr>
        <w:t>https://pubmed.ncbi.nlm.nih.gov/42873893/</w:t>
      </w:r>
    </w:p>
    <w:p>
      <w:pPr>
        <w:pStyle w:val="Heading2"/>
      </w:pPr>
      <w:r>
        <w:t>Frailty und Hypoalbuminämie als Prädiktoren für Funktionsverlust nach Schlaganfall</w:t>
      </w:r>
    </w:p>
    <w:p>
      <w:r>
        <w:rPr>
          <w:i/>
          <w:color w:val="666666"/>
          <w:sz w:val="18"/>
        </w:rPr>
        <w:t>Yang J et al.  ·  Nurs Open  ·  Okt. 2026  ·  PMID 42872623</w:t>
      </w:r>
    </w:p>
    <w:p>
      <w:r>
        <w:t>Prospektive Kohortenstudie an 175 Schlaganfallpatienten, die untersuchte, ob Hypoalbuminämie die Beziehung zwischen Gebrechlichkeit und schlechtem funktionellem Outcome vermittelt.</w:t>
      </w:r>
    </w:p>
    <w:p>
      <w:r>
        <w:rPr>
          <w:b/>
        </w:rPr>
        <w:t xml:space="preserve">Ergebnis: </w:t>
      </w:r>
      <w:r>
        <w:t>Von 175 Patienten waren 29,7% gebrechlich und 36,6% entwickelten Hypoalbuminämie. Gebrechlichkeit war assoziiert mit schlechtem Outcome (mRS &gt;3) bei Entlassung (RR 1,56; 95% KI 1,12–2,16), nach 30 Tagen (RR 2,02; 95% KI 1,41–2,89) und nach 90 Tagen (RR 2,79; 95% KI 1,81–4,30). Hypoalbuminämie vermittelte diese Assoziation teilweise mit Anteilen von 22,2% (Entlassung), 16,9% (30 Tage) und 14,0% (90 Tage). Das Frailty-Screening und Albuminmonitoring können frühe Risikostratifizierung ermöglichen.</w:t>
      </w:r>
    </w:p>
    <w:p>
      <w:r>
        <w:rPr>
          <w:b/>
          <w:sz w:val="19"/>
        </w:rPr>
        <w:t xml:space="preserve">Übertragbarkeit: </w:t>
      </w:r>
      <w:r>
        <w:rPr>
          <w:sz w:val="19"/>
        </w:rPr>
        <w:t>China-Daten, aber Frailty-Assessment und Ernährungsmonitoring sind universal anwendbar</w:t>
      </w:r>
    </w:p>
    <w:p>
      <w:r>
        <w:rPr>
          <w:color w:val="5A7D3A"/>
          <w:sz w:val="18"/>
        </w:rPr>
        <w:t>https://pubmed.ncbi.nlm.nih.gov/42872623/</w:t>
      </w:r>
    </w:p>
    <w:p>
      <w:pPr>
        <w:pStyle w:val="Heading2"/>
      </w:pPr>
      <w:r>
        <w:t>Neurotoxische Berufsexpositionen beschleunigen Gehirnalterung: Scoping Review zu Kognitiver Reserve</w:t>
      </w:r>
    </w:p>
    <w:p>
      <w:r>
        <w:rPr>
          <w:i/>
          <w:color w:val="666666"/>
          <w:sz w:val="18"/>
        </w:rPr>
        <w:t>Leton N et al.  ·  Front Public Health  ·  29.09.2026  ·  PMID 42871458</w:t>
      </w:r>
    </w:p>
    <w:p>
      <w:r>
        <w:t>Systematische Scoping Review (16 Studien, 2011–2026) zur Assoziation beruflicher Neurotoxinexpositionen (Blei, Aluminium, Lösungsmittel) mit kognitiven Defiziten und Gehirnalterung.</w:t>
      </w:r>
    </w:p>
    <w:p>
      <w:r>
        <w:rPr>
          <w:b/>
        </w:rPr>
        <w:t xml:space="preserve">Ergebnis: </w:t>
      </w:r>
      <w:r>
        <w:t>Studien zeigten durchgehend Assoziationen zwischen Exposition (Blei, Lösungsmittel, Verbrennungsprodukte) und kognitiven oder neurologischen Defiziten relevant für Gehirnalterung. Häufigste Outcomes: Kognitive Abnahme/Beeinträchtigung; Neuroimaging-Befunde: funktionelle Konnektivität, Weiße-Substanz-Veränderungen, kortikale Dicke und Hirnvolumenreduktion. Kognitive Reserve wurde inkonsistent operationalisiert (Bildung, biologische Anfälligkeit, Neuroimaging-Marker). China war am häufigsten vertreten, Evidenz aus anderen ressourcenlimitierten Regionen begrenzt.</w:t>
      </w:r>
    </w:p>
    <w:p>
      <w:r>
        <w:rPr>
          <w:b/>
          <w:sz w:val="19"/>
        </w:rPr>
        <w:t xml:space="preserve">Übertragbarkeit: </w:t>
      </w:r>
      <w:r>
        <w:rPr>
          <w:sz w:val="19"/>
        </w:rPr>
        <w:t>Internationale Berufsgesundheit; Deutschland mit vergleichbarer Expositionserfassung</w:t>
      </w:r>
    </w:p>
    <w:p>
      <w:r>
        <w:rPr>
          <w:color w:val="5A7D3A"/>
          <w:sz w:val="18"/>
        </w:rPr>
        <w:t>https://pubmed.ncbi.nlm.nih.gov/42871458/</w:t>
      </w:r>
    </w:p>
    <w:p>
      <w:pPr>
        <w:pStyle w:val="Heading2"/>
      </w:pPr>
      <w:r>
        <w:t>Altersstigma fördert Depression im Alter: Soziale Unterstützung als Schutzfaktor</w:t>
      </w:r>
    </w:p>
    <w:p>
      <w:r>
        <w:rPr>
          <w:i/>
          <w:color w:val="666666"/>
          <w:sz w:val="18"/>
        </w:rPr>
        <w:t>Karasoy G et al.  ·  Psychogeriatrics  ·  Nov. 2026  ·  PMID 42870687</w:t>
      </w:r>
    </w:p>
    <w:p>
      <w:r>
        <w:t>Querschnittstudie an 162 Personen ab 65 Jahren zur Assoziation von internalisiertem Altersstigma und wahrgenommener sozialer Unterstützung mit depressiven Symptomen.</w:t>
      </w:r>
    </w:p>
    <w:p>
      <w:r>
        <w:rPr>
          <w:b/>
        </w:rPr>
        <w:t xml:space="preserve">Ergebnis: </w:t>
      </w:r>
      <w:r>
        <w:t>Höheres Altersstigma war assoziiert mit höheren depressiven Symptomen (β=0,205; 95% KI 0,099–0,311), höhere soziale Unterstützung mit niedrigeren Symptomen (β=−0,506; 95% KI −0,636 bis −0,375). Die Interaktion war signifikant (B=−0,002; 95% KI −0,003 bis −0,001; p&lt;0,001): Altersstigma war nur bei niedriger bis mittlerer sozialer Unterstützung mit Depression assoziiert, nicht bei hoher Unterstützung. Soziale Ressourcen puffern den negativen Effekt von Altersstereotypen.</w:t>
      </w:r>
    </w:p>
    <w:p>
      <w:r>
        <w:rPr>
          <w:b/>
          <w:sz w:val="19"/>
        </w:rPr>
        <w:t xml:space="preserve">Übertragbarkeit: </w:t>
      </w:r>
      <w:r>
        <w:rPr>
          <w:sz w:val="19"/>
        </w:rPr>
        <w:t>Türkei; Psychosoziale Mechanismen universal, aber Sozialversicherung unterschiedlich</w:t>
      </w:r>
    </w:p>
    <w:p>
      <w:r>
        <w:rPr>
          <w:color w:val="5A7D3A"/>
          <w:sz w:val="18"/>
        </w:rPr>
        <w:t>https://pubmed.ncbi.nlm.nih.gov/42870687/</w:t>
      </w:r>
    </w:p>
    <w:p>
      <w:pPr>
        <w:pStyle w:val="Heading2"/>
      </w:pPr>
      <w:r>
        <w:t>Sozioräumliche Ungleichheit und vorzeitige Alterung: Schwarze Amerikaner mit 5- bis 6-fach höherer Exposition</w:t>
      </w:r>
    </w:p>
    <w:p>
      <w:r>
        <w:rPr>
          <w:i/>
          <w:color w:val="666666"/>
          <w:sz w:val="18"/>
        </w:rPr>
        <w:t>Martin CL et al.  ·  J Gerontol B Psychol Sci Soc Sci  ·  01.10.2026  ·  PMID 42837511</w:t>
      </w:r>
    </w:p>
    <w:p>
      <w:r>
        <w:t>Analyse der National Longitudinal Study of Adolescent to Adult Health (Add Health), die umfangreiche, zeitvariable sozioräumliche Indikatoren (Wohnen, Justiz, Gewalt, Wirtschaft) mit geografischen Ebenen verknüpfte, um Altersungleichheiten vom Jugendalter (12–20 Jahre) bis ins frühe mittlere Alter (33–42 Jahre) zu dokumentieren.</w:t>
      </w:r>
    </w:p>
    <w:p>
      <w:r>
        <w:rPr>
          <w:b/>
        </w:rPr>
        <w:t xml:space="preserve">Ergebnis: </w:t>
      </w:r>
      <w:r>
        <w:t>Erhebliche und persistente Black-White-Disparitäten über alle Bereiche hinweg: Schwarze Befragte lebten signifikant häufiger in Counties mit höherer Zwangsräumungsquote, ökonomischer Segregation, höherer Haftquote und mehr Hate-Crime-Vorfällen. Schwarze Befragte lebten zudem in Bundesstaaten mit höherer historischer Lynchjustiz-Gewalt. Diese Messungen ermöglichen die Identifikation von Life-Course-Pfaden gesundheitlicher Ungleichheit.</w:t>
      </w:r>
    </w:p>
    <w:p>
      <w:r>
        <w:rPr>
          <w:b/>
          <w:sz w:val="19"/>
        </w:rPr>
        <w:t xml:space="preserve">Übertragbarkeit: </w:t>
      </w:r>
      <w:r>
        <w:rPr>
          <w:sz w:val="19"/>
        </w:rPr>
        <w:t>USA-Studie; Konzept der strukturellen Determinanten auf DACH übertragbar, aber Ausprägung völlig anders</w:t>
      </w:r>
    </w:p>
    <w:p>
      <w:r>
        <w:rPr>
          <w:color w:val="5A7D3A"/>
          <w:sz w:val="18"/>
        </w:rPr>
        <w:t>https://pubmed.ncbi.nlm.nih.gov/42837511/</w:t>
      </w:r>
    </w:p>
    <w:p>
      <w:pPr>
        <w:pStyle w:val="Heading2"/>
      </w:pPr>
      <w:r>
        <w:t>Geschlechtsspezifische Osteoporose-Progression: Knochendichteverlust ab 56 Jahren bei Männern, ab 64 Jahren bei Frauen</w:t>
      </w:r>
    </w:p>
    <w:p>
      <w:r>
        <w:rPr>
          <w:i/>
          <w:color w:val="666666"/>
          <w:sz w:val="18"/>
        </w:rPr>
        <w:t>Schröder G et al.  ·  PLoS One  ·  28.09.2026  ·  PMID 42804446</w:t>
      </w:r>
    </w:p>
    <w:p>
      <w:r>
        <w:t>Retrospektive Analyse von 71 CT-Aufnahmen der Wirbelsäule (C3–L5, Alter 4–102 Jahre) zur Quantifizierung altersbezogener Knochendichteverluste.</w:t>
      </w:r>
    </w:p>
    <w:p>
      <w:r>
        <w:rPr>
          <w:b/>
        </w:rPr>
        <w:t xml:space="preserve">Ergebnis: </w:t>
      </w:r>
      <w:r>
        <w:t>Hounsfield-Einheiten (HU) nahmen mit dem Alter ab (p&lt;0,001), mit ausgeprägtem Rückgang nach dem 60. Lebensjahr. Regressionsanalysen zeigten zwei Phasen des Dichteverlusts: bei Frauen später eintretend (nach 64 Jahren) als bei Männern (nach 56 Jahren, p&lt;0,001). HU-Werte korrelierten mit Knochenmineraldichte (r=0,86; 95% KI 0,72–0,94) und Knochenvolumenanteil (r=0,51; 95% KI 0,17–0,75). Ergebnisse unterstreichen Bedarf für geschlechtsspezifische Osteoporose-Prävention.</w:t>
      </w:r>
    </w:p>
    <w:p>
      <w:r>
        <w:rPr>
          <w:b/>
          <w:sz w:val="19"/>
        </w:rPr>
        <w:t xml:space="preserve">Übertragbarkeit: </w:t>
      </w:r>
      <w:r>
        <w:rPr>
          <w:sz w:val="19"/>
        </w:rPr>
        <w:t>Deutsche Kliniken mit CT-Daten vergleichbar; Altersgradienten international übertragbar</w:t>
      </w:r>
    </w:p>
    <w:p>
      <w:r>
        <w:rPr>
          <w:color w:val="5A7D3A"/>
          <w:sz w:val="18"/>
        </w:rPr>
        <w:t>https://pubmed.ncbi.nlm.nih.gov/42804446/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Neueste Studien - Gesundes Altern und Longevity</dc:title>
  <dc:subject/>
  <dc:creator>Monitor Versorgungsforschung</dc:creator>
  <cp:keywords/>
  <dc:description>generated by python-docx</dc:description>
  <cp:lastModifiedBy/>
  <cp:revision>1</cp:revision>
  <dcterms:created xsi:type="dcterms:W3CDTF">2026-10-15T06:00:00Z</dcterms:created>
  <dcterms:modified xsi:type="dcterms:W3CDTF">2026-10-15T06:00:00Z</dcterms:modified>
  <cp:category/>
</cp:coreProperties>
</file>