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15.09.2026  |  5 Studien  |  longevity.m-vf.de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Loneliness und Benzodiazepine: Assoziationen bei älteren Kanadiern</w:t>
      </w:r>
    </w:p>
    <w:p>
      <w:r>
        <w:rPr>
          <w:i/>
          <w:color w:val="666666"/>
          <w:sz w:val="18"/>
        </w:rPr>
        <w:t>Watt JA et al.  ·  Age Ageing  ·  04.09.2026  ·  PMID 42735388</w:t>
      </w:r>
    </w:p>
    <w:p>
      <w:r>
        <w:t>Querschnittsstudie mit prospektiver Kohortennachbeobachtung (kanadische Longitudinal Study on Aging) zum Zusammenhang zwischen Einsamkeit und neuem Medikamentengebrauch (Benzodiazepine, Opioide).</w:t>
      </w:r>
    </w:p>
    <w:p>
      <w:r>
        <w:rPr>
          <w:b/>
        </w:rPr>
        <w:t xml:space="preserve">Ergebnis: </w:t>
      </w:r>
      <w:r>
        <w:t>Von 29.976 Teilnehmern waren 10,8% einsam. Einsame Teilnehmer hatten höhere Quote neuer Benzodiazepinnutzung (aOR 1,94, 95%-KI 1,47–2,57) und Opioidnutzung (aOR 1,43, 95%-KI 1,05–1,93) als nicht einsame. Einsamkeit blieb mit Benzodiazepinen assoziiert nach Adjustierung für Stimmungs- und Angststörungen. Multimodale Interventionen gegen Einsamkeit könnten Deprescribing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vergleichbares Sozialversicherungssystem, hohe Relevanz für deutsche Versorgung</w:t>
      </w:r>
    </w:p>
    <w:p>
      <w:r>
        <w:rPr>
          <w:color w:val="5A7D3A"/>
          <w:sz w:val="18"/>
        </w:rPr>
        <w:t>https://pubmed.ncbi.nlm.nih.gov/42735388/</w:t>
      </w:r>
    </w:p>
    <w:p>
      <w:pPr>
        <w:pStyle w:val="Heading2"/>
      </w:pPr>
      <w:r>
        <w:t>Schweregrad der Frailty: Schwellen und minimale klinisch relevante Unterschiede</w:t>
      </w:r>
    </w:p>
    <w:p>
      <w:r>
        <w:rPr>
          <w:i/>
          <w:color w:val="666666"/>
          <w:sz w:val="18"/>
        </w:rPr>
        <w:t>Álvarez-Bustos A et al.  ·  Age Ageing  ·  04.09.2026  ·  PMID 42735387</w:t>
      </w:r>
    </w:p>
    <w:p>
      <w:r>
        <w:t>Prospektive Kohortenstudie (n=1.811, Alter ≥65 Jahre) zur Validation der Frailty Trait Scale (FTS) mit Outcomes Behinderung, Hospitalisierung und Mortalität.</w:t>
      </w:r>
    </w:p>
    <w:p>
      <w:r>
        <w:rPr>
          <w:b/>
        </w:rPr>
        <w:t xml:space="preserve">Ergebnis: </w:t>
      </w:r>
      <w:r>
        <w:t>Dosis-Wirkungs-Beziehung zwischen Frailty-Score und allen Outcomes mit unterschiedlichen Schwellen: Behinderungsrisiko ab 25/100 FTS, Hospitalisierung ab 40/100, Mortalität ab 50/100. Reductions in FTS-Scores ≥10,3 schützten vor Hospitalisierung (HR 0,74, 95%-KI 0,56–0,99) und ≥4,5 vor Mortalität (HR 0,65, 95%-KI 0,45–0,95). Tool überwindet Grenzen klassischer Assessment-Instrumente.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europäisches Sozialversicherungssystem und Altersstruktur</w:t>
      </w:r>
    </w:p>
    <w:p>
      <w:r>
        <w:rPr>
          <w:color w:val="5A7D3A"/>
          <w:sz w:val="18"/>
        </w:rPr>
        <w:t>https://pubmed.ncbi.nlm.nih.gov/42735387/</w:t>
      </w:r>
    </w:p>
    <w:p>
      <w:pPr>
        <w:pStyle w:val="Heading2"/>
      </w:pPr>
      <w:r>
        <w:t>Internet-Nutzung und kognitive Funktionsfähigkeit: Effekt bei älteren Erwachsenen während COVID-19</w:t>
      </w:r>
    </w:p>
    <w:p>
      <w:r>
        <w:rPr>
          <w:i/>
          <w:color w:val="666666"/>
          <w:sz w:val="18"/>
        </w:rPr>
        <w:t>Xu J et al.  ·  Arch Clin Neuropsychol  ·  09.09.2026  ·  PMID 42734926</w:t>
      </w:r>
    </w:p>
    <w:p>
      <w:r>
        <w:t>Längsschnittstudie (China Health and Retirement Longitudinal Study, n=3.346 Baseline-Offline-Nutzer, davon 1.699 neue Internet-Adopter) zu kognitiven und depressiven Veränderungen nach Internetadoption.</w:t>
      </w:r>
    </w:p>
    <w:p>
      <w:r>
        <w:rPr>
          <w:b/>
        </w:rPr>
        <w:t xml:space="preserve">Ergebnis: </w:t>
      </w:r>
      <w:r>
        <w:t>Neue Internet-Adoption war assoziiert mit stärkerer Zunahme der kognitiven Funktion (10-Punkt MMSE-Score β=0,28, 95%-KI 0,11–0,44, p&lt;0,001) gegenüber konstanter Nicht-Nutzung. Effekt blieb in Sensitivitätsanalysen stabil. Keine signifikante Assoziation mit depressiven Symptomveränderungen (β=-0,18, p=0,40). Digital inclusion relevant für kognitive Gesundheit älterer Erwachsener.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andere Altersstruktur und Digitalisierungskontext; kognitiver Effekt kulturunabhängig wahrscheinlich</w:t>
      </w:r>
    </w:p>
    <w:p>
      <w:r>
        <w:rPr>
          <w:color w:val="5A7D3A"/>
          <w:sz w:val="18"/>
        </w:rPr>
        <w:t>https://pubmed.ncbi.nlm.nih.gov/42734926/</w:t>
      </w:r>
    </w:p>
    <w:p>
      <w:pPr>
        <w:pStyle w:val="Heading2"/>
      </w:pPr>
      <w:r>
        <w:t>Frailty-Konzept in der Patientenkommunikation: kreative Beteiligungsmethoden</w:t>
      </w:r>
    </w:p>
    <w:p>
      <w:r>
        <w:rPr>
          <w:i/>
          <w:color w:val="666666"/>
          <w:sz w:val="18"/>
        </w:rPr>
        <w:t>Lammons W et al.  ·  Health Expect  ·  Okt. 2026  ·  PMID 42734162</w:t>
      </w:r>
    </w:p>
    <w:p>
      <w:r>
        <w:t>Qualitative Studie mit 3 kreativen Public-Involvement-Workshops (Gedichte, Quilting, n=22) zur Exploration von Patientenperspektiven auf Gebrechlichkeit und Patientenkommunikation.</w:t>
      </w:r>
    </w:p>
    <w:p>
      <w:r>
        <w:rPr>
          <w:b/>
        </w:rPr>
        <w:t xml:space="preserve">Ergebnis: </w:t>
      </w:r>
      <w:r>
        <w:t>Partizipanten kritisierten Begriff 'Frailty' als stigmatisierend und ungenau; forderten personalisierte, erfahrungsorientierte Kommunikation. Themen: Schwierigkeiten mit Frailty-Begriff, Personalisierung in Patientengesprächsen, Zeitdruck im Gesundheitswesen. Kreative Methoden ermöglichten nicht-diskursiven Zugang zu kontroversen Konzepten, verbesserten Topic Guide und Datenanalyse der Forschung.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NHS-System; patientenzentrierte Versorgungsfragen gelten länderübergreifend</w:t>
      </w:r>
    </w:p>
    <w:p>
      <w:r>
        <w:rPr>
          <w:color w:val="5A7D3A"/>
          <w:sz w:val="18"/>
        </w:rPr>
        <w:t>https://pubmed.ncbi.nlm.nih.gov/42734162/</w:t>
      </w:r>
    </w:p>
    <w:p>
      <w:pPr>
        <w:pStyle w:val="Heading2"/>
      </w:pPr>
      <w:r>
        <w:t>Lebenserwartung USA 2024: Zuwächse nach Rückgang in Vorjahren</w:t>
      </w:r>
    </w:p>
    <w:p>
      <w:r>
        <w:rPr>
          <w:i/>
          <w:color w:val="666666"/>
          <w:sz w:val="18"/>
        </w:rPr>
        <w:t>Arias E et al.  ·  Natl Vital Stat Rep  ·  Aug. 2026  ·  PMID 42727234</w:t>
      </w:r>
    </w:p>
    <w:p>
      <w:r>
        <w:t>Amtliche amerikanische Sterbetafel basierend auf 2024-Mortalitätsdaten; Gesamtpopulation und stratifiziert nach Ethnie, Rasse und Geschlecht.</w:t>
      </w:r>
    </w:p>
    <w:p>
      <w:r>
        <w:rPr>
          <w:b/>
        </w:rPr>
        <w:t xml:space="preserve">Ergebnis: </w:t>
      </w:r>
      <w:r>
        <w:t>Gesamtlebenserwartung bei Geburt 79,0 Jahre (+0,6 vs. 2023). Männer +0,7 Jahre (75,8→76,5), Frauen +0,3 Jahre (81,1→81,4). Nach Ethnie: American Indian/Alaska Native +1,0 (70,1→71,1), Black +0,8 (74,0→74,8), Asian +0,6 (85,2→85,8), Hispanic +0,5 (81,3→81,8), White +0,5 (78,4→78,9). Fortsetzung des Wiederaufwärts-Trends nach COVID-19-Dip.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grundlegend andere Finanzierungsstruktur des Gesundheitswesens; Trend-Aussage transnational relevant</w:t>
      </w:r>
    </w:p>
    <w:p>
      <w:r>
        <w:rPr>
          <w:color w:val="5A7D3A"/>
          <w:sz w:val="18"/>
        </w:rPr>
        <w:t>https://pubmed.ncbi.nlm.nih.gov/42727234/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