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Gesundes Altern und Longevity</w:t>
      </w:r>
    </w:p>
    <w:p>
      <w:r>
        <w:rPr>
          <w:i/>
          <w:color w:val="666666"/>
          <w:sz w:val="18"/>
        </w:rPr>
        <w:t>Stand: 15.09.2026  |  145 Studien  |  longevity.m-vf.de</w:t>
      </w:r>
    </w:p>
    <w:p>
      <w:pPr>
        <w:pStyle w:val="Heading1"/>
      </w:pPr>
      <w:r>
        <w:t>Aufgenommen am 15.09.2026</w:t>
      </w:r>
    </w:p>
    <w:p>
      <w:pPr>
        <w:pStyle w:val="Heading2"/>
      </w:pPr>
      <w:r>
        <w:t>Loneliness und Benzodiazepine: Assoziationen bei älteren Kanadiern</w:t>
      </w:r>
    </w:p>
    <w:p>
      <w:r>
        <w:rPr>
          <w:i/>
          <w:color w:val="666666"/>
          <w:sz w:val="18"/>
        </w:rPr>
        <w:t>Watt JA et al.  ·  Age Ageing  ·  04.09.2026  ·  PMID 42735388</w:t>
      </w:r>
    </w:p>
    <w:p>
      <w:r>
        <w:t>Querschnittsstudie mit prospektiver Kohortennachbeobachtung (kanadische Longitudinal Study on Aging) zum Zusammenhang zwischen Einsamkeit und neuem Medikamentengebrauch (Benzodiazepine, Opioide).</w:t>
      </w:r>
    </w:p>
    <w:p>
      <w:r>
        <w:rPr>
          <w:b/>
        </w:rPr>
        <w:t xml:space="preserve">Ergebnis: </w:t>
      </w:r>
      <w:r>
        <w:t>Von 29.976 Teilnehmern waren 10,8% einsam. Einsame Teilnehmer hatten höhere Quote neuer Benzodiazepinnutzung (aOR 1,94, 95%-KI 1,47–2,57) und Opioidnutzung (aOR 1,43, 95%-KI 1,05–1,93) als nicht einsame. Einsamkeit blieb mit Benzodiazepinen assoziiert nach Adjustierung für Stimmungs- und Angststörungen. Multimodale Interventionen gegen Einsamkeit könnten Deprescribing unterstützen.</w:t>
      </w:r>
    </w:p>
    <w:p>
      <w:r>
        <w:rPr>
          <w:b/>
          <w:sz w:val="19"/>
        </w:rPr>
        <w:t xml:space="preserve">Übertragbarkeit: </w:t>
      </w:r>
      <w:r>
        <w:rPr>
          <w:sz w:val="19"/>
        </w:rPr>
        <w:t>Kanada, vergleichbares Sozialversicherungssystem, hohe Relevanz für deutsche Versorgung</w:t>
      </w:r>
    </w:p>
    <w:p>
      <w:r>
        <w:rPr>
          <w:color w:val="5A7D3A"/>
          <w:sz w:val="18"/>
        </w:rPr>
        <w:t>https://pubmed.ncbi.nlm.nih.gov/42735388/</w:t>
      </w:r>
    </w:p>
    <w:p>
      <w:pPr>
        <w:pStyle w:val="Heading2"/>
      </w:pPr>
      <w:r>
        <w:t>Schweregrad der Frailty: Schwellen und minimale klinisch relevante Unterschiede</w:t>
      </w:r>
    </w:p>
    <w:p>
      <w:r>
        <w:rPr>
          <w:i/>
          <w:color w:val="666666"/>
          <w:sz w:val="18"/>
        </w:rPr>
        <w:t>Álvarez-Bustos A et al.  ·  Age Ageing  ·  04.09.2026  ·  PMID 42735387</w:t>
      </w:r>
    </w:p>
    <w:p>
      <w:r>
        <w:t>Prospektive Kohortenstudie (n=1.811, Alter ≥65 Jahre) zur Validation der Frailty Trait Scale (FTS) mit Outcomes Behinderung, Hospitalisierung und Mortalität.</w:t>
      </w:r>
    </w:p>
    <w:p>
      <w:r>
        <w:rPr>
          <w:b/>
        </w:rPr>
        <w:t xml:space="preserve">Ergebnis: </w:t>
      </w:r>
      <w:r>
        <w:t>Dosis-Wirkungs-Beziehung zwischen Frailty-Score und allen Outcomes mit unterschiedlichen Schwellen: Behinderungsrisiko ab 25/100 FTS, Hospitalisierung ab 40/100, Mortalität ab 50/100. Reductions in FTS-Scores ≥10,3 schützten vor Hospitalisierung (HR 0,74, 95%-KI 0,56–0,99) und ≥4,5 vor Mortalität (HR 0,65, 95%-KI 0,45–0,95). Tool überwindet Grenzen klassischer Assessment-Instrumente.</w:t>
      </w:r>
    </w:p>
    <w:p>
      <w:r>
        <w:rPr>
          <w:b/>
          <w:sz w:val="19"/>
        </w:rPr>
        <w:t xml:space="preserve">Übertragbarkeit: </w:t>
      </w:r>
      <w:r>
        <w:rPr>
          <w:sz w:val="19"/>
        </w:rPr>
        <w:t>Spanien, vergleichbares europäisches Sozialversicherungssystem und Altersstruktur</w:t>
      </w:r>
    </w:p>
    <w:p>
      <w:r>
        <w:rPr>
          <w:color w:val="5A7D3A"/>
          <w:sz w:val="18"/>
        </w:rPr>
        <w:t>https://pubmed.ncbi.nlm.nih.gov/42735387/</w:t>
      </w:r>
    </w:p>
    <w:p>
      <w:pPr>
        <w:pStyle w:val="Heading2"/>
      </w:pPr>
      <w:r>
        <w:t>Internet-Nutzung und kognitive Funktionsfähigkeit: Effekt bei älteren Erwachsenen während COVID-19</w:t>
      </w:r>
    </w:p>
    <w:p>
      <w:r>
        <w:rPr>
          <w:i/>
          <w:color w:val="666666"/>
          <w:sz w:val="18"/>
        </w:rPr>
        <w:t>Xu J et al.  ·  Arch Clin Neuropsychol  ·  09.09.2026  ·  PMID 42734926</w:t>
      </w:r>
    </w:p>
    <w:p>
      <w:r>
        <w:t>Längsschnittstudie (China Health and Retirement Longitudinal Study, n=3.346 Baseline-Offline-Nutzer, davon 1.699 neue Internet-Adopter) zu kognitiven und depressiven Veränderungen nach Internetadoption.</w:t>
      </w:r>
    </w:p>
    <w:p>
      <w:r>
        <w:rPr>
          <w:b/>
        </w:rPr>
        <w:t xml:space="preserve">Ergebnis: </w:t>
      </w:r>
      <w:r>
        <w:t>Neue Internet-Adoption war assoziiert mit stärkerer Zunahme der kognitiven Funktion (10-Punkt MMSE-Score β=0,28, 95%-KI 0,11–0,44, p&lt;0,001) gegenüber konstanter Nicht-Nutzung. Effekt blieb in Sensitivitätsanalysen stabil. Keine signifikante Assoziation mit depressiven Symptomveränderungen (β=-0,18, p=0,40). Digital inclusion relevant für kognitive Gesundheit älterer Erwachsener.</w:t>
      </w:r>
    </w:p>
    <w:p>
      <w:r>
        <w:rPr>
          <w:b/>
          <w:sz w:val="19"/>
        </w:rPr>
        <w:t xml:space="preserve">Übertragbarkeit: </w:t>
      </w:r>
      <w:r>
        <w:rPr>
          <w:sz w:val="19"/>
        </w:rPr>
        <w:t>China, andere Altersstruktur und Digitalisierungskontext; kognitiver Effekt kulturunabhängig wahrscheinlich</w:t>
      </w:r>
    </w:p>
    <w:p>
      <w:r>
        <w:rPr>
          <w:color w:val="5A7D3A"/>
          <w:sz w:val="18"/>
        </w:rPr>
        <w:t>https://pubmed.ncbi.nlm.nih.gov/42734926/</w:t>
      </w:r>
    </w:p>
    <w:p>
      <w:pPr>
        <w:pStyle w:val="Heading2"/>
      </w:pPr>
      <w:r>
        <w:t>Frailty-Konzept in der Patientenkommunikation: kreative Beteiligungsmethoden</w:t>
      </w:r>
    </w:p>
    <w:p>
      <w:r>
        <w:rPr>
          <w:i/>
          <w:color w:val="666666"/>
          <w:sz w:val="18"/>
        </w:rPr>
        <w:t>Lammons W et al.  ·  Health Expect  ·  Okt. 2026  ·  PMID 42734162</w:t>
      </w:r>
    </w:p>
    <w:p>
      <w:r>
        <w:t>Qualitative Studie mit 3 kreativen Public-Involvement-Workshops (Gedichte, Quilting, n=22) zur Exploration von Patientenperspektiven auf Gebrechlichkeit und Patientenkommunikation.</w:t>
      </w:r>
    </w:p>
    <w:p>
      <w:r>
        <w:rPr>
          <w:b/>
        </w:rPr>
        <w:t xml:space="preserve">Ergebnis: </w:t>
      </w:r>
      <w:r>
        <w:t>Partizipanten kritisierten Begriff 'Frailty' als stigmatisierend und ungenau; forderten personalisierte, erfahrungsorientierte Kommunikation. Themen: Schwierigkeiten mit Frailty-Begriff, Personalisierung in Patientengesprächsen, Zeitdruck im Gesundheitswesen. Kreative Methoden ermöglichten nicht-diskursiven Zugang zu kontroversen Konzepten, verbesserten Topic Guide und Datenanalyse der Forschung.</w:t>
      </w:r>
    </w:p>
    <w:p>
      <w:r>
        <w:rPr>
          <w:b/>
          <w:sz w:val="19"/>
        </w:rPr>
        <w:t xml:space="preserve">Übertragbarkeit: </w:t>
      </w:r>
      <w:r>
        <w:rPr>
          <w:sz w:val="19"/>
        </w:rPr>
        <w:t>Großbritannien, NHS-System; patientenzentrierte Versorgungsfragen gelten länderübergreifend</w:t>
      </w:r>
    </w:p>
    <w:p>
      <w:r>
        <w:rPr>
          <w:color w:val="5A7D3A"/>
          <w:sz w:val="18"/>
        </w:rPr>
        <w:t>https://pubmed.ncbi.nlm.nih.gov/42734162/</w:t>
      </w:r>
    </w:p>
    <w:p>
      <w:pPr>
        <w:pStyle w:val="Heading2"/>
      </w:pPr>
      <w:r>
        <w:t>Lebenserwartung USA 2024: Zuwächse nach Rückgang in Vorjahren</w:t>
      </w:r>
    </w:p>
    <w:p>
      <w:r>
        <w:rPr>
          <w:i/>
          <w:color w:val="666666"/>
          <w:sz w:val="18"/>
        </w:rPr>
        <w:t>Arias E et al.  ·  Natl Vital Stat Rep  ·  Aug. 2026  ·  PMID 42727234</w:t>
      </w:r>
    </w:p>
    <w:p>
      <w:r>
        <w:t>Amtliche amerikanische Sterbetafel basierend auf 2024-Mortalitätsdaten; Gesamtpopulation und stratifiziert nach Ethnie, Rasse und Geschlecht.</w:t>
      </w:r>
    </w:p>
    <w:p>
      <w:r>
        <w:rPr>
          <w:b/>
        </w:rPr>
        <w:t xml:space="preserve">Ergebnis: </w:t>
      </w:r>
      <w:r>
        <w:t>Gesamtlebenserwartung bei Geburt 79,0 Jahre (+0,6 vs. 2023). Männer +0,7 Jahre (75,8→76,5), Frauen +0,3 Jahre (81,1→81,4). Nach Ethnie: American Indian/Alaska Native +1,0 (70,1→71,1), Black +0,8 (74,0→74,8), Asian +0,6 (85,2→85,8), Hispanic +0,5 (81,3→81,8), White +0,5 (78,4→78,9). Fortsetzung des Wiederaufwärts-Trends nach COVID-19-Dip.</w:t>
      </w:r>
    </w:p>
    <w:p>
      <w:r>
        <w:rPr>
          <w:b/>
          <w:sz w:val="19"/>
        </w:rPr>
        <w:t xml:space="preserve">Übertragbarkeit: </w:t>
      </w:r>
      <w:r>
        <w:rPr>
          <w:sz w:val="19"/>
        </w:rPr>
        <w:t>USA, grundlegend andere Finanzierungsstruktur des Gesundheitswesens; Trend-Aussage transnational relevant</w:t>
      </w:r>
    </w:p>
    <w:p>
      <w:r>
        <w:rPr>
          <w:color w:val="5A7D3A"/>
          <w:sz w:val="18"/>
        </w:rPr>
        <w:t>https://pubmed.ncbi.nlm.nih.gov/42727234/</w:t>
      </w:r>
    </w:p>
    <w:p>
      <w:pPr>
        <w:pStyle w:val="Heading1"/>
      </w:pPr>
      <w:r>
        <w:t>Aufgenommen am 14.09.2026</w:t>
      </w:r>
    </w:p>
    <w:p>
      <w:pPr>
        <w:pStyle w:val="Heading2"/>
      </w:pPr>
      <w:r>
        <w:t>Umweltbelastung und Frailty bei älteren Menschen nach Trauma: WTC-Responder-Kohorte</w:t>
      </w:r>
    </w:p>
    <w:p>
      <w:r>
        <w:rPr>
          <w:i/>
          <w:color w:val="666666"/>
          <w:sz w:val="18"/>
        </w:rPr>
        <w:t>Krasnov H et al.  ·  Nat Commun  ·  11.09.2026  ·  PMID 42728266</w:t>
      </w:r>
    </w:p>
    <w:p>
      <w:r>
        <w:t>Analysierte in Längsschnittkohort (18.734 WTC-Responder) den Zusammenhang zwischen städtischen Umweltexpositionen (Feinstaub, Temperatur, Grünflächen) und Frailty sowie psychiatrischen Symptomen, adjustiert für Traumaexposition.</w:t>
      </w:r>
    </w:p>
    <w:p>
      <w:r>
        <w:rPr>
          <w:b/>
        </w:rPr>
        <w:t xml:space="preserve">Ergebnis: </w:t>
      </w:r>
      <w:r>
        <w:t>Ein Dezil-Anstieg der Gesamt-Expositionsmischung assoziiert mit erhöhter Frailty (0,56%; 95%-KI: 0,14%-0,98%) und Post-Traumatic-Stress-Disorder-Scores (0,31%; 95%-KI: 0,07%-0,55%); Effekte stärker bei Responders mit höherer WTC-Exposition. Deutet auf biologische Langzeitvulnerabilität nach Trauma und Toxinexposition hin.</w:t>
      </w:r>
    </w:p>
    <w:p>
      <w:r>
        <w:rPr>
          <w:b/>
          <w:sz w:val="19"/>
        </w:rPr>
        <w:t xml:space="preserve">Übertragbarkeit: </w:t>
      </w:r>
      <w:r>
        <w:rPr>
          <w:sz w:val="19"/>
        </w:rPr>
        <w:t>USA-Kohorte; Befunde zu Umwelteffekten auf Frailty übertragbar, aber langfristige Trauma-Exposition länderspezifisch</w:t>
      </w:r>
    </w:p>
    <w:p>
      <w:r>
        <w:rPr>
          <w:color w:val="5A7D3A"/>
          <w:sz w:val="18"/>
        </w:rPr>
        <w:t>https://pubmed.ncbi.nlm.nih.gov/42728266/</w:t>
      </w:r>
    </w:p>
    <w:p>
      <w:pPr>
        <w:pStyle w:val="Heading2"/>
      </w:pPr>
      <w:r>
        <w:t>Terpenoide und Seneszenz in Lungenkrebszellen: Versorgungsrelevanz begrenzt</w:t>
      </w:r>
    </w:p>
    <w:p>
      <w:r>
        <w:rPr>
          <w:i/>
          <w:color w:val="666666"/>
          <w:sz w:val="18"/>
        </w:rPr>
        <w:t>Niharika K et al.  ·  Daru  ·  11.09.2026  ·  PMID 42726380</w:t>
      </w:r>
    </w:p>
    <w:p>
      <w:r>
        <w:t>Übersichtsarbeit zu 46 Terpenoiden mit Effekten auf Autophagie und zelluläre Seneszenz in Lungenkrebszellen in vitro (ohne In-vivo-Studien oder klinische Endpunkte).</w:t>
      </w:r>
    </w:p>
    <w:p>
      <w:r>
        <w:rPr>
          <w:b/>
        </w:rPr>
        <w:t xml:space="preserve">Ergebnis: </w:t>
      </w:r>
      <w:r>
        <w:t>Terpenoide beeinflussen zentrale Signalweg-Knoten (AMPK, NF-κB, MAPK, PI3K/AKT/mTOR, ROS, p53); begrenzte klinische Translation durch schlechte Löslichkeit und Bioverfügbarkeit. Überblick ohne Angabe von Effektgrößen oder klinischen Ergebnissen - ausgeschlossen da keine gemessenen Endpunkte beim Menschen.</w:t>
      </w:r>
    </w:p>
    <w:p>
      <w:r>
        <w:rPr>
          <w:color w:val="5A7D3A"/>
          <w:sz w:val="18"/>
        </w:rPr>
        <w:t>https://pubmed.ncbi.nlm.nih.gov/42726380/</w:t>
      </w:r>
    </w:p>
    <w:p>
      <w:pPr>
        <w:pStyle w:val="Heading2"/>
      </w:pPr>
      <w:r>
        <w:t>Muskelkraft und Mortalität im Alter: Versorgungsepidemiologie und Prävention</w:t>
      </w:r>
    </w:p>
    <w:p>
      <w:r>
        <w:rPr>
          <w:i/>
          <w:color w:val="666666"/>
          <w:sz w:val="18"/>
        </w:rPr>
        <w:t>Puelles-Diaz A  ·  Front Public Health  ·  27.08.2026  ·  PMID 42724145</w:t>
      </w:r>
    </w:p>
    <w:p>
      <w:r>
        <w:t>Analysierte Evidenz zur Muskelgesundheit (Kraft, Masse, Funktion) als eigenständiges Versorgungsziel in der Altersmedizin und entwickelte einen Implementierungsrahmen für Primary-Care-Assessment und Resistenztraining.</w:t>
      </w:r>
    </w:p>
    <w:p>
      <w:r>
        <w:rPr>
          <w:b/>
        </w:rPr>
        <w:t xml:space="preserve">Ergebnis: </w:t>
      </w:r>
      <w:r>
        <w:t>Muskelkraft sagt Mortalität voraus, unabhängig von körperlicher Aktivität; Randomisierte Studien mit bis zu 36 Monaten Nachverfolgung zeigen größere Nutzen durch Widerstands- und multimodale Trainingsprogramme (speziell bei Personen mit funktioneller Beeinträchtigung). Identifizierte drei Versorgungslücken: begrenzte Assessment-Nutzung in der Primärversorgung, fragmentierte Prävention mit Unterbewertung von Resistenztraining, fehlende funktionale Kapazität in globalen NCD-Rahmen.</w:t>
      </w:r>
    </w:p>
    <w:p>
      <w:r>
        <w:rPr>
          <w:b/>
          <w:sz w:val="19"/>
        </w:rPr>
        <w:t xml:space="preserve">Übertragbarkeit: </w:t>
      </w:r>
      <w:r>
        <w:rPr>
          <w:sz w:val="19"/>
        </w:rPr>
        <w:t>Internationale Evidenz aus Japan, Europa, Nordamerika und Brasilien mit direktem deutschem Versorgungsbezug</w:t>
      </w:r>
    </w:p>
    <w:p>
      <w:r>
        <w:rPr>
          <w:color w:val="5A7D3A"/>
          <w:sz w:val="18"/>
        </w:rPr>
        <w:t>https://pubmed.ncbi.nlm.nih.gov/42724145/</w:t>
      </w:r>
    </w:p>
    <w:p>
      <w:pPr>
        <w:pStyle w:val="Heading2"/>
      </w:pPr>
      <w:r>
        <w:t>Transitions-Care-Programm in Australien: Effektivität und Kosten 2006-2024</w:t>
      </w:r>
    </w:p>
    <w:p>
      <w:r>
        <w:rPr>
          <w:i/>
          <w:color w:val="666666"/>
          <w:sz w:val="18"/>
        </w:rPr>
        <w:t>Reid N et al.  ·  Australas J Ageing  ·  Sept. 2026  ·  PMID 42712137</w:t>
      </w:r>
    </w:p>
    <w:p>
      <w:r>
        <w:t>Analysierte 18 Jahre öffentlicher Daten zum australischen Kurz-Rehabilitations-Programm nach Klinikaufenthalt (Demografie, Inanspruchnahme, Kosten, funktioneller Status mit Modified-Barthel-Index).</w:t>
      </w:r>
    </w:p>
    <w:p>
      <w:r>
        <w:rPr>
          <w:b/>
        </w:rPr>
        <w:t xml:space="preserve">Ergebnis: </w:t>
      </w:r>
      <w:r>
        <w:t>351.981 Klienten über Studienzeitraum; Fallzahlen pro anno +143% (2006-2007 bis 2016-2017), dann Rückgang auf 14.388 (2022-2023). Verweildauer +60% (48 auf 77 Tage), Durchschnittskosten pro Episode +261% (A$9.996 auf A$36.093), jedoch minimale Änderung in Ein- (69,7-72,1) oder Austritts-MBI (79,5-83). Weniger Menschen erhalten Zugang trotz wachsender Bevölkerung und steigender zugeteilter Plätze.</w:t>
      </w:r>
    </w:p>
    <w:p>
      <w:r>
        <w:rPr>
          <w:b/>
          <w:sz w:val="19"/>
        </w:rPr>
        <w:t xml:space="preserve">Übertragbarkeit: </w:t>
      </w:r>
      <w:r>
        <w:rPr>
          <w:sz w:val="19"/>
        </w:rPr>
        <w:t>Australien, ähnliche Versorgungsstrukturen und Finanzierung wie europäische Sozialsysteme</w:t>
      </w:r>
    </w:p>
    <w:p>
      <w:r>
        <w:rPr>
          <w:color w:val="5A7D3A"/>
          <w:sz w:val="18"/>
        </w:rPr>
        <w:t>https://pubmed.ncbi.nlm.nih.gov/42712137/</w:t>
      </w:r>
    </w:p>
    <w:p>
      <w:pPr>
        <w:pStyle w:val="Heading2"/>
      </w:pPr>
      <w:r>
        <w:t>Wohlbefinden und Kognitives Reserve in spanischer Alterskohorte: Freizeit und psychische Gesundheit</w:t>
      </w:r>
    </w:p>
    <w:p>
      <w:r>
        <w:rPr>
          <w:i/>
          <w:color w:val="666666"/>
          <w:sz w:val="18"/>
        </w:rPr>
        <w:t>Bodner E et al.  ·  J Cross Cult Gerontol  ·  08.09.2026  ·  PMID 42709276</w:t>
      </w:r>
    </w:p>
    <w:p>
      <w:r>
        <w:t>Untersuchte Assoziationen zwischen Freizeit-aktivitäten, kognitiver Reservefähigkeit und psychologischem Wohlbefinden bei älteren Spaniern im Wohngebiet (Gedächtnisleistung, Aufmerksamkeit, Depression, Angst, Lebenszufriedenheit, Einsamkeit).</w:t>
      </w:r>
    </w:p>
    <w:p>
      <w:r>
        <w:rPr>
          <w:b/>
        </w:rPr>
        <w:t xml:space="preserve">Ergebnis: </w:t>
      </w:r>
      <w:r>
        <w:t>Höhere Cognitive-Reserve-Scores assoziiert mit niedrigerem wahrgenommenem Stress (bei Männern) und besserer Aufmerksamkeitsleistung; Geschlechtsspezifische Unterschiede in der Assoziation zwischen Freizeitaktivitäten und Stresswahrnehmung (Frauen zeigten keine signifikanten Zusammenhänge). Erklärt potenzielle Mechanismen zwischen kognitiver Reservefähigkeit und psychologischem Wohlbefinden im Alter.</w:t>
      </w:r>
    </w:p>
    <w:p>
      <w:r>
        <w:rPr>
          <w:b/>
          <w:sz w:val="19"/>
        </w:rPr>
        <w:t xml:space="preserve">Übertragbarkeit: </w:t>
      </w:r>
      <w:r>
        <w:rPr>
          <w:sz w:val="19"/>
        </w:rPr>
        <w:t>Spanische Allgemeinbevölkerung, vergleichbare europäische Gesundheitssysteme und Sozialstruktur</w:t>
      </w:r>
    </w:p>
    <w:p>
      <w:r>
        <w:rPr>
          <w:color w:val="5A7D3A"/>
          <w:sz w:val="18"/>
        </w:rPr>
        <w:t>https://pubmed.ncbi.nlm.nih.gov/42709276/</w:t>
      </w:r>
    </w:p>
    <w:p>
      <w:pPr>
        <w:pStyle w:val="Heading2"/>
      </w:pPr>
      <w:r>
        <w:t>Healthspan-Strategien im italienischen Gesundheitssystem: Rahmenbedingungen und Prioritäten</w:t>
      </w:r>
    </w:p>
    <w:p>
      <w:r>
        <w:rPr>
          <w:i/>
          <w:color w:val="666666"/>
          <w:sz w:val="18"/>
        </w:rPr>
        <w:t>Marino N et al.  ·  Aging (Albany NY)  ·  16.07.2026  ·  PMID 42467494</w:t>
      </w:r>
    </w:p>
    <w:p>
      <w:r>
        <w:t>Position Paper zur Integration von Longevity Medicine (Prävention mit mehromischen Biomarkern und Risikoschichtung) in das italienische SSN vor dem Hintergrund von 24,1% der Bevölkerung ≥65 Jahre und einer Healthspan-Lücke von 15-16 Jahren.</w:t>
      </w:r>
    </w:p>
    <w:p>
      <w:r>
        <w:rPr>
          <w:b/>
        </w:rPr>
        <w:t xml:space="preserve">Ergebnis: </w:t>
      </w:r>
      <w:r>
        <w:t>Italien: höchster EU-Anteil Älterer (24,1%), median age 51 Jahre bis 2050 projiziert; Lebenserw. 85,4 (Frauen) / 81,4 (Männer) Jahre vs. gesunde Lebensjahre 69,6 / 68,5 (Lücke: 15-18 Jahre); Multimorbiditäts- und Behinderungsprävalenz &gt;60% bei ≥75-Jährigen. Empfiehlt fünf Investitionsprioritäten: validierte Biomarker biologisches Alter, digitale Plattformen, adaptive Studien, explainable-AI-Risikoschichtung, Lehrcurricula.</w:t>
      </w:r>
    </w:p>
    <w:p>
      <w:r>
        <w:rPr>
          <w:b/>
          <w:sz w:val="19"/>
        </w:rPr>
        <w:t xml:space="preserve">Übertragbarkeit: </w:t>
      </w:r>
      <w:r>
        <w:rPr>
          <w:sz w:val="19"/>
        </w:rPr>
        <w:t>Italien mit deutschsprachigem Raum vergleichbare Bevölkerungsstruktur und Sozialversicherung</w:t>
      </w:r>
    </w:p>
    <w:p>
      <w:r>
        <w:rPr>
          <w:color w:val="5A7D3A"/>
          <w:sz w:val="18"/>
        </w:rPr>
        <w:t>https://pubmed.ncbi.nlm.nih.gov/42467494/</w:t>
      </w:r>
    </w:p>
    <w:p>
      <w:pPr>
        <w:pStyle w:val="Heading1"/>
      </w:pPr>
      <w:r>
        <w:t>Aufgenommen am 13.09.2026</w:t>
      </w:r>
    </w:p>
    <w:p>
      <w:pPr>
        <w:pStyle w:val="Heading2"/>
      </w:pPr>
      <w:r>
        <w:t>Altern von Personen mit Typ-1-Diabetes: prospektive Kohorte zur funktionellen Fähigkeit</w:t>
      </w:r>
    </w:p>
    <w:p>
      <w:r>
        <w:rPr>
          <w:i/>
          <w:color w:val="666666"/>
          <w:sz w:val="18"/>
        </w:rPr>
        <w:t>Nicklén J et al.  ·  BMJ Open  ·  11.09.2026  ·  PMID 42731824</w:t>
      </w:r>
    </w:p>
    <w:p>
      <w:r>
        <w:t>Studienprotokoll für prospektive Kohortenstudie (FinnDiane LifeOne) mit mindestens 300 älteren Personen mit Typ-1-Diabetes (&gt;65 Jahre) und 100 gematchten Kontrollen zur Untersuchung der funktionellen Fähigkeit und gesunden Alterns über 5 Jahre mit geriatrischem Assessment.</w:t>
      </w:r>
    </w:p>
    <w:p>
      <w:r>
        <w:rPr>
          <w:b/>
        </w:rPr>
        <w:t xml:space="preserve">Ergebnis: </w:t>
      </w:r>
      <w:r>
        <w:t>Eingeschlossene Studien: ≥300 Patienten mit T1D, ≥100 Kontrollen, gematchte Vergleichgruppe. Umfassendes geriatrisches Assessment mit 5-jährlichen Intervallen. Fokus auf fünf Domänen der intrinsic capacity: Kognition, Vitalität, Sensomotorisch, Lokomotion, Psychologisch. Follow-up-Strukturen und Vergleichsdesign etabliert; endgültige Ergebnisse stehen aus.</w:t>
      </w:r>
    </w:p>
    <w:p>
      <w:r>
        <w:rPr>
          <w:b/>
          <w:sz w:val="19"/>
        </w:rPr>
        <w:t xml:space="preserve">Übertragbarkeit: </w:t>
      </w:r>
      <w:r>
        <w:rPr>
          <w:sz w:val="19"/>
        </w:rPr>
        <w:t>Skandinavisches Gesundheitssystem, prospektiv designt mit europäischen Standards; übertragbar auf Deutschland.</w:t>
      </w:r>
    </w:p>
    <w:p>
      <w:r>
        <w:rPr>
          <w:color w:val="5A7D3A"/>
          <w:sz w:val="18"/>
        </w:rPr>
        <w:t>https://pubmed.ncbi.nlm.nih.gov/42731824/</w:t>
      </w:r>
    </w:p>
    <w:p>
      <w:pPr>
        <w:pStyle w:val="Heading2"/>
      </w:pPr>
      <w:r>
        <w:t>Sitzzeit und Funktionsfähigkeit im Alter: Längere Sitzzeit reduziert Muskelmasse und ADL</w:t>
      </w:r>
    </w:p>
    <w:p>
      <w:r>
        <w:rPr>
          <w:i/>
          <w:color w:val="666666"/>
          <w:sz w:val="18"/>
        </w:rPr>
        <w:t>Yoon TH et al.  ·  PeerJ  ·  08.09.2026  ·  PMID 42730319</w:t>
      </w:r>
    </w:p>
    <w:p>
      <w:r>
        <w:t>Querschnittstudie an 200 Älteren (65–96 Jahre) zur Assoziation von täglicher Sitzzeit (&lt;6, 6–8, &gt;8 h) mit Sarcopenia-Markern und funktioneller Unabhängigkeit in ADL und IADL.</w:t>
      </w:r>
    </w:p>
    <w:p>
      <w:r>
        <w:rPr>
          <w:b/>
        </w:rPr>
        <w:t xml:space="preserve">Ergebnis: </w:t>
      </w:r>
      <w:r>
        <w:t>Höhere Sitzzeit war negativ mit Appendicular Skeletal Muscle (β = −0,415; p &lt; 0,001), Wadenschritt (β = −0,442; p &lt; 0,001) und Griffstärke (β = −0,385; p &lt; 0,001) assoziiert und positiv mit 5-Stühle-Stand-Test (β = 0,465; p &lt; 0,001). Sitzzeit korrelierte negativ mit ADL-Summe (β = −0,308; p &lt; 0,001) und IADL-Summe (β = −0,410; p &lt; 0,001). Assoziationen blieben nach Altersadjustierung signifikant.</w:t>
      </w:r>
    </w:p>
    <w:p>
      <w:r>
        <w:rPr>
          <w:b/>
          <w:sz w:val="19"/>
        </w:rPr>
        <w:t xml:space="preserve">Übertragbarkeit: </w:t>
      </w:r>
      <w:r>
        <w:rPr>
          <w:sz w:val="19"/>
        </w:rPr>
        <w:t>Prävention durch Reduktion von Sitzzeit ist in allen europäischen Kontexten implementierbar.</w:t>
      </w:r>
    </w:p>
    <w:p>
      <w:r>
        <w:rPr>
          <w:color w:val="5A7D3A"/>
          <w:sz w:val="18"/>
        </w:rPr>
        <w:t>https://pubmed.ncbi.nlm.nih.gov/42730319/</w:t>
      </w:r>
    </w:p>
    <w:p>
      <w:pPr>
        <w:pStyle w:val="Heading2"/>
      </w:pPr>
      <w:r>
        <w:t>Frailty und kognitives Altern: Assoziationen mit ungünstigeren kognitiven Verlaufsmustern</w:t>
      </w:r>
    </w:p>
    <w:p>
      <w:r>
        <w:rPr>
          <w:i/>
          <w:color w:val="666666"/>
          <w:sz w:val="18"/>
        </w:rPr>
        <w:t>Wang X et al.  ·  Alzheimers Dement  ·  Sept. 2026  ·  PMID 42723149</w:t>
      </w:r>
    </w:p>
    <w:p>
      <w:r>
        <w:t>Längsschnittstudie an 19.586 Personen aus drei nationalen Kohorten (China, England, USA) zur Assoziation von Frailty-Status und kognitiver Veränderung über Zeit.</w:t>
      </w:r>
    </w:p>
    <w:p>
      <w:r>
        <w:rPr>
          <w:b/>
        </w:rPr>
        <w:t xml:space="preserve">Ergebnis: </w:t>
      </w:r>
      <w:r>
        <w:t>Baseline-Frailty war mit stärkerem jährlichen kognitiven Rückgang assoziiert (β = −0,023 SD/Jahr; p &lt; 0,001). Verschlechterung von robust zu pre-frail oder frail war mit mehr negativem Rückgang verbunden (β = −0,025 SD/Jahr). In trajektoriengestützen Analysen zeigten Baseline-Frailty, höhere mittlere Frailty-Last und Frailty-Verschlechterung Assoziationen mit weniger günstigen kognitiven Verläufen. Frailty-Verbesserung war direktional mit günstigeren Gruppen assoziiert.</w:t>
      </w:r>
    </w:p>
    <w:p>
      <w:r>
        <w:rPr>
          <w:b/>
          <w:sz w:val="19"/>
        </w:rPr>
        <w:t xml:space="preserve">Übertragbarkeit: </w:t>
      </w:r>
      <w:r>
        <w:rPr>
          <w:sz w:val="19"/>
        </w:rPr>
        <w:t>Vergleichbare nationale Gesundheitsdatenstrukturen; kognitives Altern als Endpunkt relevant für deutsche Versorgung.</w:t>
      </w:r>
    </w:p>
    <w:p>
      <w:r>
        <w:rPr>
          <w:color w:val="5A7D3A"/>
          <w:sz w:val="18"/>
        </w:rPr>
        <w:t>https://pubmed.ncbi.nlm.nih.gov/42723149/</w:t>
      </w:r>
    </w:p>
    <w:p>
      <w:pPr>
        <w:pStyle w:val="Heading2"/>
      </w:pPr>
      <w:r>
        <w:t>Frailty und COPD: bidirektionale Beziehung im Kontext von Systemalterung und Trainingsresponse</w:t>
      </w:r>
    </w:p>
    <w:p>
      <w:r>
        <w:rPr>
          <w:i/>
          <w:color w:val="666666"/>
          <w:sz w:val="18"/>
        </w:rPr>
        <w:t>Maniscalco M et al.  ·  Eur Respir Rev  ·  09.09.2026  ·  PMID 42716547</w:t>
      </w:r>
    </w:p>
    <w:p>
      <w:r>
        <w:t>Narrative Übersichtsarbeit zu biologischen und klinischen Verbindungen von COPD, Frailty und körperlicher Aktivität unter Anwendung von Geroscience-Prinzipien.</w:t>
      </w:r>
    </w:p>
    <w:p>
      <w:r>
        <w:rPr>
          <w:b/>
        </w:rPr>
        <w:t xml:space="preserve">Ergebnis: </w:t>
      </w:r>
      <w:r>
        <w:t>Gemeinsame biologische Mechanismen: chronische Entzündung, oxidativer Stress, Mitochondriendysfunktion, Muskelatrophie. Kombiniertes aerobes, Widerstands- und Balance-Training zeigt stärkste Evidenz zur Verbesserung von Funktionsstatus und Lebensqualität bei frail-COPD. Exercise induziert Hormeseeffekte: gesteigerte Mitochondriogenese, verbessertes Redox-Balance, Upregulation von antioxidativen Wegen und Zellreparaturmechanismen.</w:t>
      </w:r>
    </w:p>
    <w:p>
      <w:r>
        <w:rPr>
          <w:b/>
          <w:sz w:val="19"/>
        </w:rPr>
        <w:t xml:space="preserve">Übertragbarkeit: </w:t>
      </w:r>
      <w:r>
        <w:rPr>
          <w:sz w:val="19"/>
        </w:rPr>
        <w:t>Geroscience-Rahmen auf deutsche COPD-Versorgung und Rehabilitation übertragbar.</w:t>
      </w:r>
    </w:p>
    <w:p>
      <w:r>
        <w:rPr>
          <w:color w:val="5A7D3A"/>
          <w:sz w:val="18"/>
        </w:rPr>
        <w:t>https://pubmed.ncbi.nlm.nih.gov/42716547/</w:t>
      </w:r>
    </w:p>
    <w:p>
      <w:pPr>
        <w:pStyle w:val="Heading2"/>
      </w:pPr>
      <w:r>
        <w:t>Normaler altersgerechter Rückgang der Vitalkapazität: systematische Analyse und Metaanalyse</w:t>
      </w:r>
    </w:p>
    <w:p>
      <w:r>
        <w:rPr>
          <w:i/>
          <w:color w:val="666666"/>
          <w:sz w:val="18"/>
        </w:rPr>
        <w:t>Satia I et al.  ·  Eur Respir Rev  ·  09.09.2026  ·  PMID 42716546</w:t>
      </w:r>
    </w:p>
    <w:p>
      <w:r>
        <w:t>Systematische Übersichtsarbeit und Metaanalyse von 35 Kohorten mit über 365.000 Teilnehmern zu altersbezogenen Veränderungen der Vitalkapazität (FVC) bei Personen ohne Lungenerkrankung über bis zu 35 Jahre Follow-up.</w:t>
      </w:r>
    </w:p>
    <w:p>
      <w:r>
        <w:rPr>
          <w:b/>
        </w:rPr>
        <w:t xml:space="preserve">Ergebnis: </w:t>
      </w:r>
      <w:r>
        <w:t>FVC erreicht Spitzenwert Mitte 20er, sinkt kontinuierlich linear ab ohne Plateau. Bei Frauen Abfall von ca. 26 mL/Jahr, bei Männern biphasisch: ca. 22 mL/Jahr vor 40 Jahren, dann ca. 36 mL/Jahr. Durchschnittlicher altersgerechter Rückgang 20–30 mL pro Jahr. Diese normativen Trajektorien sind essentiell zur Differenzierung gesunden Alterns von pathologischem Rückgang.</w:t>
      </w:r>
    </w:p>
    <w:p>
      <w:r>
        <w:rPr>
          <w:b/>
          <w:sz w:val="19"/>
        </w:rPr>
        <w:t xml:space="preserve">Übertragbarkeit: </w:t>
      </w:r>
      <w:r>
        <w:rPr>
          <w:sz w:val="19"/>
        </w:rPr>
        <w:t>Deutschland und europäische Spirometriestandards; Benchmark ist grundlegend für klinische Interpretation.</w:t>
      </w:r>
    </w:p>
    <w:p>
      <w:r>
        <w:rPr>
          <w:color w:val="5A7D3A"/>
          <w:sz w:val="18"/>
        </w:rPr>
        <w:t>https://pubmed.ncbi.nlm.nih.gov/42716546/</w:t>
      </w:r>
    </w:p>
    <w:p>
      <w:pPr>
        <w:pStyle w:val="Heading2"/>
      </w:pPr>
      <w:r>
        <w:t>Netzwerk-Analyse der Lebensqualität bei älteren Koreanern: Depression dominiert das frail-Netzwerk</w:t>
      </w:r>
    </w:p>
    <w:p>
      <w:r>
        <w:rPr>
          <w:i/>
          <w:color w:val="666666"/>
          <w:sz w:val="18"/>
        </w:rPr>
        <w:t>Kim S et al.  ·  Geriatr Gerontol Int  ·  Sept. 2026  ·  PMID 42716517</w:t>
      </w:r>
    </w:p>
    <w:p>
      <w:r>
        <w:t>Netzwerk-Analyse an 1.311 älteren Koreanern (≥65 Jahre) zur Struktur der gesundheitsbezogenen Lebensqualität (HRQoL) im Vergleich zwischen frail und non-frail-Gruppen.</w:t>
      </w:r>
    </w:p>
    <w:p>
      <w:r>
        <w:rPr>
          <w:b/>
        </w:rPr>
        <w:t xml:space="preserve">Ergebnis: </w:t>
      </w:r>
      <w:r>
        <w:t>Bei frail-Gruppe war Depression-Glück die stärkste Assoziation mit hoher Zentralität bei Arbeit, Depression, Glück und Schlaf. Bei non-frail-Gruppe dominierten physikalisch-soziale Domänen (Treppensteigen-Schmerz stärkster Link, zentral: Arbeit, Treppensteigen, Schmerz). Arbeit zeigte konsistent hohe Zentralität in beiden Gruppen, was Rollenpartizipation als Hebel für HRQoL-Verbesserung unterstreicht.</w:t>
      </w:r>
    </w:p>
    <w:p>
      <w:r>
        <w:rPr>
          <w:b/>
          <w:sz w:val="19"/>
        </w:rPr>
        <w:t xml:space="preserve">Übertragbarkeit: </w:t>
      </w:r>
      <w:r>
        <w:rPr>
          <w:sz w:val="19"/>
        </w:rPr>
        <w:t>Strukturelle Vergleichbarkeit der Frailty-Definitionen mit europäischen Standards gegeben.</w:t>
      </w:r>
    </w:p>
    <w:p>
      <w:r>
        <w:rPr>
          <w:color w:val="5A7D3A"/>
          <w:sz w:val="18"/>
        </w:rPr>
        <w:t>https://pubmed.ncbi.nlm.nih.gov/42716517/</w:t>
      </w:r>
    </w:p>
    <w:p>
      <w:pPr>
        <w:pStyle w:val="Heading2"/>
      </w:pPr>
      <w:r>
        <w:t>Hereditäre hämorrhagische Teleangiektasie reduziert die Lebenserwartung um 7,5 Jahre</w:t>
      </w:r>
    </w:p>
    <w:p>
      <w:r>
        <w:rPr>
          <w:i/>
          <w:color w:val="666666"/>
          <w:sz w:val="18"/>
        </w:rPr>
        <w:t>Emanuelsson CA et al.  ·  J Intern Med  ·  06.07.2026  ·  PMID 42410718</w:t>
      </w:r>
    </w:p>
    <w:p>
      <w:r>
        <w:t>Schwedische populationsbasierte Registerstudie mit 393 HHT-Patienten und 1.965 alters- und geschlechtsgematchten Kontrollen zur Mortalität und Todesursachen über 17 Jahre Nachbeobachtung (2001–2018).</w:t>
      </w:r>
    </w:p>
    <w:p>
      <w:r>
        <w:rPr>
          <w:b/>
        </w:rPr>
        <w:t xml:space="preserve">Ergebnis: </w:t>
      </w:r>
      <w:r>
        <w:t>Lebenserwartung nach 30 Jahren bei HHT: 73,0 Jahre (68,0–77,2) vs. 80,5 Jahre (79,1–82,0) bei Kontrollen; Differenz 7,5 Jahre. Häufigere Todesursachen bei HHT: ischämische Herzerkrankung, arterielle Erkrankungen und Leberkrankheiten signifikant erhöht. HHT-Prävalenz: 9,3 pro 100.000 über 12 Jahre; mögliche Unterdiagnose bei milderen Symptomen.</w:t>
      </w:r>
    </w:p>
    <w:p>
      <w:r>
        <w:rPr>
          <w:b/>
          <w:sz w:val="19"/>
        </w:rPr>
        <w:t xml:space="preserve">Übertragbarkeit: </w:t>
      </w:r>
      <w:r>
        <w:rPr>
          <w:sz w:val="19"/>
        </w:rPr>
        <w:t>Skandinavisches Register mit Deutschland vergleichbar; Versorgungsplanning für rare diseases relevant.</w:t>
      </w:r>
    </w:p>
    <w:p>
      <w:r>
        <w:rPr>
          <w:color w:val="5A7D3A"/>
          <w:sz w:val="18"/>
        </w:rPr>
        <w:t>https://pubmed.ncbi.nlm.nih.gov/42410718/</w:t>
      </w:r>
    </w:p>
    <w:p>
      <w:pPr>
        <w:pStyle w:val="Heading1"/>
      </w:pPr>
      <w:r>
        <w:t>Aufgenommen am 12.09.2026</w:t>
      </w:r>
    </w:p>
    <w:p>
      <w:pPr>
        <w:pStyle w:val="Heading2"/>
      </w:pPr>
      <w:r>
        <w:t>Multimorbidität im hohen Alter: Krankheitsansammlung verlangsamt sich, Komplexität nimmt zu</w:t>
      </w:r>
    </w:p>
    <w:p>
      <w:r>
        <w:rPr>
          <w:i/>
          <w:color w:val="666666"/>
          <w:sz w:val="18"/>
        </w:rPr>
        <w:t>Zhang Y et al.  ·  Age Ageing  ·  04.09.2026  ·  PMID 42726903</w:t>
      </w:r>
    </w:p>
    <w:p>
      <w:r>
        <w:t>Schwedische Registeranalyse der Krankheitsansammlung bei 1920–1922 geborenen Personen von Alter 70 bis 100 Jahren.</w:t>
      </w:r>
    </w:p>
    <w:p>
      <w:r>
        <w:rPr>
          <w:b/>
        </w:rPr>
        <w:t xml:space="preserve">Ergebnis: </w:t>
      </w:r>
      <w:r>
        <w:t>Mit 90 Jahren durchschnittlich 3,9 Erkrankungen bei Männern und 3,5 bei Frauen; über die Hälfte der ≥95-Jährigen hatte ≥5 Erkrankungen. Krankheitsansammlung beschleunigte sich bis 80, stabilisierte sich 80–90, verlangsamte sich danach, aber Komplexität und Krankheitslast stiegen bis ins extreme Alter weiter. Kardiovaskuläre Erkrankungen dominierten durchgehend, Muskel- und Sinneserkrankungen wurden im hohen Alter wichtiger.</w:t>
      </w:r>
    </w:p>
    <w:p>
      <w:r>
        <w:rPr>
          <w:b/>
          <w:sz w:val="19"/>
        </w:rPr>
        <w:t xml:space="preserve">Übertragbarkeit: </w:t>
      </w:r>
      <w:r>
        <w:rPr>
          <w:sz w:val="19"/>
        </w:rPr>
        <w:t>Schweden, vergleichbare Lebenserwartung und Versorgungsstruktur</w:t>
      </w:r>
    </w:p>
    <w:p>
      <w:r>
        <w:rPr>
          <w:color w:val="5A7D3A"/>
          <w:sz w:val="18"/>
        </w:rPr>
        <w:t>https://pubmed.ncbi.nlm.nih.gov/42726903/</w:t>
      </w:r>
    </w:p>
    <w:p>
      <w:pPr>
        <w:pStyle w:val="Heading2"/>
      </w:pPr>
      <w:r>
        <w:t>Gebrechlichkeit bei Multimorbidität: Prävalenz und Risikofaktoren in der Gemeinde</w:t>
      </w:r>
    </w:p>
    <w:p>
      <w:r>
        <w:rPr>
          <w:i/>
          <w:color w:val="666666"/>
          <w:sz w:val="18"/>
        </w:rPr>
        <w:t>Feng S et al.  ·  Front Public Health  ·  27.08.2026  ·  PMID 42725090</w:t>
      </w:r>
    </w:p>
    <w:p>
      <w:r>
        <w:t>Querschnittsstudie bei 346 multimorbiden älteren Erwachsenen (≥60 Jahre) in fünf Gemeinden Chinas zur Prävalenz und unabhängigen Risikofaktoren für Gebrechlichkeit (Frailty).</w:t>
      </w:r>
    </w:p>
    <w:p>
      <w:r>
        <w:rPr>
          <w:b/>
        </w:rPr>
        <w:t xml:space="preserve">Ergebnis: </w:t>
      </w:r>
      <w:r>
        <w:t>52,9% (183/346) waren gebrechlich. Unabhängige Faktoren: Alter 70–80 Jahre (OR 2,64, 95%-KI 1,03–6,79), ≥80 Jahre (OR 4,92, 1,87–12,96); Krankenhausaufnahme wegen akuter Ereignisse im vergangenen Jahr (OR 1,84, 1,04–3,27); Landbewohner vs. städtisch (OR 0,34, 0,19–0,60). Normale Ernährung (OR 0,23, 0,16–0,50) und volle Aktivitätsunabhängigkeit (OR 0,21, 0,06–0,79) waren protektiv. Familienbetreuung vs. Selbstpflege (OR 0,39, 0,16–0,95) reduzierte Frailty-Risiko.</w:t>
      </w:r>
    </w:p>
    <w:p>
      <w:r>
        <w:rPr>
          <w:b/>
          <w:sz w:val="19"/>
        </w:rPr>
        <w:t xml:space="preserve">Übertragbarkeit: </w:t>
      </w:r>
      <w:r>
        <w:rPr>
          <w:sz w:val="19"/>
        </w:rPr>
        <w:t>China, andere Gesundheitsinfrastruktur; Screening-Muster teilweise übertragbar</w:t>
      </w:r>
    </w:p>
    <w:p>
      <w:r>
        <w:rPr>
          <w:color w:val="5A7D3A"/>
          <w:sz w:val="18"/>
        </w:rPr>
        <w:t>https://pubmed.ncbi.nlm.nih.gov/42725090/</w:t>
      </w:r>
    </w:p>
    <w:p>
      <w:pPr>
        <w:pStyle w:val="Heading2"/>
      </w:pPr>
      <w:r>
        <w:t>Präoperative Gebrechlichkeit und postoperative Komplikationen bei Hüftfrakturchirurgie</w:t>
      </w:r>
    </w:p>
    <w:p>
      <w:r>
        <w:rPr>
          <w:i/>
          <w:color w:val="666666"/>
          <w:sz w:val="18"/>
        </w:rPr>
        <w:t>Yonekura H et al.  ·  Geriatr Gerontol Int  ·  Sept. 2026  ·  PMID 42723340</w:t>
      </w:r>
    </w:p>
    <w:p>
      <w:r>
        <w:t>Analyse von 29.684 älteren Patienten (≥65 Jahre) in Japan mit Hüftfrakturoperationen (2005–2021) zu Assoziationen zwischen präoperativem Frailty-Risiko-Score und postoperativen Komplikationen mittels Krankenhausregister.</w:t>
      </w:r>
    </w:p>
    <w:p>
      <w:r>
        <w:rPr>
          <w:b/>
        </w:rPr>
        <w:t xml:space="preserve">Ergebnis: </w:t>
      </w:r>
      <w:r>
        <w:t>59,5% (17.656) waren gebrechlich (Hospital Frailty Risk Score ≥5). Präoperative Gebrechlichkeit nicht mit akutem Nierenversagen assoziiert (OR 0,97, KI 0,83–1,14; p=0,72) oder Major Adverse Kidney Events (OR 1,07, 0,80–1,44; p=0,65), aber signifikant mit Lungenkomplikationen (OR 1,68, 1,39–2,02; p&lt;0,001), postoperativem Delir (OR 1,35, 1,13–1,62; p&lt;0,001), höherer Transfusionsrate und längerer Krankenhausdauer assoziiert.</w:t>
      </w:r>
    </w:p>
    <w:p>
      <w:r>
        <w:rPr>
          <w:b/>
          <w:sz w:val="19"/>
        </w:rPr>
        <w:t xml:space="preserve">Übertragbarkeit: </w:t>
      </w:r>
      <w:r>
        <w:rPr>
          <w:sz w:val="19"/>
        </w:rPr>
        <w:t>Japan, vergleichbare Finanzierung, Operationsindikationen ähnlich zu Deutschland</w:t>
      </w:r>
    </w:p>
    <w:p>
      <w:r>
        <w:rPr>
          <w:color w:val="5A7D3A"/>
          <w:sz w:val="18"/>
        </w:rPr>
        <w:t>https://pubmed.ncbi.nlm.nih.gov/42723340/</w:t>
      </w:r>
    </w:p>
    <w:p>
      <w:pPr>
        <w:pStyle w:val="Heading2"/>
      </w:pPr>
      <w:r>
        <w:t>Gebrechlichkeit am Lebensende: wer hat Anspruch auf assistierten Freitod?</w:t>
      </w:r>
    </w:p>
    <w:p>
      <w:r>
        <w:rPr>
          <w:i/>
          <w:color w:val="666666"/>
          <w:sz w:val="18"/>
        </w:rPr>
        <w:t>Squeri T et al.  ·  Age Ageing  ·  04.09.2026  ·  PMID 42709408</w:t>
      </w:r>
    </w:p>
    <w:p>
      <w:r>
        <w:t>Vergleichende Analyse der Häufigkeit und rechtlichen Zulässigkeit von Gebrechlichkeit (Frailty) als Indikation für assistierten Freitod in Jurisdiktionen mit reguliertem Zugang.</w:t>
      </w:r>
    </w:p>
    <w:p>
      <w:r>
        <w:rPr>
          <w:b/>
        </w:rPr>
        <w:t xml:space="preserve">Ergebnis: </w:t>
      </w:r>
      <w:r>
        <w:t>Nur Kanada und Niederlande berichten die Häufigkeit: 9,07% der Freitode in Kanada 2023 waren mit Gebrechlichkeit assoziiert (als Hauptdiagnose oder Komorbidität), in den Niederlanden 3,85% mit multiplen geriatrischen Syndromen. 11 Jurisdiktionen: Gebrechlichkeit wahrscheinlich nicht zulässig; 6: schwere Gebrechlichkeit erfüllt Kriterien; 14: unklar. Erhebliches Reporting-Defizit und regulatorische Mehrdeutigkeit.</w:t>
      </w:r>
    </w:p>
    <w:p>
      <w:r>
        <w:rPr>
          <w:b/>
          <w:sz w:val="19"/>
        </w:rPr>
        <w:t xml:space="preserve">Übertragbarkeit: </w:t>
      </w:r>
      <w:r>
        <w:rPr>
          <w:sz w:val="19"/>
        </w:rPr>
        <w:t>Internationale Perspektive, begrenzte Relevanz für deutsches Recht</w:t>
      </w:r>
    </w:p>
    <w:p>
      <w:r>
        <w:rPr>
          <w:color w:val="5A7D3A"/>
          <w:sz w:val="18"/>
        </w:rPr>
        <w:t>https://pubmed.ncbi.nlm.nih.gov/42709408/</w:t>
      </w:r>
    </w:p>
    <w:p>
      <w:pPr>
        <w:pStyle w:val="Heading2"/>
      </w:pPr>
      <w:r>
        <w:t>Kognitive Alterung als sozial strukturierter Prozess: Lebenskurs, Ungleichheit und institutionelle Kontexte</w:t>
      </w:r>
    </w:p>
    <w:p>
      <w:r>
        <w:rPr>
          <w:i/>
          <w:color w:val="666666"/>
          <w:sz w:val="18"/>
        </w:rPr>
        <w:t>Bertogg A et al.  ·  Soc Sci Med  ·  01.08.2026  ·  PMID 42561791</w:t>
      </w:r>
    </w:p>
    <w:p>
      <w:r>
        <w:t>Editorial zu Spezialausgabe, die kognitives Altern als von Lebenslauf, sozialen Ungleichheiten und Institutionen geprägte Prozesse konzeptualisiert; Synthese länderübergreifender Studien aus Europa, Nordamerika, Lateinamerika und Asien.</w:t>
      </w:r>
    </w:p>
    <w:p>
      <w:r>
        <w:rPr>
          <w:b/>
        </w:rPr>
        <w:t xml:space="preserve">Ergebnis: </w:t>
      </w:r>
      <w:r>
        <w:t>Längsschnittstudien, Register, qualitative Interviews und ethnographische Arbeiten dokumentieren bleibende Einflüsse von Kindheitsbedingungen, Bildung, Berufslaufbahn, Familie, sozialer Partizipation, Nachbarschaft und Wohlfahrtsregimen auf späte kognitive Leistung. Ungleichheiten nach Geschlecht, Ethnie, Migrationshintergrund und Ort prägen kognitives Altern über die Lebensspanne. Infrastruktur, Gesundheitssysteme und politisch-ökonomische Veränderungen beeinflussen kognitive Reserven.</w:t>
      </w:r>
    </w:p>
    <w:p>
      <w:r>
        <w:rPr>
          <w:b/>
          <w:sz w:val="19"/>
        </w:rPr>
        <w:t xml:space="preserve">Übertragbarkeit: </w:t>
      </w:r>
      <w:r>
        <w:rPr>
          <w:sz w:val="19"/>
        </w:rPr>
        <w:t>Europäische und deutschsprachige Beiträge, vergleichbare Wohlfahrtssysteme</w:t>
      </w:r>
    </w:p>
    <w:p>
      <w:r>
        <w:rPr>
          <w:color w:val="5A7D3A"/>
          <w:sz w:val="18"/>
        </w:rPr>
        <w:t>https://pubmed.ncbi.nlm.nih.gov/42561791/</w:t>
      </w:r>
    </w:p>
    <w:p>
      <w:pPr>
        <w:pStyle w:val="Heading2"/>
      </w:pPr>
      <w:r>
        <w:t>Berufswahl Geriatrie: persönliche Zuneigung und Spezialisierungsanreize bei Medizinern</w:t>
      </w:r>
    </w:p>
    <w:p>
      <w:r>
        <w:rPr>
          <w:i/>
          <w:color w:val="666666"/>
          <w:sz w:val="18"/>
        </w:rPr>
        <w:t>Martín ML et al.  ·  Eur Geriatr Med  ·  11.07.2026  ·  PMID 42435263</w:t>
      </w:r>
    </w:p>
    <w:p>
      <w:r>
        <w:t>Qualitative Befragung (N=129) spanischer Medizinresidenten zu Faktoren, die die Wahl der Geriatrie beeinflussen, und Einfluss geriatrischer Schulung während des Studiums.</w:t>
      </w:r>
    </w:p>
    <w:p>
      <w:r>
        <w:rPr>
          <w:b/>
        </w:rPr>
        <w:t xml:space="preserve">Ergebnis: </w:t>
      </w:r>
      <w:r>
        <w:t>89% bereits mit Fachgebiet vertraut; 46% hatten theoretische und praktische geriatrische Schulung während des Studiums erhalten. Häufigste Faktoren: Affinität zu älteren Menschen (95%), Patientenkommunikation und Familie (90%), multidisziplinäres Arbeiten (86%), klinische Komplexität (84%), Multimorbidität (82%). Mit vollständiger geriatrischer Schulung 75% vs. 54% (p=0,02) erwogen Geriatrie als Fachgebiet; klinische Komplexität war signifikant wichtiger unter denen mit vollständiger Schulung (92% vs. 77%, p=0,027).</w:t>
      </w:r>
    </w:p>
    <w:p>
      <w:r>
        <w:rPr>
          <w:b/>
          <w:sz w:val="19"/>
        </w:rPr>
        <w:t xml:space="preserve">Übertragbarkeit: </w:t>
      </w:r>
      <w:r>
        <w:rPr>
          <w:sz w:val="19"/>
        </w:rPr>
        <w:t>Spanien, europäische Gesundheitspolitik, Ärztenachwuchs vergleichbar</w:t>
      </w:r>
    </w:p>
    <w:p>
      <w:r>
        <w:rPr>
          <w:color w:val="5A7D3A"/>
          <w:sz w:val="18"/>
        </w:rPr>
        <w:t>https://pubmed.ncbi.nlm.nih.gov/42435263/</w:t>
      </w:r>
    </w:p>
    <w:p>
      <w:pPr>
        <w:pStyle w:val="Heading1"/>
      </w:pPr>
      <w:r>
        <w:t>Aufgenommen am 11.09.2026</w:t>
      </w:r>
    </w:p>
    <w:p>
      <w:pPr>
        <w:pStyle w:val="Heading2"/>
      </w:pPr>
      <w:r>
        <w:t>Gesunde Arbeitsjahre: Länder- und individuelle Faktoren in multinationaler Kohorte</w:t>
      </w:r>
    </w:p>
    <w:p>
      <w:r>
        <w:rPr>
          <w:i/>
          <w:color w:val="666666"/>
          <w:sz w:val="18"/>
        </w:rPr>
        <w:t>Zhu J et al.  ·  PLoS Med  ·  10.09.2026  ·  PMID 42721193</w:t>
      </w:r>
    </w:p>
    <w:p>
      <w:r>
        <w:t>Multinational prospektive Kohortenstudie mit 79.833 Männern und 95.485 Frauen ≥50 Jahren aus 28 Ländern zu Einflussfaktoren auf die Anzahl gesunder, berufstätiger Lebensjahre.</w:t>
      </w:r>
    </w:p>
    <w:p>
      <w:r>
        <w:rPr>
          <w:b/>
        </w:rPr>
        <w:t xml:space="preserve">Ergebnis: </w:t>
      </w:r>
      <w:r>
        <w:t>Mit 50 Jahren: durchschnittliche Gesamtlebenserwartung 33,59 Jahre, davon 10,98 Jahre in Gesundheit und Erwerbstätigkeit (HWLE). Frauen: 9,82 Jahre HWLE, Männer: 12,36 Jahre. Verheiratung, höhere Bildung, gesunde Lebensstile verlängern HWLE. Schlaganfall reduziert HWLE um 5,49 Jahre. Länderebene: höhere Gesundheitsausgaben, höheres BIP pro Kopf, bessere Governance und flexible Arbeitsbedingungen assoziiert mit längerer HWLE. Höhere Ungleichheit (Gini-Index) und politische Instabilität reduzieren HWLE.</w:t>
      </w:r>
    </w:p>
    <w:p>
      <w:r>
        <w:rPr>
          <w:b/>
          <w:sz w:val="19"/>
        </w:rPr>
        <w:t xml:space="preserve">Übertragbarkeit: </w:t>
      </w:r>
      <w:r>
        <w:rPr>
          <w:sz w:val="19"/>
        </w:rPr>
        <w:t>Länderübergreifend, einzelne europäische Länder eingeschlossen, zeigt Wirksamkeit von Prävention und Arbeitsbedingungen</w:t>
      </w:r>
    </w:p>
    <w:p>
      <w:r>
        <w:rPr>
          <w:color w:val="5A7D3A"/>
          <w:sz w:val="18"/>
        </w:rPr>
        <w:t>https://pubmed.ncbi.nlm.nih.gov/42721193/</w:t>
      </w:r>
    </w:p>
    <w:p>
      <w:pPr>
        <w:pStyle w:val="Heading2"/>
      </w:pPr>
      <w:r>
        <w:t>Biologisches Altern und Osteoarthritis-Risiko: Kohortenstudie UK Biobank</w:t>
      </w:r>
    </w:p>
    <w:p>
      <w:r>
        <w:rPr>
          <w:i/>
          <w:color w:val="666666"/>
          <w:sz w:val="18"/>
        </w:rPr>
        <w:t>Liu S et al.  ·  Int J Rheum Dis  ·  Sept. 2026  ·  PMID 42687813</w:t>
      </w:r>
    </w:p>
    <w:p>
      <w:r>
        <w:t>Querschnitts- und Längsschnittanalyse an 332.261 UK-Biobank-Teilnehmern zu Assoziation zwischen biologischem Altern (gemessen durch PhenoAge und KDMAge) und Osteoarthritis-Inzidenz.</w:t>
      </w:r>
    </w:p>
    <w:p>
      <w:r>
        <w:rPr>
          <w:b/>
        </w:rPr>
        <w:t xml:space="preserve">Ergebnis: </w:t>
      </w:r>
      <w:r>
        <w:t>55,4 % der Kohorte zeigten jüngeres biologisches Alter (PhenoAge Acceleration). Im Querschnitt: höhere Odds für OA bei beschleunigtem biologischen Altern (OR 1,12 für PhenoAge, 95 % CI 1,09–1,14; OR 1,05 für KDMAge, 95 % CI 1,03–1,08). Längsschnittlich (Follow-up): PhenoAge-Beschleunigung erhöhte OA-Risiko (HR 1,12, 95 % CI 1,10–1,15). KDMAge zeigte keine signifikante Längsassoziaton. Effekt stärker bei &gt;60 Jahren. Biologische Altersbeschleunigung ist vom OA-Polygenic-Risk-Score unabhängig.</w:t>
      </w:r>
    </w:p>
    <w:p>
      <w:r>
        <w:rPr>
          <w:b/>
          <w:sz w:val="19"/>
        </w:rPr>
        <w:t xml:space="preserve">Übertragbarkeit: </w:t>
      </w:r>
      <w:r>
        <w:rPr>
          <w:sz w:val="19"/>
        </w:rPr>
        <w:t>UK Biobank, vergleichbares englisches Sozialversicherungssystem, biomarkergestützte Risikovorhersage</w:t>
      </w:r>
    </w:p>
    <w:p>
      <w:r>
        <w:rPr>
          <w:color w:val="5A7D3A"/>
          <w:sz w:val="18"/>
        </w:rPr>
        <w:t>https://pubmed.ncbi.nlm.nih.gov/42687813/</w:t>
      </w:r>
    </w:p>
    <w:p>
      <w:pPr>
        <w:pStyle w:val="Heading2"/>
      </w:pPr>
      <w:r>
        <w:t>Hochaltrige in Deutschland: Demografie, regionale Ungleichheiten und Gesundheit</w:t>
      </w:r>
    </w:p>
    <w:p>
      <w:r>
        <w:rPr>
          <w:i/>
          <w:color w:val="666666"/>
          <w:sz w:val="18"/>
        </w:rPr>
        <w:t>Wolter B et al.  ·  Bundesgesundheitsblatt Gesundheitsforschung Gesundheitsschutz  ·  18.08.2026  ·  PMID 42611051</w:t>
      </w:r>
    </w:p>
    <w:p>
      <w:r>
        <w:t>Deutschlandweite Beschreibung der Demografie, Lebenslage und Gesundheit von über 80-Jährigen auf Basis der repräsentativen Studien Gesundheit 65+ und D80+.</w:t>
      </w:r>
    </w:p>
    <w:p>
      <w:r>
        <w:rPr>
          <w:b/>
        </w:rPr>
        <w:t xml:space="preserve">Ergebnis: </w:t>
      </w:r>
      <w:r>
        <w:t>Etwa ein Viertel der Hochaltrigen hat starke funktionale Einschränkungen (beide Datensätze konsistent). Männer zeigen bessere Alltagsfunktionalität als Frauen. Ein Drittel ist beim Gehen &gt;1 km, ein Sechstel beim Treppensteigen stark beeinträchtigt. Schwere Sehverluste bei 10 %, Hörverluste bei 27 %. Harninkontinenz betrifft 40 % (Frauen häufiger). 43 % sind pre-frail, 8,6 % frail. Funktionale Einschränkungen sind besonders bei Frauen und Niedrigeinkommen ausgeprägt.</w:t>
      </w:r>
    </w:p>
    <w:p>
      <w:r>
        <w:rPr>
          <w:b/>
          <w:sz w:val="19"/>
        </w:rPr>
        <w:t xml:space="preserve">Übertragbarkeit: </w:t>
      </w:r>
      <w:r>
        <w:rPr>
          <w:sz w:val="19"/>
        </w:rPr>
        <w:t>Deutsche Daten aus RKI und ceres, direkt anwendbar</w:t>
      </w:r>
    </w:p>
    <w:p>
      <w:r>
        <w:rPr>
          <w:color w:val="5A7D3A"/>
          <w:sz w:val="18"/>
        </w:rPr>
        <w:t>https://pubmed.ncbi.nlm.nih.gov/42611051/</w:t>
      </w:r>
    </w:p>
    <w:p>
      <w:pPr>
        <w:pStyle w:val="Heading2"/>
      </w:pPr>
      <w:r>
        <w:t>Präventive Hausbesuche zur Gesundheitsförderung älterer Menschen</w:t>
      </w:r>
    </w:p>
    <w:p>
      <w:r>
        <w:rPr>
          <w:i/>
          <w:color w:val="666666"/>
          <w:sz w:val="18"/>
        </w:rPr>
        <w:t>Blotenberg B et al.  ·  Bundesgesundheitsblatt Gesundheitsforschung Gesundheitsschutz  ·  13.08.2026  ·  PMID 42593520</w:t>
      </w:r>
    </w:p>
    <w:p>
      <w:r>
        <w:t>Diskussionsbeitrag zu Konzeption, Effektivität und Finanzierungserfordernissen präventiver Hausbesuche als niedrigschwellige Versorgungsform in Deutschland.</w:t>
      </w:r>
    </w:p>
    <w:p>
      <w:r>
        <w:rPr>
          <w:b/>
        </w:rPr>
        <w:t xml:space="preserve">Ergebnis: </w:t>
      </w:r>
      <w:r>
        <w:t>In Deutschland wachsende Zahl von Projekten mit unterschiedlichen Konzepten. PHB können Sturzrisiken, soziale Isolation und Ernährungsmängel früh erkennen und Versorgungskompetenz stärken. Zentrale Herausforderung: Langzeitfinanzierung und Verstetigung bislang projektförmig organisierter Angebote. Forderung: Bessere Verankerung in gesetzlicher Kranken- und Pflegeversicherung.</w:t>
      </w:r>
    </w:p>
    <w:p>
      <w:r>
        <w:rPr>
          <w:b/>
          <w:sz w:val="19"/>
        </w:rPr>
        <w:t xml:space="preserve">Übertragbarkeit: </w:t>
      </w:r>
      <w:r>
        <w:rPr>
          <w:sz w:val="19"/>
        </w:rPr>
        <w:t>Deutsche Gesundheitslandschaft, unmittelbar relevant für Finanzierungsdiskurs</w:t>
      </w:r>
    </w:p>
    <w:p>
      <w:r>
        <w:rPr>
          <w:color w:val="5A7D3A"/>
          <w:sz w:val="18"/>
        </w:rPr>
        <w:t>https://pubmed.ncbi.nlm.nih.gov/42593520/</w:t>
      </w:r>
    </w:p>
    <w:p>
      <w:pPr>
        <w:pStyle w:val="Heading2"/>
      </w:pPr>
      <w:r>
        <w:t>Körperliche Funktionsfähigkeit und Frailty im sehr hohen Alter</w:t>
      </w:r>
    </w:p>
    <w:p>
      <w:r>
        <w:rPr>
          <w:i/>
          <w:color w:val="666666"/>
          <w:sz w:val="18"/>
        </w:rPr>
        <w:t>Nowossadeck S et al.  ·  Bundesgesundheitsblatt Gesundheitsforschung Gesundheitsschutz  ·  11.08.2026  ·  PMID 42579141</w:t>
      </w:r>
    </w:p>
    <w:p>
      <w:r>
        <w:t>Analyse von Funktionsfähigkeit und Frailty bei über 80-Jährigen in deutschen Privathaushalten mit GALI und spezifischen Funktionsindikatoren.</w:t>
      </w:r>
    </w:p>
    <w:p>
      <w:r>
        <w:rPr>
          <w:b/>
        </w:rPr>
        <w:t xml:space="preserve">Ergebnis: </w:t>
      </w:r>
      <w:r>
        <w:t>Ein Viertel hat schwere funktionale Einschränkungen (GALI). Mobilität: 33 % bei &gt;1 km Gehstrecke, 17 % beim Treppensteigen stark begrenzt. Sensorische Defizite: 10 % Sehstörungen, 27 % Hörstörungen. Harninkontinenz 40 %. Robustheit 49 %, Pre-Frailty 43 %, Frailty 8,6 %. Geschlechts- und teilweise einkommensspezifische Unterschiede vorhanden.</w:t>
      </w:r>
    </w:p>
    <w:p>
      <w:r>
        <w:rPr>
          <w:b/>
          <w:sz w:val="19"/>
        </w:rPr>
        <w:t xml:space="preserve">Übertragbarkeit: </w:t>
      </w:r>
      <w:r>
        <w:rPr>
          <w:sz w:val="19"/>
        </w:rPr>
        <w:t>Deutsche Alternssurvey (DEAS) und Gesundheit 65+, direkt auf deutsches System übertragbar</w:t>
      </w:r>
    </w:p>
    <w:p>
      <w:r>
        <w:rPr>
          <w:color w:val="5A7D3A"/>
          <w:sz w:val="18"/>
        </w:rPr>
        <w:t>https://pubmed.ncbi.nlm.nih.gov/42579141/</w:t>
      </w:r>
    </w:p>
    <w:p>
      <w:pPr>
        <w:pStyle w:val="Heading2"/>
      </w:pPr>
      <w:r>
        <w:t>Genexpression in Mikroglia über die Lebensspanne: nichtlineare Muster und AD-Implikationen</w:t>
      </w:r>
    </w:p>
    <w:p>
      <w:r>
        <w:rPr>
          <w:i/>
          <w:color w:val="666666"/>
          <w:sz w:val="18"/>
        </w:rPr>
        <w:t>Muedano-Sosa A et al.  ·  Exp Gerontol  ·  01.10.2026  ·  PMID 42551772</w:t>
      </w:r>
    </w:p>
    <w:p>
      <w:r>
        <w:t>In-silico-Transkriptomanalyse öffentlicher Datensätze zur Charakterisierung von Genexpressions-Trajektorien während physiologischen und pathologischen Alterns von Mikroglia.</w:t>
      </w:r>
    </w:p>
    <w:p>
      <w:r>
        <w:rPr>
          <w:b/>
        </w:rPr>
        <w:t xml:space="preserve">Ergebnis: </w:t>
      </w:r>
      <w:r>
        <w:t>Physiologisches Alter der Mikroglia zeigt nichtlineare, spiegelsymmetrische Expressionsmuster bei Genen der Mitochondrienfunktion, lysosomalen Degradation und Immunantwort. Dieses Muster ist in humanen Daten konserviert. Bei pathologischem Altern (APP/PS1 transgene Mäuse) wird dieses adaptive Muster gestört – anhaltende Entzündungs- und Mitochondriendysfunktion. Mittleres Alter könnte kritischer Übergangspunkt sein, bevor Neuroinflammation einsetzt. Gene, die in transgenen Mäusen dysreguliert sind, zeigen ähnliche Trends in AD-Patienten.</w:t>
      </w:r>
    </w:p>
    <w:p>
      <w:r>
        <w:rPr>
          <w:b/>
          <w:sz w:val="19"/>
        </w:rPr>
        <w:t xml:space="preserve">Übertragbarkeit: </w:t>
      </w:r>
      <w:r>
        <w:rPr>
          <w:sz w:val="19"/>
        </w:rPr>
        <w:t>Mausmodelle und humane Daten, grundlagenwissenschaftlich; translational zu AD</w:t>
      </w:r>
    </w:p>
    <w:p>
      <w:r>
        <w:rPr>
          <w:color w:val="5A7D3A"/>
          <w:sz w:val="18"/>
        </w:rPr>
        <w:t>https://pubmed.ncbi.nlm.nih.gov/42551772/</w:t>
      </w:r>
    </w:p>
    <w:p>
      <w:pPr>
        <w:pStyle w:val="Heading1"/>
      </w:pPr>
      <w:r>
        <w:t>Aufgenommen am 10.09.2026</w:t>
      </w:r>
    </w:p>
    <w:p>
      <w:pPr>
        <w:pStyle w:val="Heading2"/>
      </w:pPr>
      <w:r>
        <w:t>Altersgerechte Umgebungen reduzieren Motoric-Cognitive-Risk-Syndrom</w:t>
      </w:r>
    </w:p>
    <w:p>
      <w:r>
        <w:rPr>
          <w:i/>
          <w:color w:val="666666"/>
          <w:sz w:val="18"/>
        </w:rPr>
        <w:t>Zhang H et al.  ·  Alzheimers Dement  ·  Sept. 2026  ·  PMID 42712112</w:t>
      </w:r>
    </w:p>
    <w:p>
      <w:r>
        <w:t>Prospektive Kohortenstudie aus den USA, die den Zusammenhang zwischen altersgerechten Lebensumgebungen und Inzidenz des Motoric Cognitive Risk Syndrome (Prädemenzsyndrom) untersucht.</w:t>
      </w:r>
    </w:p>
    <w:p>
      <w:r>
        <w:rPr>
          <w:b/>
        </w:rPr>
        <w:t xml:space="preserve">Ergebnis: </w:t>
      </w:r>
      <w:r>
        <w:t>Über 4 Jahre Nachbeobachtung: 801 Neuerkrankungen bei 7.608 älteren Erwachsenen (Durchschnittsalter 76,8 Jahre). Mit höherem altersgerechten Umgebungsscore geringeres MCR-Risiko (Q3: HR 0,75; 95%-KI 0,61–0,91; Q4: HR 0,62; 95%-KI 0,50–0,78); Dosis-Wirkungs-Beziehung nachgewiesen (HR 0,96 pro Punkt; p&lt;0,01).</w:t>
      </w:r>
    </w:p>
    <w:p>
      <w:r>
        <w:rPr>
          <w:b/>
          <w:sz w:val="19"/>
        </w:rPr>
        <w:t xml:space="preserve">Übertragbarkeit: </w:t>
      </w:r>
      <w:r>
        <w:rPr>
          <w:sz w:val="19"/>
        </w:rPr>
        <w:t>USA-Daten – Umweltgestaltung ist länderübergreifend adaptierbar, Outcome-Messung jedoch populationsspezifisch.</w:t>
      </w:r>
    </w:p>
    <w:p>
      <w:r>
        <w:rPr>
          <w:color w:val="5A7D3A"/>
          <w:sz w:val="18"/>
        </w:rPr>
        <w:t>https://pubmed.ncbi.nlm.nih.gov/42712112/</w:t>
      </w:r>
    </w:p>
    <w:p>
      <w:pPr>
        <w:pStyle w:val="Heading2"/>
      </w:pPr>
      <w:r>
        <w:t>Mundgesundheit und Gebrechlichkeit bei Krebspatienten: Metaanalyse</w:t>
      </w:r>
    </w:p>
    <w:p>
      <w:r>
        <w:rPr>
          <w:i/>
          <w:color w:val="666666"/>
          <w:sz w:val="18"/>
        </w:rPr>
        <w:t>Liu W et al.  ·  Front Public Health  ·  24.08.2026  ·  PMID 42707137</w:t>
      </w:r>
    </w:p>
    <w:p>
      <w:r>
        <w:t>Systematische Übersicht und Metaanalyse von 13 Studien (n=3.524) zur Prävalenz und Einflussfaktoren von Mundgebrechlichkeit (oral frailty) bei Krebspatienten.</w:t>
      </w:r>
    </w:p>
    <w:p>
      <w:r>
        <w:rPr>
          <w:b/>
        </w:rPr>
        <w:t xml:space="preserve">Ergebnis: </w:t>
      </w:r>
      <w:r>
        <w:t>Mundgebrechlichkeit-Prävalenz 52 % (95%-KI: 46–59 %). Signifikante Assoziationen mit: Zahnersatz (OR 15,09; KI 6,78–33,58), schlechter Mundgesundheit (OR 4,70; KI 2,13–10,39), körperlicher Frailty (OR 3,63; KI 2,40–5,50), Rauchen (OR 3,53; KI 2,34–5,31), Mangelernährung (OR 3,40; KI 2,01–5,75), Xerostomie (OR 3,46; KI 2,11–5,68) und Radiotherapie (OR 2,62; KI 1,67–4,11).</w:t>
      </w:r>
    </w:p>
    <w:p>
      <w:r>
        <w:rPr>
          <w:b/>
          <w:sz w:val="19"/>
        </w:rPr>
        <w:t xml:space="preserve">Übertragbarkeit: </w:t>
      </w:r>
      <w:r>
        <w:rPr>
          <w:sz w:val="19"/>
        </w:rPr>
        <w:t>Internationale Metaanalyse – risikofaktoren geriatrierelevant, aber Mundhygiene-Standards regional unterschiedlich.</w:t>
      </w:r>
    </w:p>
    <w:p>
      <w:r>
        <w:rPr>
          <w:color w:val="5A7D3A"/>
          <w:sz w:val="18"/>
        </w:rPr>
        <w:t>https://pubmed.ncbi.nlm.nih.gov/42707137/</w:t>
      </w:r>
    </w:p>
    <w:p>
      <w:pPr>
        <w:pStyle w:val="Heading2"/>
      </w:pPr>
      <w:r>
        <w:t>Demenzkonversion bei milder kognitiver Beeinträchtigung: Inzidenzraten in Brasilien</w:t>
      </w:r>
    </w:p>
    <w:p>
      <w:r>
        <w:rPr>
          <w:i/>
          <w:color w:val="666666"/>
          <w:sz w:val="18"/>
        </w:rPr>
        <w:t>Engelmann GTO et al.  ·  Alzheimers Dement  ·  Sept. 2026  ·  PMID 42706593</w:t>
      </w:r>
    </w:p>
    <w:p>
      <w:r>
        <w:t>15-Jahres-Kohortenstudie der kognitiven Entwicklung brasilianischer Älterer, die Übergangsraten von milder kognitiver Beeinträchtigung zu Demenz vom Alzheimer-Typ quantifiziert.</w:t>
      </w:r>
    </w:p>
    <w:p>
      <w:r>
        <w:rPr>
          <w:b/>
        </w:rPr>
        <w:t xml:space="preserve">Ergebnis: </w:t>
      </w:r>
      <w:r>
        <w:t>Jährliche Demenzkonversionsrate in der MCI-Gruppe 10,72 pro 100 Personenjahre (95%-KI: 8,54–13,29 %); kumulative Inzidenz nach 3 Jahren 29,85 % (95%-KI: 22,74–36,96 %), unter Berücksichtigung von Sterblichkeit als konkurrierende Ereignis. Die Studie belegt rasche Progression in Ländern mit mittlerem und niedrigem Einkommen.</w:t>
      </w:r>
    </w:p>
    <w:p>
      <w:r>
        <w:rPr>
          <w:b/>
          <w:sz w:val="19"/>
        </w:rPr>
        <w:t xml:space="preserve">Übertragbarkeit: </w:t>
      </w:r>
      <w:r>
        <w:rPr>
          <w:sz w:val="19"/>
        </w:rPr>
        <w:t>Brasilien - Daten für Länder mit niedrigerer Lebenserwartung; Übertragbarkeit auf Deutschland begrenzt.</w:t>
      </w:r>
    </w:p>
    <w:p>
      <w:r>
        <w:rPr>
          <w:color w:val="5A7D3A"/>
          <w:sz w:val="18"/>
        </w:rPr>
        <w:t>https://pubmed.ncbi.nlm.nih.gov/42706593/</w:t>
      </w:r>
    </w:p>
    <w:p>
      <w:pPr>
        <w:pStyle w:val="Heading2"/>
      </w:pPr>
      <w:r>
        <w:t>Lifestyle und Telomerlänge bei psychischen Erkrankungen</w:t>
      </w:r>
    </w:p>
    <w:p>
      <w:r>
        <w:rPr>
          <w:i/>
          <w:color w:val="666666"/>
          <w:sz w:val="18"/>
        </w:rPr>
        <w:t>Mlakar V et al.  ·  Transl Psychiatry  ·  02.09.2026  ·  PMID 42706234</w:t>
      </w:r>
    </w:p>
    <w:p>
      <w:r>
        <w:t>Querschnittstudie, die den Zusammenhang zwischen Lebensstilfaktoren und biologischem Alterungsmarker (Telomerlänge) bei 410 Personen mit schweren psychischen Störungen untersucht.</w:t>
      </w:r>
    </w:p>
    <w:p>
      <w:r>
        <w:rPr>
          <w:b/>
        </w:rPr>
        <w:t xml:space="preserve">Ergebnis: </w:t>
      </w:r>
      <w:r>
        <w:t>Personen mit ungesundem Lebensstil hatten kürzere Telomere als solche mit gesundem Lebensstil (Cohens d = 0,58, F = 8,62, p = 0,004). Mit zunehmender Anzahl ungesunder Verhaltensweisen kürzere Telomere (F = 2,69, p = 0,02, adjustiert für Alter, Geschlecht, Ethnizität, Trauma, Medikation, Bildung, Diagnose). Gesunder Lebensstil assoziiert mit etwa 6 Jahren niedrigerem biologischem Alter.</w:t>
      </w:r>
    </w:p>
    <w:p>
      <w:r>
        <w:rPr>
          <w:b/>
          <w:sz w:val="19"/>
        </w:rPr>
        <w:t xml:space="preserve">Übertragbarkeit: </w:t>
      </w:r>
      <w:r>
        <w:rPr>
          <w:sz w:val="19"/>
        </w:rPr>
        <w:t>Norwegen-England – psychische Grundpopulation, methodisch solid; Übertragbarkeit auf deutsches Versorgungssystem moderat.</w:t>
      </w:r>
    </w:p>
    <w:p>
      <w:r>
        <w:rPr>
          <w:color w:val="5A7D3A"/>
          <w:sz w:val="18"/>
        </w:rPr>
        <w:t>https://pubmed.ncbi.nlm.nih.gov/42706234/</w:t>
      </w:r>
    </w:p>
    <w:p>
      <w:pPr>
        <w:pStyle w:val="Heading2"/>
      </w:pPr>
      <w:r>
        <w:t>Perspektivenübernahme reduziert Altersstereotypen bei Onlineinterventionen</w:t>
      </w:r>
    </w:p>
    <w:p>
      <w:r>
        <w:rPr>
          <w:i/>
          <w:color w:val="666666"/>
          <w:sz w:val="18"/>
        </w:rPr>
        <w:t>Stecker L et al.  ·  J Aging Stud  ·  08.08.2026  ·  PMID 42705830</w:t>
      </w:r>
    </w:p>
    <w:p>
      <w:r>
        <w:t>Experimentelle Studie, welche von drei Kurzzeitinterventionen gegen Altersdiskriminierung und Hassrede im Internet die Wirksamkeit vergleicht.</w:t>
      </w:r>
    </w:p>
    <w:p>
      <w:r>
        <w:rPr>
          <w:b/>
        </w:rPr>
        <w:t xml:space="preserve">Ergebnis: </w:t>
      </w:r>
      <w:r>
        <w:t>Perspektivenübernahme war die einzige Intervention, die explizite Stereotype signifikant reduzierte (zwischen den Gruppen gemessen mit IAT und Likert-Skalen); implizite Ageism-Verzerrung wurde durch keine der drei kurzen Interventionen verschoben. Altersangst moderierte die Effektivität nicht, sagte aber explizite Altersdiskriminierung voraus.</w:t>
      </w:r>
    </w:p>
    <w:p>
      <w:r>
        <w:rPr>
          <w:b/>
          <w:sz w:val="19"/>
        </w:rPr>
        <w:t xml:space="preserve">Übertragbarkeit: </w:t>
      </w:r>
      <w:r>
        <w:rPr>
          <w:sz w:val="19"/>
        </w:rPr>
        <w:t>Deutschland - universitäre Stichprobe, aber Onlineformat länderübergreifend einsetzbar.</w:t>
      </w:r>
    </w:p>
    <w:p>
      <w:r>
        <w:rPr>
          <w:color w:val="5A7D3A"/>
          <w:sz w:val="18"/>
        </w:rPr>
        <w:t>https://pubmed.ncbi.nlm.nih.gov/42705830/</w:t>
      </w:r>
    </w:p>
    <w:p>
      <w:pPr>
        <w:pStyle w:val="Heading2"/>
      </w:pPr>
      <w:r>
        <w:t>Schichtarbeit, biologische Altersbeschleunigung und Sterblichkeit</w:t>
      </w:r>
    </w:p>
    <w:p>
      <w:r>
        <w:rPr>
          <w:i/>
          <w:color w:val="666666"/>
          <w:sz w:val="18"/>
        </w:rPr>
        <w:t>Wang R et al.  ·  Int Arch Occup Environ Health  ·  06.09.2026  ·  PMID 42701914</w:t>
      </w:r>
    </w:p>
    <w:p>
      <w:r>
        <w:t>Prospektive Kohortenstudie von 7.548 US-Erwachsenen mit Mortality-Follow-up, die Assoziationen zwischen Schichtarbeit und All-cause-Mortalität sowie die Rolle biologischer Altersbeschleunigung untersucht.</w:t>
      </w:r>
    </w:p>
    <w:p>
      <w:r>
        <w:rPr>
          <w:b/>
        </w:rPr>
        <w:t xml:space="preserve">Ergebnis: </w:t>
      </w:r>
      <w:r>
        <w:t>Schichtarbeit assoziiert mit erhöhter Gesamtsterblichkeit (HR 1,52; 95%-KI 1,09–2,13). Schichtarbeiter zeigten stärkere PhenoAge-Beschleunigung (β = 0,39 Jahre). PhenoAge-Beschleunigung statistisch verantwortlich für 6,18 % der Assoziation zwischen Schichtarbeit und Sterblichkeit (kausale Mediation nicht inferierbar).</w:t>
      </w:r>
    </w:p>
    <w:p>
      <w:r>
        <w:rPr>
          <w:b/>
          <w:sz w:val="19"/>
        </w:rPr>
        <w:t xml:space="preserve">Übertragbarkeit: </w:t>
      </w:r>
      <w:r>
        <w:rPr>
          <w:sz w:val="19"/>
        </w:rPr>
        <w:t>USA-NHANES-Daten – Schichtarbeit-Definition international vergleichbar, aber Arbeitsmarkt und Sozialversicherung unterscheiden sich erheblich.</w:t>
      </w:r>
    </w:p>
    <w:p>
      <w:r>
        <w:rPr>
          <w:color w:val="5A7D3A"/>
          <w:sz w:val="18"/>
        </w:rPr>
        <w:t>https://pubmed.ncbi.nlm.nih.gov/42701914/</w:t>
      </w:r>
    </w:p>
    <w:p>
      <w:pPr>
        <w:pStyle w:val="Heading1"/>
      </w:pPr>
      <w:r>
        <w:t>Aufgenommen am 09.09.2026</w:t>
      </w:r>
    </w:p>
    <w:p>
      <w:pPr>
        <w:pStyle w:val="Heading2"/>
      </w:pPr>
      <w:r>
        <w:t>Sozioökonomische Ungleichheiten in der Lebenserwartung nach Diagnose: Dänemark 64 Erkrankungen</w:t>
      </w:r>
    </w:p>
    <w:p>
      <w:r>
        <w:rPr>
          <w:i/>
          <w:color w:val="666666"/>
          <w:sz w:val="18"/>
        </w:rPr>
        <w:t>Pallesen AVJ et al.  ·  Eur J Public Health  ·  04.08.2026  ·  PMID 42709676</w:t>
      </w:r>
    </w:p>
    <w:p>
      <w:r>
        <w:t>Bevölkerungsregister-Studie (4,4 Mio. Dänen) mit Multistate-Modellen zur Abbildung von Bildungs- und Einkommensungleichheiten in der Lebenserwartung nach Diagnose von 64 nichtübertragbaren Erkrankungen.</w:t>
      </w:r>
    </w:p>
    <w:p>
      <w:r>
        <w:rPr>
          <w:b/>
        </w:rPr>
        <w:t xml:space="preserve">Ergebnis: </w:t>
      </w:r>
      <w:r>
        <w:t>Bildungs- und Einkommensungleichheiten in der Lebenserwartung nach Diagnosestellung waren konsistent über alle 64 Erkrankungen hinweg vorhanden. Beispiel Leberzirrhose: Hochgebildete 50-Jährige mit Diagnose lebten 17 Jahre (Frauen) bzw. 13 Jahre (Männer) länger als Niedriggebildete (14 bzw. 10 Jahre). Befund zeigt universelles Muster: Sozioökonomische Position beeinflusst Krankheitsverlauf und Mortalität unabhängig von der Erkrankung.</w:t>
      </w:r>
    </w:p>
    <w:p>
      <w:r>
        <w:rPr>
          <w:b/>
          <w:sz w:val="19"/>
        </w:rPr>
        <w:t xml:space="preserve">Übertragbarkeit: </w:t>
      </w:r>
      <w:r>
        <w:rPr>
          <w:sz w:val="19"/>
        </w:rPr>
        <w:t>Dänische Vollpopulationsdaten, Sozialversicherungssystem vergleichbar mit Deutschland.</w:t>
      </w:r>
    </w:p>
    <w:p>
      <w:r>
        <w:rPr>
          <w:color w:val="5A7D3A"/>
          <w:sz w:val="18"/>
        </w:rPr>
        <w:t>https://pubmed.ncbi.nlm.nih.gov/42709676/</w:t>
      </w:r>
    </w:p>
    <w:p>
      <w:pPr>
        <w:pStyle w:val="Heading2"/>
      </w:pPr>
      <w:r>
        <w:t>Allostatic Load vorhersagt Frailty-Entwicklung: 12-Jahres-Längsschnittstudie</w:t>
      </w:r>
    </w:p>
    <w:p>
      <w:r>
        <w:rPr>
          <w:i/>
          <w:color w:val="666666"/>
          <w:sz w:val="18"/>
        </w:rPr>
        <w:t>Arkesteijn M et al.  ·  Stress Health  ·  Okt. 2026  ·  PMID 42708507</w:t>
      </w:r>
    </w:p>
    <w:p>
      <w:r>
        <w:t>English Longitudinal Survey on Ageing (ELSA): 3248 Personen 50–89 Jahre über 12 Jahre; Analyse, ob Allostatic Load (Multimarkerbiomarker chronischen Stresses) die Neuonset von Prä-Frailty oder Frailty vorhersagt.</w:t>
      </w:r>
    </w:p>
    <w:p>
      <w:r>
        <w:rPr>
          <w:b/>
        </w:rPr>
        <w:t xml:space="preserve">Ergebnis: </w:t>
      </w:r>
      <w:r>
        <w:t>Erhöhte Allostatic Load war signifikanter Prädiktor für Onset von Prä-Frailty und Frailty (Hazard Ratio nicht in Abstract beziffert). Soziale Unterstützung modifizierte diesen Effekt modifizierbar. Alter und Geschlecht interagierten nicht mit Allostatic Load und Frailty-Vorhersage. Allostatic Load könnte als Screening-Instrument für Frailty-Risiko bei aktuell nicht-frailem Individuen dienen.</w:t>
      </w:r>
    </w:p>
    <w:p>
      <w:r>
        <w:rPr>
          <w:b/>
          <w:sz w:val="19"/>
        </w:rPr>
        <w:t xml:space="preserve">Übertragbarkeit: </w:t>
      </w:r>
      <w:r>
        <w:rPr>
          <w:sz w:val="19"/>
        </w:rPr>
        <w:t>Großbritannien, NHS-System, nationale Surveydaten vergleichbar mit deutschem Setting.</w:t>
      </w:r>
    </w:p>
    <w:p>
      <w:r>
        <w:rPr>
          <w:color w:val="5A7D3A"/>
          <w:sz w:val="18"/>
        </w:rPr>
        <w:t>https://pubmed.ncbi.nlm.nih.gov/42708507/</w:t>
      </w:r>
    </w:p>
    <w:p>
      <w:pPr>
        <w:pStyle w:val="Heading2"/>
      </w:pPr>
      <w:r>
        <w:t>Zivilgesellschaftliche Beteiligung älterer Menschen und wahrgenommene Gesundheit</w:t>
      </w:r>
    </w:p>
    <w:p>
      <w:r>
        <w:rPr>
          <w:i/>
          <w:color w:val="666666"/>
          <w:sz w:val="18"/>
        </w:rPr>
        <w:t>Cantore M et al.  ·  Front Public Health  ·  24.08.2026  ·  PMID 42707366</w:t>
      </w:r>
    </w:p>
    <w:p>
      <w:r>
        <w:t>Qualitative Studie (Italien, 2025): 12 ältere Erwachsene (≥70 Jahre) zu Erfahrungen mit zivilgesellschaftlicher und politischer Partizipation und deren Auswirkungen auf Gesundheit und Wohlbefinden.</w:t>
      </w:r>
    </w:p>
    <w:p>
      <w:r>
        <w:rPr>
          <w:b/>
        </w:rPr>
        <w:t xml:space="preserve">Ergebnis: </w:t>
      </w:r>
      <w:r>
        <w:t>Freiwilliges Engagement fördert körperliche Mobilität, Handlungsfähigkeit und Selbstwirksamkeit. Politische Partizipation wirkt kognitiv stimulierend, führt aber häufig zu emotionaler Erschöpfung, Entfremdung und Frustration. Intergenerationale Lernprozesse und Dialog gelten als zentral für nachhaltiges Engagement. Befund belegt, dass emotionale Belastung durch politische Enttäuschung zu beachten ist.</w:t>
      </w:r>
    </w:p>
    <w:p>
      <w:r>
        <w:rPr>
          <w:b/>
          <w:sz w:val="19"/>
        </w:rPr>
        <w:t xml:space="preserve">Übertragbarkeit: </w:t>
      </w:r>
      <w:r>
        <w:rPr>
          <w:sz w:val="19"/>
        </w:rPr>
        <w:t>Italien, Südeuropa; Gesundheitssystem und zivilgesellschaftliche Strukturen unterscheiden sich von Deutschland.</w:t>
      </w:r>
    </w:p>
    <w:p>
      <w:r>
        <w:rPr>
          <w:color w:val="5A7D3A"/>
          <w:sz w:val="18"/>
        </w:rPr>
        <w:t>https://pubmed.ncbi.nlm.nih.gov/42707366/</w:t>
      </w:r>
    </w:p>
    <w:p>
      <w:pPr>
        <w:pStyle w:val="Heading2"/>
      </w:pPr>
      <w:r>
        <w:t>Altern ohne Verwandte: Transnigration, Sehnsucht und Desillusionierung</w:t>
      </w:r>
    </w:p>
    <w:p>
      <w:r>
        <w:rPr>
          <w:i/>
          <w:color w:val="666666"/>
          <w:sz w:val="18"/>
        </w:rPr>
        <w:t>Mishra J et al.  ·  J Aging Stud  ·  26.06.2026  ·  PMID 42705826</w:t>
      </w:r>
    </w:p>
    <w:p>
      <w:r>
        <w:t>Ethnografische Studie in Patiala (Nordindien) mit älteren Erwachsenen: Erfahrungen mit transnationaler Migration ihrer Familienangehörigen und deren Auswirkungen auf Wahrnehmung von Sorge, Zugehörigkeit und Familienrekonfiguration im Alter.</w:t>
      </w:r>
    </w:p>
    <w:p>
      <w:r>
        <w:rPr>
          <w:b/>
        </w:rPr>
        <w:t xml:space="preserve">Ergebnis: </w:t>
      </w:r>
      <w:r>
        <w:t>Ältere Ermöglichen Emigration ihrer Kinder durch Ressourcen-Pooling; erleben aber Abwesenheit emigrierter Kinder in paradoxer Liminalität. Zunehmende Desillusionierung mit Staat (Arbeitslosigkeit, Agrarkrise, Korruption), komplexe Beziehungen zu internen Migranten aus anderen Bundesstaaten. Migration produziert mehrschichtige affektive, soziale und politische Verflechtungen, die Alterserfahrung prägen.</w:t>
      </w:r>
    </w:p>
    <w:p>
      <w:r>
        <w:rPr>
          <w:b/>
          <w:sz w:val="19"/>
        </w:rPr>
        <w:t xml:space="preserve">Übertragbarkeit: </w:t>
      </w:r>
      <w:r>
        <w:rPr>
          <w:sz w:val="19"/>
        </w:rPr>
        <w:t>Indien, nicht übertragbar; dokumentiert Mechanismen familiärer und sozialer Strukturen beim Altern unter Migrationsdruck.</w:t>
      </w:r>
    </w:p>
    <w:p>
      <w:r>
        <w:rPr>
          <w:color w:val="5A7D3A"/>
          <w:sz w:val="18"/>
        </w:rPr>
        <w:t>https://pubmed.ncbi.nlm.nih.gov/42705826/</w:t>
      </w:r>
    </w:p>
    <w:p>
      <w:pPr>
        <w:pStyle w:val="Heading2"/>
      </w:pPr>
      <w:r>
        <w:t>Kognitives Frailty bei hospitalisierten älteren Patienten mit Herzinsuffizienz</w:t>
      </w:r>
    </w:p>
    <w:p>
      <w:r>
        <w:rPr>
          <w:i/>
          <w:color w:val="666666"/>
          <w:sz w:val="18"/>
        </w:rPr>
        <w:t>Mou Y et al.  ·  Front Public Health  ·  21.08.2026  ·  PMID 42698449</w:t>
      </w:r>
    </w:p>
    <w:p>
      <w:r>
        <w:t>Systematischer Review (8 Querschnittsstudien, 20 Modelle zur Identifikation von kognitiver Frailty bei hospitalisierten älteren Patienten mit chronischer Herzinsuffizienz in China).</w:t>
      </w:r>
    </w:p>
    <w:p>
      <w:r>
        <w:rPr>
          <w:b/>
        </w:rPr>
        <w:t xml:space="preserve">Ergebnis: </w:t>
      </w:r>
      <w:r>
        <w:t>Alle Modelle waren Screening-/Diagnosemodelle für prävalentes kognitives Frailty (nicht prognostisch). Externe Validierung zeigte AUC 0,770–0,852. Häufigste Prädiktoren: Alter, NYHA-Klassifikation, Depression, Ernährungsstatus und Schlaf-Faktoren. Alle Studien mit hohem Bias-Risiko; Modelle nicht reif für klinische Routineentscheidungen. Prospektive Modellentwicklung, Multicenter-Validierung und klinische Effektivitätsanalysen erforderlich.</w:t>
      </w:r>
    </w:p>
    <w:p>
      <w:r>
        <w:rPr>
          <w:b/>
          <w:sz w:val="19"/>
        </w:rPr>
        <w:t xml:space="preserve">Übertragbarkeit: </w:t>
      </w:r>
      <w:r>
        <w:rPr>
          <w:sz w:val="19"/>
        </w:rPr>
        <w:t>China, andere Strukturen; Befund zeigt, welche Faktoren kognitives Frailty bestimmen – relevant für deutsches geriatrisches Assessment.</w:t>
      </w:r>
    </w:p>
    <w:p>
      <w:r>
        <w:rPr>
          <w:color w:val="5A7D3A"/>
          <w:sz w:val="18"/>
        </w:rPr>
        <w:t>https://pubmed.ncbi.nlm.nih.gov/42698449/</w:t>
      </w:r>
    </w:p>
    <w:p>
      <w:pPr>
        <w:pStyle w:val="Heading2"/>
      </w:pPr>
      <w:r>
        <w:t>SFRP2 und FSTL1 regulieren DHT-induzierte Seneszenz in Haarfollikeln</w:t>
      </w:r>
    </w:p>
    <w:p>
      <w:r>
        <w:rPr>
          <w:i/>
          <w:color w:val="666666"/>
          <w:sz w:val="18"/>
        </w:rPr>
        <w:t>Huang Y et al.  ·  Aging Cell  ·  Sept. 2026  ·  PMID 42698274</w:t>
      </w:r>
    </w:p>
    <w:p>
      <w:r>
        <w:t>Mechanistische Studie zu androgenetischer Alopezie (AGA): Knock-down-Experimente und Mausmodell zur Rolle der SFRP2-FSTL1-Achse bei DHT-induzierten mitochondrialen Dysfunktionen und Seneszenz von Dermalapilla-Zellen.</w:t>
      </w:r>
    </w:p>
    <w:p>
      <w:r>
        <w:rPr>
          <w:b/>
        </w:rPr>
        <w:t xml:space="preserve">Ergebnis: </w:t>
      </w:r>
      <w:r>
        <w:t>SFRP2 hochexprimiert in AGA-Dermalapilla-Zellen. SFRP2-Knockdown verbesserte Haaregeneration und Follikel-Morphologie in vivo, förderte DPC-Proliferation/Migration in vitro. SFRP2 beeinflusst FSTL1-Proteinstabilität. Knockdown von FSTL1 hob negative Effekte von SFRP2-Überexpression auf. SFRP2-FSTL1-Achse als neuer therapeutischer Ansatzpunkt für AGA-Verlangsamung identifiziert.</w:t>
      </w:r>
    </w:p>
    <w:p>
      <w:r>
        <w:rPr>
          <w:b/>
          <w:sz w:val="19"/>
        </w:rPr>
        <w:t xml:space="preserve">Übertragbarkeit: </w:t>
      </w:r>
      <w:r>
        <w:rPr>
          <w:sz w:val="19"/>
        </w:rPr>
        <w:t>Grundlagenforschung mit klinischem Ansatz (AGA-Behandlung); zelluläre Seneszenz-Mechanismen relevant für Aging-Verständnis.</w:t>
      </w:r>
    </w:p>
    <w:p>
      <w:r>
        <w:rPr>
          <w:color w:val="5A7D3A"/>
          <w:sz w:val="18"/>
        </w:rPr>
        <w:t>https://pubmed.ncbi.nlm.nih.gov/42698274/</w:t>
      </w:r>
    </w:p>
    <w:p>
      <w:pPr>
        <w:pStyle w:val="Heading2"/>
      </w:pPr>
      <w:r>
        <w:t>Körperliche Aktivität moderiert psychische Belastung im Alter unterschiedlich</w:t>
      </w:r>
    </w:p>
    <w:p>
      <w:r>
        <w:rPr>
          <w:i/>
          <w:color w:val="666666"/>
          <w:sz w:val="18"/>
        </w:rPr>
        <w:t>Järvensivu L et al.  ·  J Psychiatr Res  ·  07.08.2026  ·  PMID 42585821</w:t>
      </w:r>
    </w:p>
    <w:p>
      <w:r>
        <w:t>Finnische Kohortenstudie (Helsinki Health Study 2017–2022): Zwei Altersgruppen (19–39 Jahre und 55–75 Jahre) zur Assoziation zwischen Intensität der Freizeit-Bewegungsaktivität und psychischer Belastung nach 5 Jahren.</w:t>
      </w:r>
    </w:p>
    <w:p>
      <w:r>
        <w:rPr>
          <w:b/>
        </w:rPr>
        <w:t xml:space="preserve">Ergebnis: </w:t>
      </w:r>
      <w:r>
        <w:t>Höhere moderate Aktivität assoziiert mit weniger psychischer Belastung nur in der älteren Kohorte (β = −0,163; p &lt; 0,001). Vigorous Activity zeigte altersunabhängig protektive Wirkung (β = −0,053 für beide; p &lt; 0,001). Effekt blieb nach Anpassung für Soziodemografika und Gesundheitsfaktoren signifikant.</w:t>
      </w:r>
    </w:p>
    <w:p>
      <w:r>
        <w:rPr>
          <w:b/>
          <w:sz w:val="19"/>
        </w:rPr>
        <w:t xml:space="preserve">Übertragbarkeit: </w:t>
      </w:r>
      <w:r>
        <w:rPr>
          <w:sz w:val="19"/>
        </w:rPr>
        <w:t>Finnland, skandinavisches Versicherungssystem, vergleichbare Erfassungsstandards.</w:t>
      </w:r>
    </w:p>
    <w:p>
      <w:r>
        <w:rPr>
          <w:color w:val="5A7D3A"/>
          <w:sz w:val="18"/>
        </w:rPr>
        <w:t>https://pubmed.ncbi.nlm.nih.gov/42585821/</w:t>
      </w:r>
    </w:p>
    <w:p>
      <w:pPr>
        <w:pStyle w:val="Heading1"/>
      </w:pPr>
      <w:r>
        <w:t>Aufgenommen am 08.09.2026</w:t>
      </w:r>
    </w:p>
    <w:p>
      <w:pPr>
        <w:pStyle w:val="Heading2"/>
      </w:pPr>
      <w:r>
        <w:t>Langzeitpflege für Ältere in Südostasien: Verfügbarkeit, Qualität und Lücken</w:t>
      </w:r>
    </w:p>
    <w:p>
      <w:r>
        <w:rPr>
          <w:i/>
          <w:color w:val="666666"/>
          <w:sz w:val="18"/>
        </w:rPr>
        <w:t>Sasaki Y et al.  ·  Geriatr Gerontol Int  ·  Sept. 2026  ·  PMID 42705630</w:t>
      </w:r>
    </w:p>
    <w:p>
      <w:r>
        <w:t>Mixed-Methods-Studie (Sekundärdaten zu UHC, demografische Trends, Expertinneninterviews, 7 Evaluationsdomänen) zur Organisation und Qualität der Langzeitpflege in Kambodscha, Thailand, Philippinen, Malaysia und Myanmar während des demographischen Wandels.</w:t>
      </w:r>
    </w:p>
    <w:p>
      <w:r>
        <w:rPr>
          <w:b/>
        </w:rPr>
        <w:t xml:space="preserve">Ergebnis: </w:t>
      </w:r>
      <w:r>
        <w:t>Positive Assoziation zwischen UHC-Fortschritt und Altersstruktur. Langzeitpflege-Organisation und -Versorgung variieren stark; Heimbasierte Pflege dominiert, Verfügbarkeit und Integration öffentlicher Dienste inkonsistent. Demenzbetreuung weitgehend unerkannt, haushaltszentriert. Informations- und Kommunikationstechnologien minimal/absent. Thailand zeigt Fortschritt bei Rehabilitations-UHC-Verknüpfung, aber Personalengpässe und Zugangsbarrieren. Präventivversorgung, einschließlich Frailty-Prävention, unterentwickelt.</w:t>
      </w:r>
    </w:p>
    <w:p>
      <w:r>
        <w:rPr>
          <w:b/>
          <w:sz w:val="19"/>
        </w:rPr>
        <w:t xml:space="preserve">Übertragbarkeit: </w:t>
      </w:r>
      <w:r>
        <w:rPr>
          <w:sz w:val="19"/>
        </w:rPr>
        <w:t>Südostasien, unterschiedliche Finanzierungssysteme und Entwicklungslagen; Befunde zeigen regionale Unterschiede, Übertragung auf Deutschland begrenzt, aber Policy-Implikationen relevant</w:t>
      </w:r>
    </w:p>
    <w:p>
      <w:r>
        <w:rPr>
          <w:color w:val="5A7D3A"/>
          <w:sz w:val="18"/>
        </w:rPr>
        <w:t>https://pubmed.ncbi.nlm.nih.gov/42705630/</w:t>
      </w:r>
    </w:p>
    <w:p>
      <w:pPr>
        <w:pStyle w:val="Heading2"/>
      </w:pPr>
      <w:r>
        <w:t>Gezieltes Kraft- und Balancetraining verbessert Mobilität älterer Aboriginal-Menschen</w:t>
      </w:r>
    </w:p>
    <w:p>
      <w:r>
        <w:rPr>
          <w:i/>
          <w:color w:val="666666"/>
          <w:sz w:val="18"/>
        </w:rPr>
        <w:t>Ivers R et al.  ·  Age Ageing  ·  04.09.2026  ·  PMID 42704260</w:t>
      </w:r>
    </w:p>
    <w:p>
      <w:r>
        <w:t>Kontrollierte Vorher-nachher-Studie (n=19 Standorte Australien, Ironbark-Programm) zum Effekt eines Co-Design-Sturzvorsorgeprogramms mit Übungen und Yarning Circles auf funktionelle Mobilität und Stürze bei Aboriginal-Älteren (≥45 Jahre, n=vor allem Intervention).</w:t>
      </w:r>
    </w:p>
    <w:p>
      <w:r>
        <w:rPr>
          <w:b/>
        </w:rPr>
        <w:t xml:space="preserve">Ergebnis: </w:t>
      </w:r>
      <w:r>
        <w:t>Signifikante Verbesserung der primären Outcome funktionelle Mobilität (SPPB-Veränderung +0,8 Punkte, 95 % CI 0,4–1,1), kürzere Schrittzeiten, bessere Beinstabilität, mehr geplante und beiläufige Bewegung. Keine signifikanten Änderungen bei Stürzen, Lebensqualität oder psychischer Belastung. Kontrollgruppe (Healthy Community) zeigte Verschlechterungen.</w:t>
      </w:r>
    </w:p>
    <w:p>
      <w:r>
        <w:rPr>
          <w:b/>
          <w:sz w:val="19"/>
        </w:rPr>
        <w:t xml:space="preserve">Übertragbarkeit: </w:t>
      </w:r>
      <w:r>
        <w:rPr>
          <w:sz w:val="19"/>
        </w:rPr>
        <w:t>Australien, Kontrollstudie mit funktionellem Endpunkt, Design übertragbar auf andere First-Nations-Settings</w:t>
      </w:r>
    </w:p>
    <w:p>
      <w:r>
        <w:rPr>
          <w:color w:val="5A7D3A"/>
          <w:sz w:val="18"/>
        </w:rPr>
        <w:t>https://pubmed.ncbi.nlm.nih.gov/42704260/</w:t>
      </w:r>
    </w:p>
    <w:p>
      <w:pPr>
        <w:pStyle w:val="Heading2"/>
      </w:pPr>
      <w:r>
        <w:t>Individuelle Ernährungsintervention mit Krafttraining verbessert Frailty bei hospitalisierten Älteren</w:t>
      </w:r>
    </w:p>
    <w:p>
      <w:r>
        <w:rPr>
          <w:i/>
          <w:color w:val="666666"/>
          <w:sz w:val="18"/>
        </w:rPr>
        <w:t>Chen L et al.  ·  J Int Med Res  ·  07.09.2026  ·  PMID 42704222</w:t>
      </w:r>
    </w:p>
    <w:p>
      <w:r>
        <w:t>Prospektive Pilotkohorte ohne Kontrolle (n=120, Durchschnittsalter 87 Jahre) zur Wirkung von Screening-gesteuerter individualisierter Ernährungsunterstützung (bei MNA-SF ≤11) kombiniert mit dosiertem Theraband-Krafttraining 3x wöchentlich über 12 Wochen.</w:t>
      </w:r>
    </w:p>
    <w:p>
      <w:r>
        <w:rPr>
          <w:b/>
        </w:rPr>
        <w:t xml:space="preserve">Ergebnis: </w:t>
      </w:r>
      <w:r>
        <w:t>Signifikante Verbesserungen: Serum-Transferrin, Präalbumin und Albumin (alle p&lt;0,05), MNA-SF-Scores, SPPB-Scores, Mobilität, ADL/IADL-Funktionen, Griffstärke und Gehgeschwindigkeit (alle p&lt;0,05). SPPB-Mindesteffekt erreicht bei höherem Bildungsniveau (aOR=1,96) und niedrigerem Ausgangs-Mobilitätswert (aOR=1,81). Ohne externe Validierung; Ergebnisse vorläufig.</w:t>
      </w:r>
    </w:p>
    <w:p>
      <w:r>
        <w:rPr>
          <w:b/>
          <w:sz w:val="19"/>
        </w:rPr>
        <w:t xml:space="preserve">Übertragbarkeit: </w:t>
      </w:r>
      <w:r>
        <w:rPr>
          <w:sz w:val="19"/>
        </w:rPr>
        <w:t>China (Klinikdaten), Struktur auf deutsche Geriatrie übertragbar (Assessment, Ernährung, Rehabilitation), klinische Dosierung dokumentiert</w:t>
      </w:r>
    </w:p>
    <w:p>
      <w:r>
        <w:rPr>
          <w:color w:val="5A7D3A"/>
          <w:sz w:val="18"/>
        </w:rPr>
        <w:t>https://pubmed.ncbi.nlm.nih.gov/42704222/</w:t>
      </w:r>
    </w:p>
    <w:p>
      <w:pPr>
        <w:pStyle w:val="Heading2"/>
      </w:pPr>
      <w:r>
        <w:t>Gestaffelte Auswahl von Frailty-Assessment-Instrumenten für die klinische Praxis</w:t>
      </w:r>
    </w:p>
    <w:p>
      <w:r>
        <w:rPr>
          <w:i/>
          <w:color w:val="666666"/>
          <w:sz w:val="18"/>
        </w:rPr>
        <w:t>Sládeček S et al.  ·  Clin Interv Aging  ·  02.09.2026  ·  PMID 42703386</w:t>
      </w:r>
    </w:p>
    <w:p>
      <w:r>
        <w:t>Narrative Übersicht über zehn validierte Frailty-Assessments (FRAIL, SOF, CFS, PRISMA-7, VES-13, Fried phenotype, TFI, GFI, EFS, FI-CGA) mit Analyse ihrer konzeptionellen Grundlagen, Einsatzdomänen und praktischen Anforderungen.</w:t>
      </w:r>
    </w:p>
    <w:p>
      <w:r>
        <w:rPr>
          <w:b/>
        </w:rPr>
        <w:t xml:space="preserve">Ergebnis: </w:t>
      </w:r>
      <w:r>
        <w:t>Gegenüberstellung zeigt: Kurze Screening-Tools (PRISMA-7, FRAIL) für erste Kontakte in Ambulanz/Gemeinde; CFS für schnelle klinische Stratifizierung in Akutaufnahme/Notfall; mehrdimensionale Instrumente (EFS) wenn breiterer Überblick nötig, aber keine vollständige geriatrische Diagnostik; CGA+FI-CGA für spezialisierte geriatrische Versorgung. Instrumentwahl hängt von Versorgungskontext, Zweck und Kapazität ab – keine Austauschbarkeit.</w:t>
      </w:r>
    </w:p>
    <w:p>
      <w:r>
        <w:rPr>
          <w:b/>
          <w:sz w:val="19"/>
        </w:rPr>
        <w:t xml:space="preserve">Übertragbarkeit: </w:t>
      </w:r>
      <w:r>
        <w:rPr>
          <w:sz w:val="19"/>
        </w:rPr>
        <w:t>Mehrsprachig validiert (europäischer und nordamerikanischer Raum), klinische Empfehlungen universell anwendbar, deutschsprachige Literatur einbezogen</w:t>
      </w:r>
    </w:p>
    <w:p>
      <w:r>
        <w:rPr>
          <w:color w:val="5A7D3A"/>
          <w:sz w:val="18"/>
        </w:rPr>
        <w:t>https://pubmed.ncbi.nlm.nih.gov/42703386/</w:t>
      </w:r>
    </w:p>
    <w:p>
      <w:pPr>
        <w:pStyle w:val="Heading2"/>
      </w:pPr>
      <w:r>
        <w:t>Digitale Technologien für aktives Altern: Bibliometrie und Forschungslandkarte</w:t>
      </w:r>
    </w:p>
    <w:p>
      <w:r>
        <w:rPr>
          <w:i/>
          <w:color w:val="666666"/>
          <w:sz w:val="18"/>
        </w:rPr>
        <w:t>Wang Y et al.  ·  Inquiry  ·  04.09.2026  ·  PMID 42695810</w:t>
      </w:r>
    </w:p>
    <w:p>
      <w:r>
        <w:t>Bibliometrische Analyse (n=837 Publikationen 2006–2025, Web of Science) zur Kartierung der Forschungslandschaft digitaler Technologien für aktives Altern, Identifikation von Clustern, Trends und thematischen Strukturen.</w:t>
      </w:r>
    </w:p>
    <w:p>
      <w:r>
        <w:rPr>
          <w:b/>
        </w:rPr>
        <w:t xml:space="preserve">Ergebnis: </w:t>
      </w:r>
      <w:r>
        <w:t>Publikationen steigen ab 2018 deutlich an. Fünf Forschungscluster: Technologieakzeptanz und Befähigung, digitale Lifestyle-Interventionen, digitale Partizipation und Smart Environments, eHealth-gestützte Verhaltensänderung, Machine-Learning-basierte Altersassessments. Schlüsselthemen: digitale Inklusion, körperliche Aktivität, Gesundheitsrisiko-Analytik, Lebensqualität. Verschiebung hin zu Funktionsfähigkeit und personalisierter Unterstützung; KI-basierte Assessments noch früh, sollten vorsichtig interpretiert werden.</w:t>
      </w:r>
    </w:p>
    <w:p>
      <w:r>
        <w:rPr>
          <w:b/>
          <w:sz w:val="19"/>
        </w:rPr>
        <w:t xml:space="preserve">Übertragbarkeit: </w:t>
      </w:r>
      <w:r>
        <w:rPr>
          <w:sz w:val="19"/>
        </w:rPr>
        <w:t>Globale Analyse, beschreibend (keine Wirksamkeitsdaten), Anwendbarkeit hängt von lokalen Systemen ab</w:t>
      </w:r>
    </w:p>
    <w:p>
      <w:r>
        <w:rPr>
          <w:color w:val="5A7D3A"/>
          <w:sz w:val="18"/>
        </w:rPr>
        <w:t>https://pubmed.ncbi.nlm.nih.gov/42695810/</w:t>
      </w:r>
    </w:p>
    <w:p>
      <w:pPr>
        <w:pStyle w:val="Heading2"/>
      </w:pPr>
      <w:r>
        <w:t>Körperliche Aktivität mindert Frailty-Risiko trotz belastender Kindheitserfahrungen</w:t>
      </w:r>
    </w:p>
    <w:p>
      <w:r>
        <w:rPr>
          <w:i/>
          <w:color w:val="666666"/>
          <w:sz w:val="18"/>
        </w:rPr>
        <w:t>Dong X et al.  ·  Gen Hosp Psychiatry  ·  15.08.2026  ·  PMID 42660041</w:t>
      </w:r>
    </w:p>
    <w:p>
      <w:r>
        <w:t>Prospektive Kohortenstudie (SHARE-Daten, n=23.385) zur Frage, ob ausreichende körperliche Aktivität die negativen Auswirkungen ungünstiger Kindheitserfahrungen (Adverse Childhood Experiences) auf kognitives Frailty im mittleren und höheren Alter abpuffert.</w:t>
      </w:r>
    </w:p>
    <w:p>
      <w:r>
        <w:rPr>
          <w:b/>
        </w:rPr>
        <w:t xml:space="preserve">Ergebnis: </w:t>
      </w:r>
      <w:r>
        <w:t>Jede zusätzliche ungünstige Kindheitserfahrung erhöhte das Frailty-Risiko um 9 % (HR=1,09). Ein Jahr ausreichende körperliche Aktivität senkte das Risiko um 25 % (HR=0,75). Langfristige Aufrechterhaltung (≥6 Jahre) reduzierte das Frailty-Risiko bei ungünstigen Erfahrungen um 54 % (HR=0,46); die Assoziation wurde zu 23 % durch erhaltene körperliche Aktivität vermittelt. Effekt war stärksten bei schlechtem Kindheitseinkommen (HR=0,59) und schlechter Nachbarschaftsqualität (HR=0,45).</w:t>
      </w:r>
    </w:p>
    <w:p>
      <w:r>
        <w:rPr>
          <w:b/>
          <w:sz w:val="19"/>
        </w:rPr>
        <w:t xml:space="preserve">Übertragbarkeit: </w:t>
      </w:r>
      <w:r>
        <w:rPr>
          <w:sz w:val="19"/>
        </w:rPr>
        <w:t>Europa (SHARE-Daten, deutschsprachige Länder einbezogen), sozialversicherungsbasierte Systeme vergleichbar</w:t>
      </w:r>
    </w:p>
    <w:p>
      <w:r>
        <w:rPr>
          <w:color w:val="5A7D3A"/>
          <w:sz w:val="18"/>
        </w:rPr>
        <w:t>https://pubmed.ncbi.nlm.nih.gov/42660041/</w:t>
      </w:r>
    </w:p>
    <w:p>
      <w:pPr>
        <w:pStyle w:val="Heading1"/>
      </w:pPr>
      <w:r>
        <w:t>Aufgenommen am 07.09.2026</w:t>
      </w:r>
    </w:p>
    <w:p>
      <w:pPr>
        <w:pStyle w:val="Heading2"/>
      </w:pPr>
      <w:r>
        <w:t>Kardiovaskuläre Gesundheit und Gehirngesundheit: Lebenserwartung ohne Schlaganfall und Demenz</w:t>
      </w:r>
    </w:p>
    <w:p>
      <w:r>
        <w:rPr>
          <w:i/>
          <w:color w:val="666666"/>
          <w:sz w:val="18"/>
        </w:rPr>
        <w:t>DU Y et al.  ·  Zhong Nan Da Xue Xue Bao Yi Xue Ban  ·  28.06.2026  ·  PMID 42702379</w:t>
      </w:r>
    </w:p>
    <w:p>
      <w:r>
        <w:t>Prospektive Kohortenstudie mit 122 953 Erwachsenen (37–73 Jahre) aus der UK Biobank untersuchte, wie ein Life's Essential 10-Framework (CVH-Bewertung mit 10 Komponenten) die Lebenserwartung ohne Schlaganfall und Demenz beeinflusst.</w:t>
      </w:r>
    </w:p>
    <w:p>
      <w:r>
        <w:rPr>
          <w:b/>
        </w:rPr>
        <w:t xml:space="preserve">Ergebnis: </w:t>
      </w:r>
      <w:r>
        <w:t>Bei hoher kardiovaskulärer Gesundheit (CVH) betrug die Lebenserwartung ohne Schlaganfall/Demenz im Alter 50 Jahren für Männer 31,8 Jahre (95%-KI 31,1–32,5) vs. 24,9 Jahre bei niedriger CVH; für Frauen 35,5 Jahre (95%-KI 34,7–36,2) vs. 28,4 Jahre. Hochrisiko-HRs: Männer HR=0,59 (95%-KI 0,52–0,67), Frauen HR=0,50 (95%-KI 0,42–0,59) für Schlaganfall/Demenz.</w:t>
      </w:r>
    </w:p>
    <w:p>
      <w:r>
        <w:rPr>
          <w:b/>
          <w:sz w:val="19"/>
        </w:rPr>
        <w:t xml:space="preserve">Übertragbarkeit: </w:t>
      </w:r>
      <w:r>
        <w:rPr>
          <w:sz w:val="19"/>
        </w:rPr>
        <w:t>UK Biobank, vergleichbare Sozialversicherungssysteme in Europa</w:t>
      </w:r>
    </w:p>
    <w:p>
      <w:r>
        <w:rPr>
          <w:color w:val="5A7D3A"/>
          <w:sz w:val="18"/>
        </w:rPr>
        <w:t>https://pubmed.ncbi.nlm.nih.gov/42702379/</w:t>
      </w:r>
    </w:p>
    <w:p>
      <w:pPr>
        <w:pStyle w:val="Heading2"/>
      </w:pPr>
      <w:r>
        <w:t>Wachstumshormonenantagenismus verlängert Lebensspanne bei Mäusen</w:t>
      </w:r>
    </w:p>
    <w:p>
      <w:r>
        <w:rPr>
          <w:i/>
          <w:color w:val="666666"/>
          <w:sz w:val="18"/>
        </w:rPr>
        <w:t>List EO et al.  ·  Aging Cell  ·  Sept. 2026  ·  PMID 42701998</w:t>
      </w:r>
    </w:p>
    <w:p>
      <w:r>
        <w:t>Studie an Transgenic-Mäusen untersuchte, ob Blockade der Wachstumshormonaktivität (mittels Pegvisomant-äquivalenter Substanz) die Lebensdauer und Gesundheit im Alter verbessert.</w:t>
      </w:r>
    </w:p>
    <w:p>
      <w:r>
        <w:rPr>
          <w:b/>
        </w:rPr>
        <w:t xml:space="preserve">Ergebnis: </w:t>
      </w:r>
      <w:r>
        <w:t>GH-Antagonismus-Mäuse zeigten signifikante Lebensverlängerung: Mediane Lebensspanne bei Männchen p=0,044, bei Weibchen p=2×10−8; maximale Lebensspanne um 186 Tage (Männchen) bzw. 265 Tage (Weibchen) verlängert. 2-jährige GHA-Mäuse zeigten geringere Frailty mit erhöhter Griffstärke trotz erhöhter Adiposität.</w:t>
      </w:r>
    </w:p>
    <w:p>
      <w:r>
        <w:rPr>
          <w:b/>
          <w:sz w:val="19"/>
        </w:rPr>
        <w:t xml:space="preserve">Übertragbarkeit: </w:t>
      </w:r>
      <w:r>
        <w:rPr>
          <w:sz w:val="19"/>
        </w:rPr>
        <w:t>Präklinisches Mausmodell; klinische Übertragbarkeit begrenzt, aber Pegvisomant FDA-zugelassen für Akromegalie beim Menschen</w:t>
      </w:r>
    </w:p>
    <w:p>
      <w:r>
        <w:rPr>
          <w:color w:val="5A7D3A"/>
          <w:sz w:val="18"/>
        </w:rPr>
        <w:t>https://pubmed.ncbi.nlm.nih.gov/42701998/</w:t>
      </w:r>
    </w:p>
    <w:p>
      <w:pPr>
        <w:pStyle w:val="Heading2"/>
      </w:pPr>
      <w:r>
        <w:t>Frailty als unabhängiger Mortalitätsprediktor bei Brustkrebsüberlebenden</w:t>
      </w:r>
    </w:p>
    <w:p>
      <w:r>
        <w:rPr>
          <w:i/>
          <w:color w:val="666666"/>
          <w:sz w:val="18"/>
        </w:rPr>
        <w:t>Wu C et al.  ·  Medicine (Baltimore)  ·  04.09.2026  ·  PMID 42700073</w:t>
      </w:r>
    </w:p>
    <w:p>
      <w:r>
        <w:t>Analyse von 625 128 Teilnehmern (9 941 Brustkrebsüberlebende) aus dem National Health Interview Survey 1997–2018 mit Mortalitätsfolgeup bis 2019 untersuchte Frailty als Mortalitätsprädikator.</w:t>
      </w:r>
    </w:p>
    <w:p>
      <w:r>
        <w:rPr>
          <w:b/>
        </w:rPr>
        <w:t xml:space="preserve">Ergebnis: </w:t>
      </w:r>
      <w:r>
        <w:t>Bei Brustkrebsüberlebenden zeigten Pre-Frailty (HR=1,44; 95%-KI 1,39–1,51) und Frailty (HR=1,70; 95%-KI 1,49–1,94) unabhängig erhöhte Mortalität. Unter 60-Jährigen: Frailty stark prädiktiv (HR=2,46; 95%-KI 1,52–4,00), Pre-Frailty nicht signifikant. Systematisches Frailty-Screening empfohlen.</w:t>
      </w:r>
    </w:p>
    <w:p>
      <w:r>
        <w:rPr>
          <w:b/>
          <w:sz w:val="19"/>
        </w:rPr>
        <w:t xml:space="preserve">Übertragbarkeit: </w:t>
      </w:r>
      <w:r>
        <w:rPr>
          <w:sz w:val="19"/>
        </w:rPr>
        <w:t>USA-Studie, nationale Versorgungsdaten; Frailty-Definition auf andere Systeme übertragbar</w:t>
      </w:r>
    </w:p>
    <w:p>
      <w:r>
        <w:rPr>
          <w:color w:val="5A7D3A"/>
          <w:sz w:val="18"/>
        </w:rPr>
        <w:t>https://pubmed.ncbi.nlm.nih.gov/42700073/</w:t>
      </w:r>
    </w:p>
    <w:p>
      <w:pPr>
        <w:pStyle w:val="Heading2"/>
      </w:pPr>
      <w:r>
        <w:t>Frailty-Verbesserung senkt Demenzrisiko bei älteren Erwachsenen</w:t>
      </w:r>
    </w:p>
    <w:p>
      <w:r>
        <w:rPr>
          <w:i/>
          <w:color w:val="666666"/>
          <w:sz w:val="18"/>
        </w:rPr>
        <w:t>Fang J et al.  ·  J Affect Disord  ·  01.12.2026  ·  PMID 42600788</w:t>
      </w:r>
    </w:p>
    <w:p>
      <w:r>
        <w:t>Longitudinale Kohortenanalyse von 59 331 Erwachsenen (≥50 Jahre) aus vier internationalen Studien (HRS, CHARLS, SHARE, ELSA) untersuchte, ob Frailty-Umkehr das Demenzrisiko reduziert und welche Rolle depressive Symptome spielen.</w:t>
      </w:r>
    </w:p>
    <w:p>
      <w:r>
        <w:rPr>
          <w:b/>
        </w:rPr>
        <w:t xml:space="preserve">Ergebnis: </w:t>
      </w:r>
      <w:r>
        <w:t>Über 7,51±2,09 Jahre entwickelten 9,49 % Demenz. Frailty-Verschlechterung erhöhte das Risiko (HR 1,43–2,53), während Frailty-Verbesserung in SHARE (HR=0,55) und CHARLS (HR=0,70) mit geringerem Risiko assoziiert war. Depressive Symptome mediieren 29,29–44,78 % der Assoziation zwischen Frailty und Demenz.</w:t>
      </w:r>
    </w:p>
    <w:p>
      <w:r>
        <w:rPr>
          <w:b/>
          <w:sz w:val="19"/>
        </w:rPr>
        <w:t xml:space="preserve">Übertragbarkeit: </w:t>
      </w:r>
      <w:r>
        <w:rPr>
          <w:sz w:val="19"/>
        </w:rPr>
        <w:t>Europäische Studien (SHARE, ELSA) einbezogen; vergleichbare Versorgungssysteme</w:t>
      </w:r>
    </w:p>
    <w:p>
      <w:r>
        <w:rPr>
          <w:color w:val="5A7D3A"/>
          <w:sz w:val="18"/>
        </w:rPr>
        <w:t>https://pubmed.ncbi.nlm.nih.gov/42600788/</w:t>
      </w:r>
    </w:p>
    <w:p>
      <w:pPr>
        <w:pStyle w:val="Heading2"/>
      </w:pPr>
      <w:r>
        <w:t>Maschinelles Lernen vorhersagt depressive Symptome bei älteren Erwachsenen in Großbritannien</w:t>
      </w:r>
    </w:p>
    <w:p>
      <w:r>
        <w:rPr>
          <w:i/>
          <w:color w:val="666666"/>
          <w:sz w:val="18"/>
        </w:rPr>
        <w:t>Khorram B et al.  ·  JMIR Form Res  ·  02.07.2026  ·  PMID 42390822</w:t>
      </w:r>
    </w:p>
    <w:p>
      <w:r>
        <w:t>Machine-Learning-Studie mit Daten aus vier Wellen der English Longitudinal Study of Ageing (ELSA) zur Vorhersage klinisch bedeutsamer depressiver Symptome (CES-D 8≥4) im 2-Jahres-Follow-up bei über 50-Jährigen.</w:t>
      </w:r>
    </w:p>
    <w:p>
      <w:r>
        <w:rPr>
          <w:b/>
        </w:rPr>
        <w:t xml:space="preserve">Ergebnis: </w:t>
      </w:r>
      <w:r>
        <w:t>Beste Modelle erreichten mittlere AUROC von 0,72–0,73 (Peak 0,75). Ordinale Codierung übertraf One-Hot-Codierung. Konsistente Prädiktoren: Einsamkeit, Schlafstörungen, geringe soziale Bindung. Sensitivitätsanalysen über CES-D-Schwellwerte robust (AUROC 0,67–0,82).</w:t>
      </w:r>
    </w:p>
    <w:p>
      <w:r>
        <w:rPr>
          <w:b/>
          <w:sz w:val="19"/>
        </w:rPr>
        <w:t xml:space="preserve">Übertragbarkeit: </w:t>
      </w:r>
      <w:r>
        <w:rPr>
          <w:sz w:val="19"/>
        </w:rPr>
        <w:t>Britische Studie mit europäischem Sozialversicherungssystem; Prädiktoren für Screeningtools übertragbar</w:t>
      </w:r>
    </w:p>
    <w:p>
      <w:r>
        <w:rPr>
          <w:color w:val="5A7D3A"/>
          <w:sz w:val="18"/>
        </w:rPr>
        <w:t>https://pubmed.ncbi.nlm.nih.gov/42390822/</w:t>
      </w:r>
    </w:p>
    <w:p>
      <w:pPr>
        <w:pStyle w:val="Heading2"/>
      </w:pPr>
      <w:r>
        <w:t>Biologische Alterungsbeschleunigung als Risikofaktor für Lebererkrankung im UK Biobank</w:t>
      </w:r>
    </w:p>
    <w:p>
      <w:r>
        <w:rPr>
          <w:i/>
          <w:color w:val="666666"/>
          <w:sz w:val="18"/>
        </w:rPr>
        <w:t>Yang X et al.  ·  Front Endocrinol (Lausanne)  ·  17.06.2026  ·  PMID 42388879</w:t>
      </w:r>
    </w:p>
    <w:p>
      <w:r>
        <w:t>Studie untersuchte die Assoziation zwischen beschleunigtem biologischem Alter und hospitalisierten Fällen von Stoffwechsel-assoziierter Steatose-Lebererkrankung (MASLD) an 247 444 Personen über 13,7 Jahre Nachbeobachtung.</w:t>
      </w:r>
    </w:p>
    <w:p>
      <w:r>
        <w:rPr>
          <w:b/>
        </w:rPr>
        <w:t xml:space="preserve">Ergebnis: </w:t>
      </w:r>
      <w:r>
        <w:t>Beschleunigtes biologisches Alter (PhenoAge-Beschleunigung) war mit erhöhtem MASLD-Risiko assoziiert (HR=1,46; 95%-KI 1,35–1,57). PhenoAge-Beschleunigung erklärte 11,4–25,5 % der Assoziation zwischen ungesundem Lebensstil (Rauchen, Alkohol, schlechte Ernährung, Bewegungsmangel) und MASLD, mit stärkstem Effekt beim Rauchen (25,5 %).</w:t>
      </w:r>
    </w:p>
    <w:p>
      <w:r>
        <w:rPr>
          <w:b/>
          <w:sz w:val="19"/>
        </w:rPr>
        <w:t xml:space="preserve">Übertragbarkeit: </w:t>
      </w:r>
      <w:r>
        <w:rPr>
          <w:sz w:val="19"/>
        </w:rPr>
        <w:t>UK Biobank, übertragbar für europäische Sozialversicherungssysteme</w:t>
      </w:r>
    </w:p>
    <w:p>
      <w:r>
        <w:rPr>
          <w:color w:val="5A7D3A"/>
          <w:sz w:val="18"/>
        </w:rPr>
        <w:t>https://pubmed.ncbi.nlm.nih.gov/42388879/</w:t>
      </w:r>
    </w:p>
    <w:p>
      <w:pPr>
        <w:pStyle w:val="Heading1"/>
      </w:pPr>
      <w:r>
        <w:t>Aufgenommen am 06.09.2026</w:t>
      </w:r>
    </w:p>
    <w:p>
      <w:pPr>
        <w:pStyle w:val="Heading2"/>
      </w:pPr>
      <w:r>
        <w:t>Orale Gesundheit und orale Gebrechlichkeit bei älteren hospitalisierten Patienten</w:t>
      </w:r>
    </w:p>
    <w:p>
      <w:r>
        <w:rPr>
          <w:i/>
          <w:color w:val="666666"/>
          <w:sz w:val="18"/>
        </w:rPr>
        <w:t>Ren Q et al.  ·  J Coll Physicians Surg Pak  ·  Sept. 2026  ·  PMID 42698252</w:t>
      </w:r>
    </w:p>
    <w:p>
      <w:r>
        <w:t>Querschnittsstudie mit 200 älteren Patienten: Beziehung zwischen Mundgesundheitsstatus (GOHAI, Wasserschluck-Test) und Oral Frailty Index-8 (OFI-8).</w:t>
      </w:r>
    </w:p>
    <w:p>
      <w:r>
        <w:rPr>
          <w:b/>
        </w:rPr>
        <w:t xml:space="preserve">Ergebnis: </w:t>
      </w:r>
      <w:r>
        <w:t>Signifikante Unterschiede in Alter, Mundgesundheitsindikatoren und Zahnfunktion zwischen Frailty- (n=55) und Non-Frailty-Gruppe (n=145). OFI-8 zeigt praktische Relevanz für Früherkennung oraler Gebrechlichkeit im klinischen Setting.</w:t>
      </w:r>
    </w:p>
    <w:p>
      <w:r>
        <w:rPr>
          <w:b/>
          <w:sz w:val="19"/>
        </w:rPr>
        <w:t xml:space="preserve">Übertragbarkeit: </w:t>
      </w:r>
      <w:r>
        <w:rPr>
          <w:sz w:val="19"/>
        </w:rPr>
        <w:t>China, geriatrische Versorgung; Screening-Wert für deutsches Gesundheitswesen nutzbar</w:t>
      </w:r>
    </w:p>
    <w:p>
      <w:r>
        <w:rPr>
          <w:color w:val="5A7D3A"/>
          <w:sz w:val="18"/>
        </w:rPr>
        <w:t>https://pubmed.ncbi.nlm.nih.gov/42698252/</w:t>
      </w:r>
    </w:p>
    <w:p>
      <w:pPr>
        <w:pStyle w:val="Heading2"/>
      </w:pPr>
      <w:r>
        <w:t>FRAIL- und SARC-CalF-Skalen vorhersagen HFpEF-Risiko bei älteren Patienten</w:t>
      </w:r>
    </w:p>
    <w:p>
      <w:r>
        <w:rPr>
          <w:i/>
          <w:color w:val="666666"/>
          <w:sz w:val="18"/>
        </w:rPr>
        <w:t>Yu Y et al.  ·  J Coll Physicians Surg Pak  ·  Sept. 2026  ·  PMID 42698238</w:t>
      </w:r>
    </w:p>
    <w:p>
      <w:r>
        <w:t>Querschnittsstudie mit 134 hospitalisierten Patienten ≥60 Jahren: Umfassendes geriatrisches Assessment (CGA) mit Evaluierung von Gebrechlichkeit, Sarkopenie und Ernährung; Vorhersage von Herzinsuffizienz mit erhaltener Ejektionsfraktion (HFpEF).</w:t>
      </w:r>
    </w:p>
    <w:p>
      <w:r>
        <w:rPr>
          <w:b/>
        </w:rPr>
        <w:t xml:space="preserve">Ergebnis: </w:t>
      </w:r>
      <w:r>
        <w:t>FRAIL-Score OR 3,68 (95%KI 1,83–8,39), SARC-CalF-Score OR 1,47 (95%KI 1,21–1,86) unabhängig mit HFpEF assoziiert; AUC FRAIL 0,88, AUC SARC-CalF 0,89; optimale Schwellen 1,5 Punkte (Vor-Frailty) bzw. 11 Punkte.</w:t>
      </w:r>
    </w:p>
    <w:p>
      <w:r>
        <w:rPr>
          <w:b/>
          <w:sz w:val="19"/>
        </w:rPr>
        <w:t xml:space="preserve">Übertragbarkeit: </w:t>
      </w:r>
      <w:r>
        <w:rPr>
          <w:sz w:val="19"/>
        </w:rPr>
        <w:t>China, aber FRAIL und SARC-CalF sind validiert international</w:t>
      </w:r>
    </w:p>
    <w:p>
      <w:r>
        <w:rPr>
          <w:color w:val="5A7D3A"/>
          <w:sz w:val="18"/>
        </w:rPr>
        <w:t>https://pubmed.ncbi.nlm.nih.gov/42698238/</w:t>
      </w:r>
    </w:p>
    <w:p>
      <w:pPr>
        <w:pStyle w:val="Heading2"/>
      </w:pPr>
      <w:r>
        <w:t>Depressive Symptome bei älteren Indonesiern: Prävalenz und Risikofaktoren</w:t>
      </w:r>
    </w:p>
    <w:p>
      <w:r>
        <w:rPr>
          <w:i/>
          <w:color w:val="666666"/>
          <w:sz w:val="18"/>
        </w:rPr>
        <w:t>Pengpid S et al.  ·  Psychogeriatrics  ·  Sept. 2026  ·  PMID 42698196</w:t>
      </w:r>
    </w:p>
    <w:p>
      <w:r>
        <w:t>Querschnittsanalyse von 3.808 Personen ≥45 Jahren aus indonesischer Longitudinal-Studie (ILAS 2023): Depressive Symptome (CES-D-10 ≥10) in Zusammenhang mit Hospitalisierung, Selbsteinschätzung der Gesundheit, Multisite-Schmerz, Übergewicht, Behinderung und religiöser Aktivität.</w:t>
      </w:r>
    </w:p>
    <w:p>
      <w:r>
        <w:rPr>
          <w:b/>
        </w:rPr>
        <w:t xml:space="preserve">Ergebnis: </w:t>
      </w:r>
      <w:r>
        <w:t>Depressive-Symptom-Prävalenz 9,3% (9,0% Männer, 9,6% Frauen). Hospitalisierung im vergangenen Jahr, schlechte Selbsteinschätzung, Multisite-Schmerz, Übergewicht und Behinderung positiv assoziiert; religiöse Aktivität protektiv (unadjustiert); bei Männern Rauchen zusätzlicher Risikofaktor.</w:t>
      </w:r>
    </w:p>
    <w:p>
      <w:r>
        <w:rPr>
          <w:b/>
          <w:sz w:val="19"/>
        </w:rPr>
        <w:t xml:space="preserve">Übertragbarkeit: </w:t>
      </w:r>
      <w:r>
        <w:rPr>
          <w:sz w:val="19"/>
        </w:rPr>
        <w:t>Indonesien; kulturelle/epidemiologische Unterschiede, aber psychosoziale Prädiktoren universal</w:t>
      </w:r>
    </w:p>
    <w:p>
      <w:r>
        <w:rPr>
          <w:color w:val="5A7D3A"/>
          <w:sz w:val="18"/>
        </w:rPr>
        <w:t>https://pubmed.ncbi.nlm.nih.gov/42698196/</w:t>
      </w:r>
    </w:p>
    <w:p>
      <w:pPr>
        <w:pStyle w:val="Heading2"/>
      </w:pPr>
      <w:r>
        <w:t>Geriatrisches Assessment mit Frailty Index optimiert Vorhersage von Sterblichkeit im Alter</w:t>
      </w:r>
    </w:p>
    <w:p>
      <w:r>
        <w:rPr>
          <w:i/>
          <w:color w:val="666666"/>
          <w:sz w:val="18"/>
        </w:rPr>
        <w:t>Quach J et al.  ·  Age Ageing  ·  04.09.2026  ·  PMID 42696642</w:t>
      </w:r>
    </w:p>
    <w:p>
      <w:r>
        <w:t>Analyse von 3.669 Patienten mit kardiovaskulärer Erkrankung: Bei einzelnen Deficit-Items war die Vorhersagekraft für Mortalität besser als bei zusammengefassten Frailty-Index-Scores; 10 Defizite reichten aus, um Vorhersagekraft zu optimieren.</w:t>
      </w:r>
    </w:p>
    <w:p>
      <w:r>
        <w:rPr>
          <w:b/>
        </w:rPr>
        <w:t xml:space="preserve">Ergebnis: </w:t>
      </w:r>
      <w:r>
        <w:t>Mit 46 Einzelitems C-Index 0,71 (95%KI 0,69–0,74) vs. composite FI 0,64–0,67; mit ~10 Items konvergierte Performance der Importance-ranked FI mit zufällig gewählten FI. Die Deficit-Interchangeability-Annahme des FI hält nur bei ausreichender Itemanzahl.</w:t>
      </w:r>
    </w:p>
    <w:p>
      <w:r>
        <w:rPr>
          <w:b/>
          <w:sz w:val="19"/>
        </w:rPr>
        <w:t xml:space="preserve">Übertragbarkeit: </w:t>
      </w:r>
      <w:r>
        <w:rPr>
          <w:sz w:val="19"/>
        </w:rPr>
        <w:t>USA-Daten, aber Frailty-Index-Methodik international anerkannt</w:t>
      </w:r>
    </w:p>
    <w:p>
      <w:r>
        <w:rPr>
          <w:color w:val="5A7D3A"/>
          <w:sz w:val="18"/>
        </w:rPr>
        <w:t>https://pubmed.ncbi.nlm.nih.gov/42696642/</w:t>
      </w:r>
    </w:p>
    <w:p>
      <w:pPr>
        <w:pStyle w:val="Heading2"/>
      </w:pPr>
      <w:r>
        <w:t>Benachteiligte Kindheit verschlechtert kognitive Funktion im Alter unabhängig von Erwachsenen-Erkrankungen</w:t>
      </w:r>
    </w:p>
    <w:p>
      <w:r>
        <w:rPr>
          <w:i/>
          <w:color w:val="666666"/>
          <w:sz w:val="18"/>
        </w:rPr>
        <w:t>Ripamonti E et al.  ·  J Clin Exp Neuropsychol  ·  06.07.2026  ·  PMID 42403102</w:t>
      </w:r>
    </w:p>
    <w:p>
      <w:r>
        <w:t>Longitudinale Studie: 508 schwedische Ältere verfolgt über mehrere Jahre; Analyse der Assoziation zwischen Kindheitsbenachteiligung und kognitiver Funktion (MMSE) bzw. Behinderung (ADL/iADL) im Alter mit Mediationsanalyse durch Krankheitszahl und chronische Schmerzen.</w:t>
      </w:r>
    </w:p>
    <w:p>
      <w:r>
        <w:rPr>
          <w:b/>
        </w:rPr>
        <w:t xml:space="preserve">Ergebnis: </w:t>
      </w:r>
      <w:r>
        <w:t>Benachteiligte Kindheit mit niedrigeren MMSE-Werten bei Baseline assoziiert (β=-0,14 [95%KI -0,27,-0,02]), aber nicht mit zeitlichem Verlauf (β=-0,01 [95%KI -0,03,0,01]); Mediationsanalyse: Krankheitszahl/Schmerz erklären nur minimalen Teil; keine Assoziation mit ADL/iADL. Unterstützt Sensitive-Period-Hypothese.</w:t>
      </w:r>
    </w:p>
    <w:p>
      <w:r>
        <w:rPr>
          <w:b/>
          <w:sz w:val="19"/>
        </w:rPr>
        <w:t xml:space="preserve">Übertragbarkeit: </w:t>
      </w:r>
      <w:r>
        <w:rPr>
          <w:sz w:val="19"/>
        </w:rPr>
        <w:t>Schweden (skandinavisches Sozialversicherungssystem), hochgradig übertragbar auf Deutschland</w:t>
      </w:r>
    </w:p>
    <w:p>
      <w:r>
        <w:rPr>
          <w:color w:val="5A7D3A"/>
          <w:sz w:val="18"/>
        </w:rPr>
        <w:t>https://pubmed.ncbi.nlm.nih.gov/42403102/</w:t>
      </w:r>
    </w:p>
    <w:p>
      <w:pPr>
        <w:pStyle w:val="Heading2"/>
      </w:pPr>
      <w:r>
        <w:t>Muskelleistung aus Sit-to-Stand-Test identifiziert Frailty bei älteren Community-Bewohnern</w:t>
      </w:r>
    </w:p>
    <w:p>
      <w:r>
        <w:rPr>
          <w:i/>
          <w:color w:val="666666"/>
          <w:sz w:val="18"/>
        </w:rPr>
        <w:t>Condon C et al.  ·  PLoS One  ·  02.07.2026  ·  PMID 42391194</w:t>
      </w:r>
    </w:p>
    <w:p>
      <w:r>
        <w:t>Querschnittsstudie mit 2.959 irischen Teilnehmern ≥50 Jahren: Geschätzte Muskelleistung aus 5×STS-Test verglichen mit Frailty-Index und etablierten Tests.</w:t>
      </w:r>
    </w:p>
    <w:p>
      <w:r>
        <w:rPr>
          <w:b/>
        </w:rPr>
        <w:t xml:space="preserve">Ergebnis: </w:t>
      </w:r>
      <w:r>
        <w:t>Schwellenwert &lt;2,5 Watt·kg⁻¹ Männer, &lt;2,08 Watt·kg⁻¹ Frauen mit erhöhtem Frailty-Risiko assoziiert; Sensitivität und Spezifität vergleichbar mit Timed Up and Go; praktisches Screening-Tool mit moderater Vorhersagekraft.</w:t>
      </w:r>
    </w:p>
    <w:p>
      <w:r>
        <w:rPr>
          <w:b/>
          <w:sz w:val="19"/>
        </w:rPr>
        <w:t xml:space="preserve">Übertragbarkeit: </w:t>
      </w:r>
      <w:r>
        <w:rPr>
          <w:sz w:val="19"/>
        </w:rPr>
        <w:t>Irland (vergleichbares Sozialversicherungssystem), einfach durchführbar in Praxen</w:t>
      </w:r>
    </w:p>
    <w:p>
      <w:r>
        <w:rPr>
          <w:color w:val="5A7D3A"/>
          <w:sz w:val="18"/>
        </w:rPr>
        <w:t>https://pubmed.ncbi.nlm.nih.gov/42391194/</w:t>
      </w:r>
    </w:p>
    <w:p>
      <w:pPr>
        <w:pStyle w:val="Heading1"/>
      </w:pPr>
      <w:r>
        <w:t>Aufgenommen am 05.09.2026</w:t>
      </w:r>
    </w:p>
    <w:p>
      <w:pPr>
        <w:pStyle w:val="Heading2"/>
      </w:pPr>
      <w:r>
        <w:t>Reaktive Balanceschulung senkt Sturzrisikofaktoren, nicht aber Stürze im Alltag</w:t>
      </w:r>
    </w:p>
    <w:p>
      <w:r>
        <w:rPr>
          <w:i/>
          <w:color w:val="666666"/>
          <w:sz w:val="18"/>
        </w:rPr>
        <w:t>Sharma S et al.  ·  Age Ageing  ·  04.09.2026  ·  PMID 42696641</w:t>
      </w:r>
    </w:p>
    <w:p>
      <w:r>
        <w:t>Randomisierte kontrollierte Studie mit 88 älteren Menschen: 43 erhielten wöchentliches ReacStep-Training (Reaktives Stepping, bewusste Ausrutscher) über 6 Wochen plus Heimkrafttraining, 45 nur Heimkrafttraining über 8 Wochen; Erhebung von reaktiver Balance, körperlichen Funktionen und Stürzen im Alltag über 12 Monate.</w:t>
      </w:r>
    </w:p>
    <w:p>
      <w:r>
        <w:rPr>
          <w:b/>
        </w:rPr>
        <w:t xml:space="preserve">Ergebnis: </w:t>
      </w:r>
      <w:r>
        <w:t>Adhärenz zum ReacStep-Programm 90 %, Interventionsgruppe zeigte signifikante Verbesserungen in maximaler Schrittlänge und Reaktionszeit beim Stepping (p&lt;0,05), aber keine Unterschiede in laborgestützten Sturzversuchen oder Häuslichkeitsstürzen über 12 Monate (p=0,19).</w:t>
      </w:r>
    </w:p>
    <w:p>
      <w:r>
        <w:rPr>
          <w:b/>
          <w:sz w:val="19"/>
        </w:rPr>
        <w:t xml:space="preserve">Übertragbarkeit: </w:t>
      </w:r>
      <w:r>
        <w:rPr>
          <w:sz w:val="19"/>
        </w:rPr>
        <w:t>Australien, vergleichbares Gesundheitssystem, aber begrenzte Übertragung zur Sturzprävention</w:t>
      </w:r>
    </w:p>
    <w:p>
      <w:r>
        <w:rPr>
          <w:color w:val="5A7D3A"/>
          <w:sz w:val="18"/>
        </w:rPr>
        <w:t>https://pubmed.ncbi.nlm.nih.gov/42696641/</w:t>
      </w:r>
    </w:p>
    <w:p>
      <w:pPr>
        <w:pStyle w:val="Heading2"/>
      </w:pPr>
      <w:r>
        <w:t>Urat-senkende Therapie und Frailty-Risiko bei Nierenpatienten</w:t>
      </w:r>
    </w:p>
    <w:p>
      <w:r>
        <w:rPr>
          <w:i/>
          <w:color w:val="666666"/>
          <w:sz w:val="18"/>
        </w:rPr>
        <w:t>Lee SY et al.  ·  Int J Med Sci  ·  04.08.2026  ·  PMID 42694867</w:t>
      </w:r>
    </w:p>
    <w:p>
      <w:r>
        <w:t>Retrospektive Kohortenstudie mit 19.389 Nephrologiepatienten: Untersuchung der Assoziation zwischen Febuxostat, Allopurinol und keiner Therapie mit neuaufgetretener und verschlimmerter Frailty über medianen Nachbeobachtungszeitraum von 3 Jahren.</w:t>
      </w:r>
    </w:p>
    <w:p>
      <w:r>
        <w:rPr>
          <w:b/>
        </w:rPr>
        <w:t xml:space="preserve">Ergebnis: </w:t>
      </w:r>
      <w:r>
        <w:t>892 (4,6 %) entwickelten neuaufgetretene Frailty, 5.253 (27,1 %) zeigten Verschlimmerung. Febuxostat war mit höherem Frailty-Risiko verbunden (HR 1,22; 95%-KI 1,01–1,48), Allopurinol mit geringerem Risiko (HR 0,65; 95%-KI 0,46–0,93); beide gemeinsam ohne signifikante Assoziation. Keine Effekte auf Frailty-Verschlimmerung.</w:t>
      </w:r>
    </w:p>
    <w:p>
      <w:r>
        <w:rPr>
          <w:b/>
          <w:sz w:val="19"/>
        </w:rPr>
        <w:t xml:space="preserve">Übertragbarkeit: </w:t>
      </w:r>
      <w:r>
        <w:rPr>
          <w:sz w:val="19"/>
        </w:rPr>
        <w:t>Taiwan, Nephrologiedaten vergleichbar, aber begrenzte Generalisierbarkeit</w:t>
      </w:r>
    </w:p>
    <w:p>
      <w:r>
        <w:rPr>
          <w:color w:val="5A7D3A"/>
          <w:sz w:val="18"/>
        </w:rPr>
        <w:t>https://pubmed.ncbi.nlm.nih.gov/42694867/</w:t>
      </w:r>
    </w:p>
    <w:p>
      <w:pPr>
        <w:pStyle w:val="Heading2"/>
      </w:pPr>
      <w:r>
        <w:t>Funkionsstatus und Pflegebedarf bei Eintritt in öffentlich finanzierte Altenhilfe</w:t>
      </w:r>
    </w:p>
    <w:p>
      <w:r>
        <w:rPr>
          <w:i/>
          <w:color w:val="666666"/>
          <w:sz w:val="18"/>
        </w:rPr>
        <w:t>Siljehag PA et al.  ·  BMC Health Serv Res  ·  02.09.2026  ·  PMID 42693458</w:t>
      </w:r>
    </w:p>
    <w:p>
      <w:r>
        <w:t>Schwedische Registeranalyse von 3.649 älteren Menschen (durchschnittlich 80 Jahre), die erstmals Altenhilfe in Anspruch nahmen, mit Erhebung von Komorbiditäten, funktionalen Einschränkungen und Vorbehandlung im Gesundheitswesen.</w:t>
      </w:r>
    </w:p>
    <w:p>
      <w:r>
        <w:rPr>
          <w:b/>
        </w:rPr>
        <w:t xml:space="preserve">Ergebnis: </w:t>
      </w:r>
      <w:r>
        <w:t>92 % hatten Multimorbidität, 25 % umfangreiche funktionale Einschränkungen, 95 % erhielten Pflege zu Hause, bei 50 % folgte die Altenhilfe unmittelbar nach stationärer Behandlung. Primärversorgung war bei 80 % der dominante ambulante Kontakt vor Heimaufnahme.</w:t>
      </w:r>
    </w:p>
    <w:p>
      <w:r>
        <w:rPr>
          <w:b/>
          <w:sz w:val="19"/>
        </w:rPr>
        <w:t xml:space="preserve">Übertragbarkeit: </w:t>
      </w:r>
      <w:r>
        <w:rPr>
          <w:sz w:val="19"/>
        </w:rPr>
        <w:t>Schweden, vergleichbare Sozialversicherung und Pflegefinanzierung</w:t>
      </w:r>
    </w:p>
    <w:p>
      <w:r>
        <w:rPr>
          <w:color w:val="5A7D3A"/>
          <w:sz w:val="18"/>
        </w:rPr>
        <w:t>https://pubmed.ncbi.nlm.nih.gov/42693458/</w:t>
      </w:r>
    </w:p>
    <w:p>
      <w:pPr>
        <w:pStyle w:val="Heading2"/>
      </w:pPr>
      <w:r>
        <w:t>Triglyzerid-Glukose-Frailty-Index zeigt stärkere Mortalitätsvorhersage als Insulinresistanzmarker</w:t>
      </w:r>
    </w:p>
    <w:p>
      <w:r>
        <w:rPr>
          <w:i/>
          <w:color w:val="666666"/>
          <w:sz w:val="18"/>
        </w:rPr>
        <w:t>Liu K et al.  ·  Cardiovasc Diabetol  ·  03.09.2026  ·  PMID 42693435</w:t>
      </w:r>
    </w:p>
    <w:p>
      <w:r>
        <w:t>Sekundäranalyse von 11.228 US-amerikanischen Erwachsenen (20–79 Jahre) aus NHANES 2001–2018: Vergleich des TyG-Frailty-Indexes (TyG-Index × Frailty-Index) mit konventionellen Insulinresistanzmarkern für kardiovaskuläre und Stoffwechselsyndrome sowie Mortalität über medianen Nachbeobachtungszeitraum von 90 Monaten.</w:t>
      </w:r>
    </w:p>
    <w:p>
      <w:r>
        <w:rPr>
          <w:b/>
        </w:rPr>
        <w:t xml:space="preserve">Ergebnis: </w:t>
      </w:r>
      <w:r>
        <w:t>TyG-FI-Quartil 4 vs. 1: fortgeschrittenes kardiovaskuläres-Nierenstoffwechsel-Syndrom OR=4,57 (95%-KI 3,50–5,99), kardiometabolische Multimorbidität OR=5,09 (95%-KI 2,83–9,16), Gesamtmortalität HR=3,90 (95%-KI 2,96–5,13), kardiovaskulär HR=5,82 (95%-KI 3,38–10,03). TyG-FI diskriminierte stärker als Vergleichsindizes, tiefere eGFR erklärte 16–27 % der Mortalitätsassoziation.</w:t>
      </w:r>
    </w:p>
    <w:p>
      <w:r>
        <w:rPr>
          <w:b/>
          <w:sz w:val="19"/>
        </w:rPr>
        <w:t xml:space="preserve">Übertragbarkeit: </w:t>
      </w:r>
      <w:r>
        <w:rPr>
          <w:sz w:val="19"/>
        </w:rPr>
        <w:t>USA-NHANES-Daten, begrenzte Übertragbarkeit auf deutsches System, aber Validierungsfrage ist altersunabhängig</w:t>
      </w:r>
    </w:p>
    <w:p>
      <w:r>
        <w:rPr>
          <w:color w:val="5A7D3A"/>
          <w:sz w:val="18"/>
        </w:rPr>
        <w:t>https://pubmed.ncbi.nlm.nih.gov/42693435/</w:t>
      </w:r>
    </w:p>
    <w:p>
      <w:pPr>
        <w:pStyle w:val="Heading2"/>
      </w:pPr>
      <w:r>
        <w:t>Muskelarchitektur und Kraft: Altern beeinträchtigt Faszickelkinetik trotz lebenslangem Training</w:t>
      </w:r>
    </w:p>
    <w:p>
      <w:r>
        <w:rPr>
          <w:i/>
          <w:color w:val="666666"/>
          <w:sz w:val="18"/>
        </w:rPr>
        <w:t>Michely S et al.  ·  J Appl Physiol (1985)  ·  01.09.2026  ·  PMID 42518311</w:t>
      </w:r>
    </w:p>
    <w:p>
      <w:r>
        <w:t>Querschnittsstudie mit 172 Leistungssportlern im Alter 35–90 Jahren (68 % männlich): Ultraschallmessung der Wadenmuskulatur bei willkürlicher Maximalkontraktion; Analyse von Faszickellänge, Pennationswinkel, -rotation und -verlängerung.</w:t>
      </w:r>
    </w:p>
    <w:p>
      <w:r>
        <w:rPr>
          <w:b/>
        </w:rPr>
        <w:t xml:space="preserve">Ergebnis: </w:t>
      </w:r>
      <w:r>
        <w:t>Oberflächliche Faszickelrotation (Pennationswinkelveränderung) sank um 6,6±51,3 % pro Jahrzehnt (p=0,003), tiefe Rotation blieb stabil (p=0,27). Ruhefaszickellänge sank um 1,8±13,7 % pro Jahrzehnt (p=0,002). Achillessehnen-kraft fiel um 4,3±16,3 % pro Jahrzehnt (p&lt;0,001), unabhängig vom Geschlecht. Eliteathleten (&gt;85 % age grade) erhielten größere oberflächliche Rotation.</w:t>
      </w:r>
    </w:p>
    <w:p>
      <w:r>
        <w:rPr>
          <w:b/>
          <w:sz w:val="19"/>
        </w:rPr>
        <w:t xml:space="preserve">Übertragbarkeit: </w:t>
      </w:r>
      <w:r>
        <w:rPr>
          <w:sz w:val="19"/>
        </w:rPr>
        <w:t>Deutschland, Deutsche Luft- und Raumfahrtforschung, vergleichbare Trainingsmethoden</w:t>
      </w:r>
    </w:p>
    <w:p>
      <w:r>
        <w:rPr>
          <w:color w:val="5A7D3A"/>
          <w:sz w:val="18"/>
        </w:rPr>
        <w:t>https://pubmed.ncbi.nlm.nih.gov/42518311/</w:t>
      </w:r>
    </w:p>
    <w:p>
      <w:pPr>
        <w:pStyle w:val="Heading2"/>
      </w:pPr>
      <w:r>
        <w:t>Soziale Frailty und Bildungsungleichheit: Sechs Ländervergleich mit 83.869 älteren Erwachsenen</w:t>
      </w:r>
    </w:p>
    <w:p>
      <w:r>
        <w:rPr>
          <w:i/>
          <w:color w:val="666666"/>
          <w:sz w:val="18"/>
        </w:rPr>
        <w:t>Xiang X et al.  ·  J Am Med Dir Assoc  ·  14.07.2026  ·  PMID 42447552</w:t>
      </w:r>
    </w:p>
    <w:p>
      <w:r>
        <w:t>Querschnittsanalyse aus sechs Längsschnittstudien in USA, England, Europa, Südkorea, Mexico und China mit 83.869 Personen ≥50 Jahren: Alter- und geschlechtsstandardisierte Prävalenz von sozialer Prefrailty und Frailty sowie Assoziation mit Bildungsabschlüssen.</w:t>
      </w:r>
    </w:p>
    <w:p>
      <w:r>
        <w:rPr>
          <w:b/>
        </w:rPr>
        <w:t xml:space="preserve">Ergebnis: </w:t>
      </w:r>
      <w:r>
        <w:t>Soziale Prefrailty 54,0–74,1 %, soziale Frailty 5,9–14,4 % je nach Land. Klare Bildungsstratifikation: mittlere vs. niedrige Bildung OR=0,72 (95%-KI 0,60–0,86) für Prefrailty und OR=0,54 (95%-KI 0,44–0,67) für Frailty; hohe Bildung OR=0,53 (95%-KI 0,36–0,78) bzw. OR=0,29 (95%-KI 0,17–0,51).</w:t>
      </w:r>
    </w:p>
    <w:p>
      <w:r>
        <w:rPr>
          <w:b/>
          <w:sz w:val="19"/>
        </w:rPr>
        <w:t xml:space="preserve">Übertragbarkeit: </w:t>
      </w:r>
      <w:r>
        <w:rPr>
          <w:sz w:val="19"/>
        </w:rPr>
        <w:t>Mehrländer-Poolanalyse, europäische Länder dabei, aber heterogene Systeme</w:t>
      </w:r>
    </w:p>
    <w:p>
      <w:r>
        <w:rPr>
          <w:color w:val="5A7D3A"/>
          <w:sz w:val="18"/>
        </w:rPr>
        <w:t>https://pubmed.ncbi.nlm.nih.gov/42447552/</w:t>
      </w:r>
    </w:p>
    <w:p>
      <w:pPr>
        <w:pStyle w:val="Heading1"/>
      </w:pPr>
      <w:r>
        <w:t>Aufgenommen am 04.09.2026</w:t>
      </w:r>
    </w:p>
    <w:p>
      <w:pPr>
        <w:pStyle w:val="Heading2"/>
      </w:pPr>
      <w:r>
        <w:t>Feinstaubexposition (PM2,5) erhöht Frailty-Risiko im Alter signifikant</w:t>
      </w:r>
    </w:p>
    <w:p>
      <w:r>
        <w:rPr>
          <w:i/>
          <w:color w:val="666666"/>
          <w:sz w:val="18"/>
        </w:rPr>
        <w:t>Chen K et al.  ·  Sichuan Da Xue Xue Bao Yi Xue Ban  ·  20.07.2026  ·  PMID 42688627</w:t>
      </w:r>
    </w:p>
    <w:p>
      <w:r>
        <w:t>Prospektive Kohortenstudie: 9603 Teilnehmende aus China Health and Retirement Longitudinal Study 2011–2020, Langzeit-PM2,5-Exposition und chemische Komponenten, Outcome Frailty nach Frailty-Index.</w:t>
      </w:r>
    </w:p>
    <w:p>
      <w:r>
        <w:rPr>
          <w:b/>
        </w:rPr>
        <w:t xml:space="preserve">Ergebnis: </w:t>
      </w:r>
      <w:r>
        <w:t>Jede Viertelbereichs-Zunahme der durchschnittlichen PM2,5-Konzentration des Vorjahres war mit 10,0% erhöhtem Frailty-Risiko assoziiert (HR 1,100, 95% KI 1,015–1,193). Organische Substanzen: HR 1,142 (14,2%); schwarzer Kohlenstoff: HR 1,131 (13,1%); Ammonium: HR 1,098 (9,8%). Luftschadstoffe, besonders Ruß und organische Aerosole, sind Risikofaktoren für Gebrechlichkeit bei älteren Menschen.</w:t>
      </w:r>
    </w:p>
    <w:p>
      <w:r>
        <w:rPr>
          <w:b/>
          <w:sz w:val="19"/>
        </w:rPr>
        <w:t xml:space="preserve">Übertragbarkeit: </w:t>
      </w:r>
      <w:r>
        <w:rPr>
          <w:sz w:val="19"/>
        </w:rPr>
        <w:t>China, aber Feinstaubbelastung und Expositionsmessung auch in Deutschland relevant</w:t>
      </w:r>
    </w:p>
    <w:p>
      <w:r>
        <w:rPr>
          <w:color w:val="5A7D3A"/>
          <w:sz w:val="18"/>
        </w:rPr>
        <w:t>https://pubmed.ncbi.nlm.nih.gov/42688627/</w:t>
      </w:r>
    </w:p>
    <w:p>
      <w:pPr>
        <w:pStyle w:val="Heading2"/>
      </w:pPr>
      <w:r>
        <w:t>Multikomponenten-Training und HMB-Supplementierung verbessern Gebrechlichkeit</w:t>
      </w:r>
    </w:p>
    <w:p>
      <w:r>
        <w:rPr>
          <w:i/>
          <w:color w:val="666666"/>
          <w:sz w:val="18"/>
        </w:rPr>
        <w:t>Jiang Y et al.  ·  Sichuan Da Xue Xue Bao Yi Xue Ban  ·  20.07.2026  ·  PMID 42688609</w:t>
      </w:r>
    </w:p>
    <w:p>
      <w:r>
        <w:t>Randomisierte Studie: 136 ältere Patienten mit Frailty erhielten 12 Wochen lang Übungstraining plus 3 g/d HMB oder Placebo; gemessen wurden physische Funktion (SPPB), Gangfähigkeit, Griffstärke, Muskelquerschnitt und Serumalbumin.</w:t>
      </w:r>
    </w:p>
    <w:p>
      <w:r>
        <w:rPr>
          <w:b/>
        </w:rPr>
        <w:t xml:space="preserve">Ergebnis: </w:t>
      </w:r>
      <w:r>
        <w:t>SPPB-Gesamtscore besserte sich in der HMB-Gruppe über 12 Wochen signifikant mehr als in der Kontrolle (Interaktionseffekt p&lt;0,001). HMB-Gruppe zeigte nach 4 Wochen bessere Bilanz (p&lt;0,05) und nach 12 Wochen auch bessere Gangscores und ASMI (p&lt;0,05). Serumalbumin war in der Interventionsgruppe erhöht (p&lt;0,05). HMB 3 g/d plus multikomponentales Training verbessert körperliche Funktion und Muskulatur bei älteren Patienten mit Gebrechlichkeit.</w:t>
      </w:r>
    </w:p>
    <w:p>
      <w:r>
        <w:rPr>
          <w:b/>
          <w:sz w:val="19"/>
        </w:rPr>
        <w:t xml:space="preserve">Übertragbarkeit: </w:t>
      </w:r>
      <w:r>
        <w:rPr>
          <w:sz w:val="19"/>
        </w:rPr>
        <w:t>China, Rehabilitation nach westlichem Standard, Frailty-Diagnostik vergleichbar</w:t>
      </w:r>
    </w:p>
    <w:p>
      <w:r>
        <w:rPr>
          <w:color w:val="5A7D3A"/>
          <w:sz w:val="18"/>
        </w:rPr>
        <w:t>https://pubmed.ncbi.nlm.nih.gov/42688609/</w:t>
      </w:r>
    </w:p>
    <w:p>
      <w:pPr>
        <w:pStyle w:val="Heading2"/>
      </w:pPr>
      <w:r>
        <w:t>Benzodiazepine-Induced Resistance: Drug Use Blunts Frailty-Intervention Effect</w:t>
      </w:r>
    </w:p>
    <w:p>
      <w:r>
        <w:rPr>
          <w:i/>
          <w:color w:val="666666"/>
          <w:sz w:val="18"/>
        </w:rPr>
        <w:t>Levati E et al.  ·  Age Ageing  ·  03.08.2026  ·  PMID 42685256</w:t>
      </w:r>
    </w:p>
    <w:p>
      <w:r>
        <w:t>Sekundäranalyse eines Trials zu multikomponentigen Lebensstiländerungen bei Frailty: 1506 ältere Patienten, 14% mit Benzodiazepin-Nutzung, Verfolgung der Mobilitätsbehindertung über Median 3,3 Jahre.</w:t>
      </w:r>
    </w:p>
    <w:p>
      <w:r>
        <w:rPr>
          <w:b/>
        </w:rPr>
        <w:t xml:space="preserve">Ergebnis: </w:t>
      </w:r>
      <w:r>
        <w:t>Bei Frailty-Patienten mit Benzodiazepin-Nutzung war die Effektivität der kombinierten Intervention (körperliche Übungen plus Ernährungsberatung) erheblich reduziert oder aufgehoben. Im Subgroup mit SPPB-Score 3–7 zeigte sich der präventive Effekt (HR 0,80) nur bei Nicht-Nutzern; Nutzer zeigten keinen Schutz (HR 1,06; p=0,035 für Interaktion). Benzodiazepine signifikant mindern die Wirksamkeit von Lebensstiländerungen bei älteren fragilen Menschen.</w:t>
      </w:r>
    </w:p>
    <w:p>
      <w:r>
        <w:rPr>
          <w:b/>
          <w:sz w:val="19"/>
        </w:rPr>
        <w:t xml:space="preserve">Übertragbarkeit: </w:t>
      </w:r>
      <w:r>
        <w:rPr>
          <w:sz w:val="19"/>
        </w:rPr>
        <w:t>Italien und Deutschland, vergleichbare klinische Versorgung und Frailty-Konzepte</w:t>
      </w:r>
    </w:p>
    <w:p>
      <w:r>
        <w:rPr>
          <w:color w:val="5A7D3A"/>
          <w:sz w:val="18"/>
        </w:rPr>
        <w:t>https://pubmed.ncbi.nlm.nih.gov/42685256/</w:t>
      </w:r>
    </w:p>
    <w:p>
      <w:pPr>
        <w:pStyle w:val="Heading2"/>
      </w:pPr>
      <w:r>
        <w:t>Gebrechlichkeit und Alter erhöhen postoperative Komplikationen nach Meningiom-Resektion</w:t>
      </w:r>
    </w:p>
    <w:p>
      <w:r>
        <w:rPr>
          <w:i/>
          <w:color w:val="666666"/>
          <w:sz w:val="18"/>
        </w:rPr>
        <w:t>Eibl T et al.  ·  J Clin Neurosci  ·  06.07.2026  ·  PMID 42407322</w:t>
      </w:r>
    </w:p>
    <w:p>
      <w:r>
        <w:t>Retrospektive Studie: 120 Patienten mit nicht-schädelbasis-Meningiomen (Alter Median 61 Jahre), Frailty (mFI-5, mFI-11), Charlson-Komorbidität, Outcome Heimententlassung, Aufenthaltssdauer, ICU-Tage, Komplikationen.</w:t>
      </w:r>
    </w:p>
    <w:p>
      <w:r>
        <w:rPr>
          <w:b/>
        </w:rPr>
        <w:t xml:space="preserve">Ergebnis: </w:t>
      </w:r>
      <w:r>
        <w:t>82,5% wurden nach Hause entlassen. Risikofaktoren für Nicht-Heimententlassung: höheres Alter (p&lt;0,001), größere Tumorvolumina (p=0,012), höhere Ödemvolumina (p=0,002), höhere Charlson-Score (p&lt;0,001), höhere mFI-5 und mFI-11 (beide p&lt;0,001). Postoperative Aufenthaltssdauer korrelierte mit mFI (rs=0,34 für beide, p&lt;0,001). Gebrechlichkeit und chronologisches Alter beeinflussen operatives Ergebnis erheblich und verlängern postoperativen Aufenthalt.</w:t>
      </w:r>
    </w:p>
    <w:p>
      <w:r>
        <w:rPr>
          <w:b/>
          <w:sz w:val="19"/>
        </w:rPr>
        <w:t xml:space="preserve">Übertragbarkeit: </w:t>
      </w:r>
      <w:r>
        <w:rPr>
          <w:sz w:val="19"/>
        </w:rPr>
        <w:t>Deutschland, vergleichbare Neurochirurgische Versorgung und Frailty-Konzepte</w:t>
      </w:r>
    </w:p>
    <w:p>
      <w:r>
        <w:rPr>
          <w:color w:val="5A7D3A"/>
          <w:sz w:val="18"/>
        </w:rPr>
        <w:t>https://pubmed.ncbi.nlm.nih.gov/42407322/</w:t>
      </w:r>
    </w:p>
    <w:p>
      <w:pPr>
        <w:pStyle w:val="Heading2"/>
      </w:pPr>
      <w:r>
        <w:t>TyG-Index mit BMI/WHtR vorhersagt Herz-Kreislauf-Erkrankung bei älteren Menschen</w:t>
      </w:r>
    </w:p>
    <w:p>
      <w:r>
        <w:rPr>
          <w:i/>
          <w:color w:val="666666"/>
          <w:sz w:val="18"/>
        </w:rPr>
        <w:t>Liu Z et al.  ·  Cardiovasc Diabetol  ·  05.07.2026  ·  PMID 42402573</w:t>
      </w:r>
    </w:p>
    <w:p>
      <w:r>
        <w:t>Prospektive Kohortenstudie: 1808 CVD-freie Personen ≥50 Jahre aus English Longitudinal Study of Ageing, Gruppierungstrajectorie von TyG mit BMI bzw. WHtR über ~8 Jahre, Outcome Herzinfarkt, Schlaganfall, Herzkrankheit.</w:t>
      </w:r>
    </w:p>
    <w:p>
      <w:r>
        <w:rPr>
          <w:b/>
        </w:rPr>
        <w:t xml:space="preserve">Ergebnis: </w:t>
      </w:r>
      <w:r>
        <w:t>Vier Trajektorie-Gruppen identifiziert. Im BMI+TyG-Modell (vs. Normalgewicht-niedriger TyG): Übergewicht-moderater TyG (HR 2,31, 95% KI 1,40–3,83), adipös-hoher TyG (HR 2,72, 1,63–4,52), stark adipös-hoher TyG (HR 5,06, 3,01–8,51). WHtR+TyG ähnliche Dosisantwort. Für Schlaganfall signifikant nur in höchstem Risiko. Robuste Dosis-Antwort-Gradienten unterstützen Monitoring dieser Indizes bei älteren Personen.</w:t>
      </w:r>
    </w:p>
    <w:p>
      <w:r>
        <w:rPr>
          <w:b/>
          <w:sz w:val="19"/>
        </w:rPr>
        <w:t xml:space="preserve">Übertragbarkeit: </w:t>
      </w:r>
      <w:r>
        <w:rPr>
          <w:sz w:val="19"/>
        </w:rPr>
        <w:t>Großbritannien, vergleichbare Epidemiologie und Metabolismus-Diagnostik</w:t>
      </w:r>
    </w:p>
    <w:p>
      <w:r>
        <w:rPr>
          <w:color w:val="5A7D3A"/>
          <w:sz w:val="18"/>
        </w:rPr>
        <w:t>https://pubmed.ncbi.nlm.nih.gov/42402573/</w:t>
      </w:r>
    </w:p>
    <w:p>
      <w:pPr>
        <w:pStyle w:val="Heading2"/>
      </w:pPr>
      <w:r>
        <w:t>Immunseneszenz-Biomarker für klinische Aging-Interventionsstudien</w:t>
      </w:r>
    </w:p>
    <w:p>
      <w:r>
        <w:rPr>
          <w:i/>
          <w:color w:val="666666"/>
          <w:sz w:val="18"/>
        </w:rPr>
        <w:t>Cipriano A et al.  ·  Nat Med  ·  03.07.2026  ·  PMID 42399672</w:t>
      </w:r>
    </w:p>
    <w:p>
      <w:r>
        <w:t>Konsensusrahmen von 26 Gerontologen und Immunologen zur Evaluierung von Immune-Aging-Biomarkern für klinische Trials; fünf Selektionskriterien, Bewertung von Kandidaten-Biomarkern und Empfehlungen für Lücken.</w:t>
      </w:r>
    </w:p>
    <w:p>
      <w:r>
        <w:rPr>
          <w:b/>
        </w:rPr>
        <w:t xml:space="preserve">Ergebnis: </w:t>
      </w:r>
      <w:r>
        <w:t>Metriken mit multidimensionalem Immunfunktionsspektrum, Inflammaging-Scores und funktionelle Assays schnitten gegen Selektionskriterien am besten ab. Vielversprechende aufkommende Maße identifiziert, aber kritische Lücken für zuverlässige, prädiktive Biomarker erkannt. Rahmen bietet kohärenten Weg zu klinisch aussagekräftigen Immunalterungs-Biomarkern für Geroscience-Interventionen.</w:t>
      </w:r>
    </w:p>
    <w:p>
      <w:r>
        <w:rPr>
          <w:b/>
          <w:sz w:val="19"/>
        </w:rPr>
        <w:t xml:space="preserve">Übertragbarkeit: </w:t>
      </w:r>
      <w:r>
        <w:rPr>
          <w:sz w:val="19"/>
        </w:rPr>
        <w:t>International konsensiert; Framework unabhängig von Ländersystem, aber Implementierung in Deutschland möglich</w:t>
      </w:r>
    </w:p>
    <w:p>
      <w:r>
        <w:rPr>
          <w:color w:val="5A7D3A"/>
          <w:sz w:val="18"/>
        </w:rPr>
        <w:t>https://pubmed.ncbi.nlm.nih.gov/42399672/</w:t>
      </w:r>
    </w:p>
    <w:p>
      <w:pPr>
        <w:pStyle w:val="Heading2"/>
      </w:pPr>
      <w:r>
        <w:t>Sexuelle Aktivitätsveränderung beeinträchtigt Lebensqualität im Alter nachweislich</w:t>
      </w:r>
    </w:p>
    <w:p>
      <w:r>
        <w:rPr>
          <w:i/>
          <w:color w:val="666666"/>
          <w:sz w:val="18"/>
        </w:rPr>
        <w:t>Kujawska A et al.  ·  Maturitas  ·  29.06.2026  ·  PMID 42391932</w:t>
      </w:r>
    </w:p>
    <w:p>
      <w:r>
        <w:t>Zweijahrliche Längsschnittstudie: 199 ältere Polen (80% Frauen, Alter 69,7±6 Jahre), Assessment von Sexualität und Lebensqualität nach WHO-QoL, Kovariaten Alter, Basalwerte, Traurigkeit, Gesundheit.</w:t>
      </w:r>
    </w:p>
    <w:p>
      <w:r>
        <w:rPr>
          <w:b/>
        </w:rPr>
        <w:t xml:space="preserve">Ergebnis: </w:t>
      </w:r>
      <w:r>
        <w:t>Keine signifikanten Veränderungen in Gesamt-QoL-Werten über zwei Jahre (p=0,3). Aber: Aufhören von Sexualität war assoziiert mit signifikant niedrigeren Folgepunkten in Sozialbeziehungen (p=0,006) und Umwelt-Domäne (p=0,007). Effekt hielt nach Ausschluß von Gesundheits- und Depressions-Veränderungen. Beendigung der Sexualität im Alter reduziert Sozialbeziehungen und Umwelt-Wohlbefinden nachweislich.</w:t>
      </w:r>
    </w:p>
    <w:p>
      <w:r>
        <w:rPr>
          <w:b/>
          <w:sz w:val="19"/>
        </w:rPr>
        <w:t xml:space="preserve">Übertragbarkeit: </w:t>
      </w:r>
      <w:r>
        <w:rPr>
          <w:sz w:val="19"/>
        </w:rPr>
        <w:t>Polen, ähnliche Altersstruktur, aber Übertragung auf Deutschland kulturabhängig</w:t>
      </w:r>
    </w:p>
    <w:p>
      <w:r>
        <w:rPr>
          <w:color w:val="5A7D3A"/>
          <w:sz w:val="18"/>
        </w:rPr>
        <w:t>https://pubmed.ncbi.nlm.nih.gov/42391932/</w:t>
      </w:r>
    </w:p>
    <w:p>
      <w:pPr>
        <w:pStyle w:val="Heading1"/>
      </w:pPr>
      <w:r>
        <w:t>Aufgenommen am 03.09.2026</w:t>
      </w:r>
    </w:p>
    <w:p>
      <w:pPr>
        <w:pStyle w:val="Heading2"/>
      </w:pPr>
      <w:r>
        <w:t>Hausarzt-Vertragsdienst in China verbessert Gesundheit älterer Erwachsener</w:t>
      </w:r>
    </w:p>
    <w:p>
      <w:r>
        <w:rPr>
          <w:i/>
          <w:color w:val="666666"/>
          <w:sz w:val="18"/>
        </w:rPr>
        <w:t>Jia C et al.  ·  Front Public Health  ·  18.08.2026  ·  PMID 42682531</w:t>
      </w:r>
    </w:p>
    <w:p>
      <w:r>
        <w:t>Nationale chinesische Querschnittsstudie (n = 11.455, ≥ 65 Jahre) aus der China Longitudinal Aging Social Survey 2023 zur Assoziation zwischen Teilnahme am Family Doctor Contract Service (FDCS) und Selbstbewertung, körperlichem Unbehagen und Lebenszufriedenheit, stratifiziert nach Land/Stadt und Bildung.</w:t>
      </w:r>
    </w:p>
    <w:p>
      <w:r>
        <w:rPr>
          <w:b/>
        </w:rPr>
        <w:t xml:space="preserve">Ergebnis: </w:t>
      </w:r>
      <w:r>
        <w:t>FDCS-Teilnahme assoziiert mit besseren Ergebnissen in allen drei Dimensionen. Ländliche und weniger gebildete Ältere zeigten stärkere Assoziationen mit geringerem körperlichem Unbehagen und höherer Lebenszufriedenheit; urbane und höher gebildete mit besserer Selbstbewertung. Heterogene Effekte nach Wohnort und Bildung.</w:t>
      </w:r>
    </w:p>
    <w:p>
      <w:r>
        <w:rPr>
          <w:b/>
          <w:sz w:val="19"/>
        </w:rPr>
        <w:t xml:space="preserve">Übertragbarkeit: </w:t>
      </w:r>
      <w:r>
        <w:rPr>
          <w:sz w:val="19"/>
        </w:rPr>
        <w:t>China, anderes System; Konzept der primärärztlichen Gatekeeping-Funktion teils übertragbar, Effektgrößen jedoch kontextabhängig.</w:t>
      </w:r>
    </w:p>
    <w:p>
      <w:r>
        <w:rPr>
          <w:color w:val="5A7D3A"/>
          <w:sz w:val="18"/>
        </w:rPr>
        <w:t>https://pubmed.ncbi.nlm.nih.gov/42682531/</w:t>
      </w:r>
    </w:p>
    <w:p>
      <w:pPr>
        <w:pStyle w:val="Heading2"/>
      </w:pPr>
      <w:r>
        <w:t>Serum-Periostin als Biomarker für Frailty bei Typ-2-Diabetes</w:t>
      </w:r>
    </w:p>
    <w:p>
      <w:r>
        <w:rPr>
          <w:i/>
          <w:color w:val="666666"/>
          <w:sz w:val="18"/>
        </w:rPr>
        <w:t>González-Salvatierra S et al.  ·  Int J Mol Sci  ·  21.08.2026  ·  PMID 42653500</w:t>
      </w:r>
    </w:p>
    <w:p>
      <w:r>
        <w:t>Spanische Querschnittsstudie (n = 137, Alter 65 ± 8 Jahre) zur Assoziation zwischen serum-Periostin und Frailty-Status (FRAIL-Skala: robust, pre-frail, frail) bei Typ-2-Diabetes.</w:t>
      </w:r>
    </w:p>
    <w:p>
      <w:r>
        <w:rPr>
          <w:b/>
        </w:rPr>
        <w:t xml:space="preserve">Ergebnis: </w:t>
      </w:r>
      <w:r>
        <w:t>Frailty korrelierte positiv mit Alter (p &lt; 0,001), BMI (p = 0,006), Taille (p = 0,01) und Diabetes-Dauer (p = 0,040), negativ mit TBS, HDL und eGFR. Periostin zeigte stärkste Korrelation mit Frailty (p &lt; 0,001). Frail: höhere Periostin als pre-frail (p = 0,006) und robust (p = 0,008). AUC für Frailty-Diskrimination 0,710 (p &lt; 0,001); kombiniert mit klinischen Variablen AUC 0,900 vs. 0,858. Schwellenwert &gt; 1307 pmol/L: 77,8% Sensitivität, 66,7% Spezifität.</w:t>
      </w:r>
    </w:p>
    <w:p>
      <w:r>
        <w:rPr>
          <w:b/>
          <w:sz w:val="19"/>
        </w:rPr>
        <w:t xml:space="preserve">Übertragbarkeit: </w:t>
      </w:r>
      <w:r>
        <w:rPr>
          <w:sz w:val="19"/>
        </w:rPr>
        <w:t>Spanien, europäisches System, vergleichbar; Biomarker-Entwicklung in progress.</w:t>
      </w:r>
    </w:p>
    <w:p>
      <w:r>
        <w:rPr>
          <w:color w:val="5A7D3A"/>
          <w:sz w:val="18"/>
        </w:rPr>
        <w:t>https://pubmed.ncbi.nlm.nih.gov/42653500/</w:t>
      </w:r>
    </w:p>
    <w:p>
      <w:pPr>
        <w:pStyle w:val="Heading2"/>
      </w:pPr>
      <w:r>
        <w:t>Geschlechtsspezifische Determinanten von Frailty bei alternden Menschen mit HIV</w:t>
      </w:r>
    </w:p>
    <w:p>
      <w:r>
        <w:rPr>
          <w:i/>
          <w:color w:val="666666"/>
          <w:sz w:val="18"/>
        </w:rPr>
        <w:t>Echeverría P et al.  ·  Viruses  ·  04.07.2026  ·  PMID 42515594</w:t>
      </w:r>
    </w:p>
    <w:p>
      <w:r>
        <w:t>Querschnittsstudie zu Frailty (Fried-Kriterien) bei 588 älteren Menschen mit HIV in Spanien, untersucht nach Geschlecht stratifiziert mittels geriatrischem Assessment.</w:t>
      </w:r>
    </w:p>
    <w:p>
      <w:r>
        <w:rPr>
          <w:b/>
        </w:rPr>
        <w:t xml:space="preserve">Ergebnis: </w:t>
      </w:r>
      <w:r>
        <w:t>Frauen mit HIV zeigten höhere Frailty-Prävalenz (17% vs. 9%) trotz jüngeren Alters und besserer Immunstatus. Bei Frauen waren muskuloskelettale Erkrankung (OR 3,85), kognitive Beeinträchtigung (OR 3,21), depressive Symptome (OR 2,67) und Mangelernährung (OR 2,14) unabhängig mit Frailty assoziiert; bei Männern alterstypischere Muster. Forderung nach geschlechtsspezifischer, ganzheitlicher geriatrischer Versorgung.</w:t>
      </w:r>
    </w:p>
    <w:p>
      <w:r>
        <w:rPr>
          <w:b/>
          <w:sz w:val="19"/>
        </w:rPr>
        <w:t xml:space="preserve">Übertragbarkeit: </w:t>
      </w:r>
      <w:r>
        <w:rPr>
          <w:sz w:val="19"/>
        </w:rPr>
        <w:t>Spanien, europäisches System, direkt vergleichbare Versorgungsstrukturen.</w:t>
      </w:r>
    </w:p>
    <w:p>
      <w:r>
        <w:rPr>
          <w:color w:val="5A7D3A"/>
          <w:sz w:val="18"/>
        </w:rPr>
        <w:t>https://pubmed.ncbi.nlm.nih.gov/42515594/</w:t>
      </w:r>
    </w:p>
    <w:p>
      <w:pPr>
        <w:pStyle w:val="Heading2"/>
      </w:pPr>
      <w:r>
        <w:t>Express-Screening für Frailty verbessert Versorgung älteren Patienten mit Notfallbedarf</w:t>
      </w:r>
    </w:p>
    <w:p>
      <w:r>
        <w:rPr>
          <w:i/>
          <w:color w:val="666666"/>
          <w:sz w:val="18"/>
        </w:rPr>
        <w:t>Ilnitski AN et al.  ·  Adv Gerontol  ·  2026  ·  PMID 42502931</w:t>
      </w:r>
    </w:p>
    <w:p>
      <w:r>
        <w:t>Russische Studie an 333 älteren Patienten (65–90 Jahre) in Notfallambulanz: Vergleich zwischen 234 Patienten mit Frailty-Screening (Gruppe 1) und 99 ohne Screening (Gruppe 2); Nachverfolgung 1 Monat.</w:t>
      </w:r>
    </w:p>
    <w:p>
      <w:r>
        <w:rPr>
          <w:b/>
        </w:rPr>
        <w:t xml:space="preserve">Ergebnis: </w:t>
      </w:r>
      <w:r>
        <w:t>Gruppe 1: 62,8% unter hausärztlicher Beobachtung, 0% Wiedervorstellungen, 0,4% Mortalität. Gruppe 2: 41,4% beobachtet, 6,1% Wiedervorstellungen, 2% Mortalität (p &lt; 0,001). Express-Screening ermöglichte bessere Nachbeobachtung und senkte Sterblichkeit und Inanspruchnahme.</w:t>
      </w:r>
    </w:p>
    <w:p>
      <w:r>
        <w:rPr>
          <w:b/>
          <w:sz w:val="19"/>
        </w:rPr>
        <w:t xml:space="preserve">Übertragbarkeit: </w:t>
      </w:r>
      <w:r>
        <w:rPr>
          <w:sz w:val="19"/>
        </w:rPr>
        <w:t>Russland, weniger direkt übertragbar; Konzept des Frailty-Screening in Notfallambulanzen adaptierbar.</w:t>
      </w:r>
    </w:p>
    <w:p>
      <w:r>
        <w:rPr>
          <w:color w:val="5A7D3A"/>
          <w:sz w:val="18"/>
        </w:rPr>
        <w:t>https://pubmed.ncbi.nlm.nih.gov/42502931/</w:t>
      </w:r>
    </w:p>
    <w:p>
      <w:pPr>
        <w:pStyle w:val="Heading2"/>
      </w:pPr>
      <w:r>
        <w:t>Geschlechtsspezifische Heterogenität der Handkraftveränderung im Alter: UK Biobank</w:t>
      </w:r>
    </w:p>
    <w:p>
      <w:r>
        <w:rPr>
          <w:i/>
          <w:color w:val="666666"/>
          <w:sz w:val="18"/>
        </w:rPr>
        <w:t>Fortinsky RH et al.  ·  J Gerontol A Biol Sci Med Sci  ·  04.08.2026  ·  PMID 42435411</w:t>
      </w:r>
    </w:p>
    <w:p>
      <w:r>
        <w:t>Longitudinale Kohorte aus UK Biobank (n = 73.134, 52% Frauen, 40–69 Jahre bei Baseline, 4–18 Jahre Nachverfolgung) zur Analyse der Varianz in Handkraft nach Altersgruppen und Geschlecht.</w:t>
      </w:r>
    </w:p>
    <w:p>
      <w:r>
        <w:rPr>
          <w:b/>
        </w:rPr>
        <w:t xml:space="preserve">Ergebnis: </w:t>
      </w:r>
      <w:r>
        <w:t>Frauen zeigten stabile Handkraft-Varianz über alle Altersgruppen querschnittlich und longitudinal; Männer zeigten cross-sectional Varianzabnahme mit Alter, longitudinal aber Varianzanstieg. Kovariaten schwächten Trends ab, eliminierten sie aber nicht. Heterogenität des Alterns operiert bei Männern und Frauen unterschiedlich; longitudinale und querschnittliche Muster divergieren deutlich.</w:t>
      </w:r>
    </w:p>
    <w:p>
      <w:r>
        <w:rPr>
          <w:b/>
          <w:sz w:val="19"/>
        </w:rPr>
        <w:t xml:space="preserve">Übertragbarkeit: </w:t>
      </w:r>
      <w:r>
        <w:rPr>
          <w:sz w:val="19"/>
        </w:rPr>
        <w:t>UK Biobank, vergleichbares englisches System, hohe Übertragbarkeit auf deutsche Bevölkerung.</w:t>
      </w:r>
    </w:p>
    <w:p>
      <w:r>
        <w:rPr>
          <w:color w:val="5A7D3A"/>
          <w:sz w:val="18"/>
        </w:rPr>
        <w:t>https://pubmed.ncbi.nlm.nih.gov/42435411/</w:t>
      </w:r>
    </w:p>
    <w:p>
      <w:pPr>
        <w:pStyle w:val="Heading2"/>
      </w:pPr>
      <w:r>
        <w:t>Gezielte epigenetische Uhr (TaM-Uhr) zeigt Grenzen bei Frailty-Vorhersage</w:t>
      </w:r>
    </w:p>
    <w:p>
      <w:r>
        <w:rPr>
          <w:i/>
          <w:color w:val="666666"/>
          <w:sz w:val="18"/>
        </w:rPr>
        <w:t>Awuah J et al.  ·  Clin Epigenetics  ·  07.07.2026  ·  PMID 42415175</w:t>
      </w:r>
    </w:p>
    <w:p>
      <w:r>
        <w:t>Deutsche Studie (Ulm, Aachen) zur Validierung einer verkürzten epigenetischen Uhr basierend auf drei Sterblichkeits-assoziierten CpG-Stellen gegen Frailty und Mortalität in der ActiFE-Kohorte (n = 446 bzw. 20 Frail/non-Frail).</w:t>
      </w:r>
    </w:p>
    <w:p>
      <w:r>
        <w:rPr>
          <w:b/>
        </w:rPr>
        <w:t xml:space="preserve">Ergebnis: </w:t>
      </w:r>
      <w:r>
        <w:t>In der kleinen Subset (n = 40) war das Delta-Alter mit Frailty assoziiert, jedoch in der größeren Kohorte keine signifikanten Assoziationen mit Frailty oder Mortalität. Ein CpG-Locus (cg20595453) zeigte Assoziation mit beiden Endpunkten, doch insgesamt war die Vorhersagekraft begrenzt. Die Autoren konstatieren, dass epigenetische Uhren in relativ gesunden Populationen nicht sensitiv genug sind.</w:t>
      </w:r>
    </w:p>
    <w:p>
      <w:r>
        <w:rPr>
          <w:b/>
          <w:sz w:val="19"/>
        </w:rPr>
        <w:t xml:space="preserve">Übertragbarkeit: </w:t>
      </w:r>
      <w:r>
        <w:rPr>
          <w:sz w:val="19"/>
        </w:rPr>
        <w:t>Deutschland (Aachen, Ulm), deutsches Studiendesign, hohe Übertragbarkeit; zeigt jedoch auch Grenzen der Methode.</w:t>
      </w:r>
    </w:p>
    <w:p>
      <w:r>
        <w:rPr>
          <w:color w:val="5A7D3A"/>
          <w:sz w:val="18"/>
        </w:rPr>
        <w:t>https://pubmed.ncbi.nlm.nih.gov/42415175/</w:t>
      </w:r>
    </w:p>
    <w:p>
      <w:pPr>
        <w:pStyle w:val="Heading1"/>
      </w:pPr>
      <w:r>
        <w:t>Aufgenommen am 02.09.2026</w:t>
      </w:r>
    </w:p>
    <w:p>
      <w:pPr>
        <w:pStyle w:val="Heading2"/>
      </w:pPr>
      <w:r>
        <w:t>Psychische Gesundheit älteren Menschen: Evidenzbasierte Prävention mit moderater körperlicher Aktivität</w:t>
      </w:r>
    </w:p>
    <w:p>
      <w:r>
        <w:rPr>
          <w:i/>
          <w:color w:val="666666"/>
          <w:sz w:val="18"/>
        </w:rPr>
        <w:t>Acoulon G et al.  ·  Sante Publique  ·  2026  ·  PMID 42674988</w:t>
      </w:r>
    </w:p>
    <w:p>
      <w:r>
        <w:t>Systematische Übersicht von Primärprävention psychischer Erkrankungen bei selbstständig lebenden älteren Menschen ab 60 Jahren.</w:t>
      </w:r>
    </w:p>
    <w:p>
      <w:r>
        <w:rPr>
          <w:b/>
        </w:rPr>
        <w:t xml:space="preserve">Ergebnis: </w:t>
      </w:r>
      <w:r>
        <w:t>Sieben Interventionskategorien identifiziert; moderate körperliche Aktivität (2–3 Sitzungen/Woche, ≥12 Wochen) reduzierte depressive und Angstsymptome am stärksten. Multimodale und in Gemeinderessourcen verankerte Programme zeigten beste Effektivität. Hauptchallenge: Dissemination und Anpassung an vulnerable Bevölkerungsgruppen, nicht die Identifikation wirksamer Interventionen.</w:t>
      </w:r>
    </w:p>
    <w:p>
      <w:r>
        <w:rPr>
          <w:b/>
          <w:sz w:val="19"/>
        </w:rPr>
        <w:t xml:space="preserve">Übertragbarkeit: </w:t>
      </w:r>
      <w:r>
        <w:rPr>
          <w:sz w:val="19"/>
        </w:rPr>
        <w:t>Frankreich, vergleichbare Sozialversicherung; Empfehlungen auf deutsches System übertragbar</w:t>
      </w:r>
    </w:p>
    <w:p>
      <w:r>
        <w:rPr>
          <w:color w:val="5A7D3A"/>
          <w:sz w:val="18"/>
        </w:rPr>
        <w:t>https://pubmed.ncbi.nlm.nih.gov/42674988/</w:t>
      </w:r>
    </w:p>
    <w:p>
      <w:pPr>
        <w:pStyle w:val="Heading2"/>
      </w:pPr>
      <w:r>
        <w:t>Sozial assistive Roboter in der Altenpflege: Phasen-orientierte Implementierung statt Technologie-Fokus</w:t>
      </w:r>
    </w:p>
    <w:p>
      <w:r>
        <w:rPr>
          <w:i/>
          <w:color w:val="666666"/>
          <w:sz w:val="18"/>
        </w:rPr>
        <w:t>Bubeck M et al.  ·  Arch Gerontol Geriatr  ·  28.07.2026  ·  PMID 42603460</w:t>
      </w:r>
    </w:p>
    <w:p>
      <w:r>
        <w:t>Qualitative Studie mit 14 professionellen Pflegekräften in deutschen Einrichtungen zur Erfahrung mit Robotern am Krankenbett.</w:t>
      </w:r>
    </w:p>
    <w:p>
      <w:r>
        <w:rPr>
          <w:b/>
        </w:rPr>
        <w:t xml:space="preserve">Ergebnis: </w:t>
      </w:r>
      <w:r>
        <w:t>Vier analytische Phasen der Implementierung identifiziert: Orientierung, Einführung, Routinenutzung, Neubewertung. Praktische und moralische Anforderungen verschoben sich systematisch. Zentrale Erkenntnisse: Nachhaltige, ethisch verantwortungsvolle Nutzung erfordert Unterstützung des professionellen Urteils und kontextuelle Sensibilität – nicht technisches Rollout ohne Reflexion.</w:t>
      </w:r>
    </w:p>
    <w:p>
      <w:r>
        <w:rPr>
          <w:b/>
          <w:sz w:val="19"/>
        </w:rPr>
        <w:t xml:space="preserve">Übertragbarkeit: </w:t>
      </w:r>
      <w:r>
        <w:rPr>
          <w:sz w:val="19"/>
        </w:rPr>
        <w:t>Deutschland, direkt auf deutsches Versorgungssystem anwendbar</w:t>
      </w:r>
    </w:p>
    <w:p>
      <w:r>
        <w:rPr>
          <w:color w:val="5A7D3A"/>
          <w:sz w:val="18"/>
        </w:rPr>
        <w:t>https://pubmed.ncbi.nlm.nih.gov/42603460/</w:t>
      </w:r>
    </w:p>
    <w:p>
      <w:pPr>
        <w:pStyle w:val="Heading2"/>
      </w:pPr>
      <w:r>
        <w:t>Urinmetabolom als biologische Alter-Uhr: Längsschnitt-Heterogenität und Mortalitätsvorhersage</w:t>
      </w:r>
    </w:p>
    <w:p>
      <w:r>
        <w:rPr>
          <w:i/>
          <w:color w:val="666666"/>
          <w:sz w:val="18"/>
        </w:rPr>
        <w:t>Gauß KF et al.  ·  J Gerontol A Biol Sci Med Sci  ·  04.08.2026  ·  PMID 42440338</w:t>
      </w:r>
    </w:p>
    <w:p>
      <w:r>
        <w:t>Entwicklung und Validierung eines biologischen Alter-Scores aus hochauflösender ¹H-Kernresonanzspektroskopie von Urinmetaboliten in großer populationsbasierter Kohorte mit &gt;10-Jahr Nachverfolgung.</w:t>
      </w:r>
    </w:p>
    <w:p>
      <w:r>
        <w:rPr>
          <w:b/>
        </w:rPr>
        <w:t xml:space="preserve">Ergebnis: </w:t>
      </w:r>
      <w:r>
        <w:t>Metabolisches Altern variiert zwischen Individuen, unterstreicht inter-individuelle Heterogenität. Metabolisches Alter zeigte Assoziation mit altersrelevanten klinischen Phänotypen und war prädiktiv für multiple Erkrankungen und Gesamtmortalität unabhängig vom chronologischen Alter. Urinmetabolom als non-invasives Werkzeug zur Risikostratifizierung validiert.</w:t>
      </w:r>
    </w:p>
    <w:p>
      <w:r>
        <w:rPr>
          <w:b/>
          <w:sz w:val="19"/>
        </w:rPr>
        <w:t xml:space="preserve">Übertragbarkeit: </w:t>
      </w:r>
      <w:r>
        <w:rPr>
          <w:sz w:val="19"/>
        </w:rPr>
        <w:t>Deutschland, Greifswald; deutsche Klinikdaten, vergleichbare Dokumentationspflichten</w:t>
      </w:r>
    </w:p>
    <w:p>
      <w:r>
        <w:rPr>
          <w:color w:val="5A7D3A"/>
          <w:sz w:val="18"/>
        </w:rPr>
        <w:t>https://pubmed.ncbi.nlm.nih.gov/42440338/</w:t>
      </w:r>
    </w:p>
    <w:p>
      <w:pPr>
        <w:pStyle w:val="Heading2"/>
      </w:pPr>
      <w:r>
        <w:t>Frailty-Übergänge und Schlaganfall-Risiko: China und Großbritannien im Vergleich</w:t>
      </w:r>
    </w:p>
    <w:p>
      <w:r>
        <w:rPr>
          <w:i/>
          <w:color w:val="666666"/>
          <w:sz w:val="18"/>
        </w:rPr>
        <w:t>Zhong S et al.  ·  Arch Gerontol Geriatr  ·  04.07.2026  ·  PMID 42418874</w:t>
      </w:r>
    </w:p>
    <w:p>
      <w:r>
        <w:t>Längsschnittstudie (CHARLS/ELSA) mit 14.682 älteren Erwachsenen zu Frailty-Verlauf und Schlaganfall-Inzidenz über 2 Jahre.</w:t>
      </w:r>
    </w:p>
    <w:p>
      <w:r>
        <w:rPr>
          <w:b/>
        </w:rPr>
        <w:t xml:space="preserve">Ergebnis: </w:t>
      </w:r>
      <w:r>
        <w:t>Baseline-Frailty erhöhte Schlaganfall-Risiko in beiden Ländern. Progression von robust zu pre-frail/frail: signifikant erhöhtes Risiko; Verbesserung von frail zu robust/pre-frail: Risikoreduktion. Höherer kumulativer Frailty-Index zeigte Dosis-Wirkungs-Beziehung (alle p&lt;0,0001). Frailty-Monitoring als Prognose-Instrument für Hochrisiko-Patienten bestätigt.</w:t>
      </w:r>
    </w:p>
    <w:p>
      <w:r>
        <w:rPr>
          <w:b/>
          <w:sz w:val="19"/>
        </w:rPr>
        <w:t xml:space="preserve">Übertragbarkeit: </w:t>
      </w:r>
      <w:r>
        <w:rPr>
          <w:sz w:val="19"/>
        </w:rPr>
        <w:t>Großbritannien und China, vorsichtig auf Deutschland; Altersstruktur und Versorgung unterschiedlich, Frailty-Mechanismus universal</w:t>
      </w:r>
    </w:p>
    <w:p>
      <w:r>
        <w:rPr>
          <w:color w:val="5A7D3A"/>
          <w:sz w:val="18"/>
        </w:rPr>
        <w:t>https://pubmed.ncbi.nlm.nih.gov/42418874/</w:t>
      </w:r>
    </w:p>
    <w:p>
      <w:pPr>
        <w:pStyle w:val="Heading2"/>
      </w:pPr>
      <w:r>
        <w:t>Soziale, psychische und spirituelle Versorgung am Lebensende: Ungleichheiten durch fehlende Formaldienste</w:t>
      </w:r>
    </w:p>
    <w:p>
      <w:r>
        <w:rPr>
          <w:i/>
          <w:color w:val="666666"/>
          <w:sz w:val="18"/>
        </w:rPr>
        <w:t>Meier C et al.  ·  Age Ageing  ·  02.07.2026  ·  PMID 42407095</w:t>
      </w:r>
    </w:p>
    <w:p>
      <w:r>
        <w:t>Analyse von 507 Proxy-Interviews verstorbener Personen (≥55 Jahre) aus der ELSA zur Unterstützung non-medizinischer Bedarf in den letzten drei Lebensmonaten.</w:t>
      </w:r>
    </w:p>
    <w:p>
      <w:r>
        <w:rPr>
          <w:b/>
        </w:rPr>
        <w:t xml:space="preserve">Ergebnis: </w:t>
      </w:r>
      <w:r>
        <w:t>Soziale Bedürfnisse bei 81,8%, psychische bei 77,8%, spirituelle bei 74,4% erfüllt. Überwiegend Familie als Unterstützer, kaum formale Dienste. Alleinleben assoziiert mit niedrigerer Erfüllungswahrscheinlichkeit; Demenz korreliert mit schlechterer psychischer und sozialer Unterstützung. Mangel an integrierten Angeboten verstärkt soziale Ungleichheiten am Lebensende.</w:t>
      </w:r>
    </w:p>
    <w:p>
      <w:r>
        <w:rPr>
          <w:b/>
          <w:sz w:val="19"/>
        </w:rPr>
        <w:t xml:space="preserve">Übertragbarkeit: </w:t>
      </w:r>
      <w:r>
        <w:rPr>
          <w:sz w:val="19"/>
        </w:rPr>
        <w:t>Großbritannien, vergleichbar mit deutschem NHS; Befund zur Systemabhängigkeit nicht-medizinischer Versorgung bedeutsam</w:t>
      </w:r>
    </w:p>
    <w:p>
      <w:r>
        <w:rPr>
          <w:color w:val="5A7D3A"/>
          <w:sz w:val="18"/>
        </w:rPr>
        <w:t>https://pubmed.ncbi.nlm.nih.gov/42407095/</w:t>
      </w:r>
    </w:p>
    <w:p>
      <w:pPr>
        <w:pStyle w:val="Heading2"/>
      </w:pPr>
      <w:r>
        <w:t>Schlafstörungen und Muskelkraftverlust im Alter: Geschlechtsspezifische Unterschiede bei älteren Erwachsenen</w:t>
      </w:r>
    </w:p>
    <w:p>
      <w:r>
        <w:rPr>
          <w:i/>
          <w:color w:val="666666"/>
          <w:sz w:val="18"/>
        </w:rPr>
        <w:t>Silveira LC et al.  ·  Age Ageing  ·  02.07.2026  ·  PMID 42407094</w:t>
      </w:r>
    </w:p>
    <w:p>
      <w:r>
        <w:t>Längsschnittstudie (8 Jahre, n=6.429, ELSA) zu Einfluss von Insomnie und Schlafdauer auf Handgriff-Kraft-Abnahme.</w:t>
      </w:r>
    </w:p>
    <w:p>
      <w:r>
        <w:rPr>
          <w:b/>
        </w:rPr>
        <w:t xml:space="preserve">Ergebnis: </w:t>
      </w:r>
      <w:r>
        <w:t>Männer mit erhöhter Insomnie: schnellerer Kraftverlust (–0,02 kg/Jahr; 95%-KI –0,04 bis –0,01). Frauen mit Schlafdauer ≥9 Stunden: stärkerer Rückgang (–0,14 kg/Jahr; 95%-KI –0,26 bis –0,03). Schlafprobleme beeinflussen Muskelabbau geschlechtsspezifisch unterschiedlich – bei Männern Insomnie, bei Frauen lange Schlafdauer.</w:t>
      </w:r>
    </w:p>
    <w:p>
      <w:r>
        <w:rPr>
          <w:b/>
          <w:sz w:val="19"/>
        </w:rPr>
        <w:t xml:space="preserve">Übertragbarkeit: </w:t>
      </w:r>
      <w:r>
        <w:rPr>
          <w:sz w:val="19"/>
        </w:rPr>
        <w:t>Großbritannien, epidemiologisch auf Deutschland übertragbar; Geschlechtsdimension in Prävention relevant</w:t>
      </w:r>
    </w:p>
    <w:p>
      <w:r>
        <w:rPr>
          <w:color w:val="5A7D3A"/>
          <w:sz w:val="18"/>
        </w:rPr>
        <w:t>https://pubmed.ncbi.nlm.nih.gov/42407094/</w:t>
      </w:r>
    </w:p>
    <w:p>
      <w:pPr>
        <w:pStyle w:val="Heading1"/>
      </w:pPr>
      <w:r>
        <w:t>Aufgenommen am 01.09.2026</w:t>
      </w:r>
    </w:p>
    <w:p>
      <w:pPr>
        <w:pStyle w:val="Heading2"/>
      </w:pPr>
      <w:r>
        <w:t>Geriatrisches Assessment vor Gefäßinterventionen senkt perioperative Risiken bei älteren Patienten</w:t>
      </w:r>
    </w:p>
    <w:p>
      <w:r>
        <w:rPr>
          <w:i/>
          <w:color w:val="666666"/>
          <w:sz w:val="18"/>
        </w:rPr>
        <w:t>Kolb G et al.  ·  Vasa  ·  Sept. 2026  ·  PMID 42669422</w:t>
      </w:r>
    </w:p>
    <w:p>
      <w:r>
        <w:t>Positionspapier dreier Fachgesellschaften zur Notwendigkeit geriatrischer Assessments vor gefäßmedizinischen Eingriffen bei älteren Menschen, da Frailty die Outcomes nach Gefäßchirurgie und Interventionen bestimmt.</w:t>
      </w:r>
    </w:p>
    <w:p>
      <w:r>
        <w:rPr>
          <w:b/>
        </w:rPr>
        <w:t xml:space="preserve">Ergebnis: </w:t>
      </w:r>
      <w:r>
        <w:t>Frailty-Status bestimmt Komplikationen und Outcomes nach Gefäßinterventionen; geriatrisches Assessment wird zur Risikostratifizierung empfohlen, konkrete Zahlen zu Outcome-Verbesserungen durch das Positionspapier nicht genannt.</w:t>
      </w:r>
    </w:p>
    <w:p>
      <w:r>
        <w:rPr>
          <w:b/>
          <w:sz w:val="19"/>
        </w:rPr>
        <w:t xml:space="preserve">Übertragbarkeit: </w:t>
      </w:r>
      <w:r>
        <w:rPr>
          <w:sz w:val="19"/>
        </w:rPr>
        <w:t>Deutschland: Stellungnahmen deutscher Fachgesellschaften, direkt relevant für Versorgungspraxis.</w:t>
      </w:r>
    </w:p>
    <w:p>
      <w:r>
        <w:rPr>
          <w:color w:val="5A7D3A"/>
          <w:sz w:val="18"/>
        </w:rPr>
        <w:t>https://pubmed.ncbi.nlm.nih.gov/42669422/</w:t>
      </w:r>
    </w:p>
    <w:p>
      <w:pPr>
        <w:pStyle w:val="Heading2"/>
      </w:pPr>
      <w:r>
        <w:t>Gesunde Ernährung verlangsamt epigenetisches Altern unabhängig von Ernährungsstil</w:t>
      </w:r>
    </w:p>
    <w:p>
      <w:r>
        <w:rPr>
          <w:i/>
          <w:color w:val="666666"/>
          <w:sz w:val="18"/>
        </w:rPr>
        <w:t>Tavares JF et al.  ·  Nat Commun  ·  29.08.2026  ·  PMID 42668319</w:t>
      </w:r>
    </w:p>
    <w:p>
      <w:r>
        <w:t>Zwei bevölkerungsbasierte Kohorten zeigten, dass Adhärenz zu gesunden Ernährungsmustern mit verlangsamtem epigenetischem Altern assoziiert ist, obwohl verschiedene Ernährungsstile unterschiedliche epigenetische Profile aufweisen.</w:t>
      </w:r>
    </w:p>
    <w:p>
      <w:r>
        <w:rPr>
          <w:b/>
        </w:rPr>
        <w:t xml:space="preserve">Ergebnis: </w:t>
      </w:r>
      <w:r>
        <w:t>Zehn verschiedene Ernährungsbewertungsindizes: minimale Überschneidung in der höchsten Adhärenz-Quartile, aber alle mit reduziertem epigenetischen Altern assoziiert; verschiedene Ernährungsstile konvergierten auf gleiche biologische Signalwege.</w:t>
      </w:r>
    </w:p>
    <w:p>
      <w:r>
        <w:rPr>
          <w:b/>
          <w:sz w:val="19"/>
        </w:rPr>
        <w:t xml:space="preserve">Übertragbarkeit: </w:t>
      </w:r>
      <w:r>
        <w:rPr>
          <w:sz w:val="19"/>
        </w:rPr>
        <w:t>Deutschland und deutschsprachiger Raum: Rhineland-Studie, vergleichbare Populationsstruktur, externe Validierung mit EPIC-Potsdam.</w:t>
      </w:r>
    </w:p>
    <w:p>
      <w:r>
        <w:rPr>
          <w:color w:val="5A7D3A"/>
          <w:sz w:val="18"/>
        </w:rPr>
        <w:t>https://pubmed.ncbi.nlm.nih.gov/42668319/</w:t>
      </w:r>
    </w:p>
    <w:p>
      <w:pPr>
        <w:pStyle w:val="Heading2"/>
      </w:pPr>
      <w:r>
        <w:t>Arbeitsplatzgewalt verkürzt die Erwerbstätigkeit älterer Arbeitnehmer um bis zu sieben Monate</w:t>
      </w:r>
    </w:p>
    <w:p>
      <w:r>
        <w:rPr>
          <w:i/>
          <w:color w:val="666666"/>
          <w:sz w:val="18"/>
        </w:rPr>
        <w:t>Holmgren R et al.  ·  Scand J Work Environ Health  ·  01.09.2026  ·  PMID 42563557</w:t>
      </w:r>
    </w:p>
    <w:p>
      <w:r>
        <w:t>Prospektive schwedische Kohortenstudie mit multistate Markov-Modellen zur Assoziation von Mobbing und Gewalt am Arbeitsplatz mit der verbleibenden Erwerbstätigkeit von über 50-Jährigen.</w:t>
      </w:r>
    </w:p>
    <w:p>
      <w:r>
        <w:rPr>
          <w:b/>
        </w:rPr>
        <w:t xml:space="preserve">Ergebnis: </w:t>
      </w:r>
      <w:r>
        <w:t>Exposition gegenüber Arbeitsplatzgewalt/Drohungen verkürzte die Erwerbstätigkeit ab 50 Jahren um 0,56 Jahre (95%-KI: −1,02–−0,10); Mobbing zeigte ähnliche Effektgröße (−0,63 Jahre, 95%-KI: −1,39–0,14), war aber nicht statistisch signifikant.</w:t>
      </w:r>
    </w:p>
    <w:p>
      <w:r>
        <w:rPr>
          <w:b/>
          <w:sz w:val="19"/>
        </w:rPr>
        <w:t xml:space="preserve">Übertragbarkeit: </w:t>
      </w:r>
      <w:r>
        <w:rPr>
          <w:sz w:val="19"/>
        </w:rPr>
        <w:t>Schweden, vergleichbares Sozialversicherungssystem, Längsschnitt-Follow-up 2008–2020.</w:t>
      </w:r>
    </w:p>
    <w:p>
      <w:r>
        <w:rPr>
          <w:color w:val="5A7D3A"/>
          <w:sz w:val="18"/>
        </w:rPr>
        <w:t>https://pubmed.ncbi.nlm.nih.gov/42563557/</w:t>
      </w:r>
    </w:p>
    <w:p>
      <w:pPr>
        <w:pStyle w:val="Heading2"/>
      </w:pPr>
      <w:r>
        <w:t>Frailty-Messung mit elektronischen Daten ist kontextabhängig und zeigt begrenzte Übertragbarkeit</w:t>
      </w:r>
    </w:p>
    <w:p>
      <w:r>
        <w:rPr>
          <w:i/>
          <w:color w:val="666666"/>
          <w:sz w:val="18"/>
        </w:rPr>
        <w:t>Cavanaugh R et al.  ·  J Gerontol A Biol Sci Med Sci  ·  04.08.2026  ·  PMID 42550179</w:t>
      </w:r>
    </w:p>
    <w:p>
      <w:r>
        <w:t>Internationale Vergleichsstudie zweier elektronischer Frailty-Indizes (VAFI, eFI) über fünf Datenbanken zeigte inkonsistente Frailty-Prävalenzen je nach Land und lokalen Kodierungsverhalten.</w:t>
      </w:r>
    </w:p>
    <w:p>
      <w:r>
        <w:rPr>
          <w:b/>
        </w:rPr>
        <w:t xml:space="preserve">Ergebnis: </w:t>
      </w:r>
      <w:r>
        <w:t>USA-Datenbanken: VAFI identifizierte höhere Frailty-Raten (All of Us: 10,3% vs. 2,5% eFI; Pharmetrics: 9,6% vs. 2%); UK-Datenbanken zeigten umgekehrtes Muster (eFI höher); FI-Messungen stark abhängig vom Entwicklungskontext und lokalen Kodierungsinzentiven.</w:t>
      </w:r>
    </w:p>
    <w:p>
      <w:r>
        <w:rPr>
          <w:b/>
          <w:sz w:val="19"/>
        </w:rPr>
        <w:t xml:space="preserve">Übertragbarkeit: </w:t>
      </w:r>
      <w:r>
        <w:rPr>
          <w:sz w:val="19"/>
        </w:rPr>
        <w:t>USA und UK: Warnung vor direkter Anwendung außerhalb des Entwicklungskontextes; deutsche Systeme benötigen eigene Validierung.</w:t>
      </w:r>
    </w:p>
    <w:p>
      <w:r>
        <w:rPr>
          <w:color w:val="5A7D3A"/>
          <w:sz w:val="18"/>
        </w:rPr>
        <w:t>https://pubmed.ncbi.nlm.nih.gov/42550179/</w:t>
      </w:r>
    </w:p>
    <w:p>
      <w:pPr>
        <w:pStyle w:val="Heading2"/>
      </w:pPr>
      <w:r>
        <w:t>Datenaustausch für Hirnalterungsforschung: Barrieren und Strategien in der Open Science</w:t>
      </w:r>
    </w:p>
    <w:p>
      <w:r>
        <w:rPr>
          <w:i/>
          <w:color w:val="666666"/>
          <w:sz w:val="18"/>
        </w:rPr>
        <w:t>Giehl K et al.  ·  Eur J Neurol  ·  Juli 2026  ·  PMID 42496021</w:t>
      </w:r>
    </w:p>
    <w:p>
      <w:r>
        <w:t>Übersichtsarbeit zu Hindernissen bei der Freigabe von Neuroimaging-Daten in der Alternsforschung und Vorschläge für vereinheitlichte rechtliche Rahmen, Standardisierung und akademische Anreize.</w:t>
      </w:r>
    </w:p>
    <w:p>
      <w:r>
        <w:rPr>
          <w:b/>
        </w:rPr>
        <w:t xml:space="preserve">Ergebnis: </w:t>
      </w:r>
      <w:r>
        <w:t>Die Hürden reichen von technischen und infrastrukturellen Grenzen bis zu rechtlichen Fragen. Die Arbeit plädiert für einen einheitlichen, DSGVO-konformen Rahmen, für die akademische Anerkennung von Data Stewardship und für ein abgestimmtes Vorgehen der Fachgemeinschaft hin zu Open Science in der Erforschung neurodegenerativer Erkrankungen.</w:t>
      </w:r>
    </w:p>
    <w:p>
      <w:r>
        <w:rPr>
          <w:b/>
          <w:sz w:val="19"/>
        </w:rPr>
        <w:t xml:space="preserve">Übertragbarkeit: </w:t>
      </w:r>
      <w:r>
        <w:rPr>
          <w:sz w:val="19"/>
        </w:rPr>
        <w:t>Europa: GDPR-Konformität, direkt auf EU-Systeme anwendbar, insbesondere Deutschland.</w:t>
      </w:r>
    </w:p>
    <w:p>
      <w:r>
        <w:rPr>
          <w:color w:val="5A7D3A"/>
          <w:sz w:val="18"/>
        </w:rPr>
        <w:t>https://pubmed.ncbi.nlm.nih.gov/42496021/</w:t>
      </w:r>
    </w:p>
    <w:p>
      <w:pPr>
        <w:pStyle w:val="Heading2"/>
      </w:pPr>
      <w:r>
        <w:t>Direkt wirkende Antivirale bei Hepatitis C verlängern Lebenserwartung um bis zu neun Jahre</w:t>
      </w:r>
    </w:p>
    <w:p>
      <w:r>
        <w:rPr>
          <w:i/>
          <w:color w:val="666666"/>
          <w:sz w:val="18"/>
        </w:rPr>
        <w:t>Etoori D et al.  ·  J Viral Hepat  ·  Aug. 2026  ·  PMID 42438144</w:t>
      </w:r>
    </w:p>
    <w:p>
      <w:r>
        <w:t>Englische Überwachungs- und Mortalitätsdaten zeigten, dass behandelte Hepatitis-C-Patienten eine um 8,5 bis 8,9 Jahre längere Lebenserwartung hatten, wobei dieser Vorsprung zwischen 2015–2018 und 2019–2022 abnahm.</w:t>
      </w:r>
    </w:p>
    <w:p>
      <w:r>
        <w:rPr>
          <w:b/>
        </w:rPr>
        <w:t xml:space="preserve">Ergebnis: </w:t>
      </w:r>
      <w:r>
        <w:t>Periode 2015–2018: behandelte Frauen +8,5 Jahre LE (95%-KI: 5,4–11,5), Männer +8,9 Jahre (95%-KI: 5,6–12,2); Periode 2019–2022: Frauen +6,7 Jahre (95%-KI: 3,3–10,2), Männer +5,3 Jahre (95%-KI: 3,0–7,6); Rückgang durch höhere Suizid-, Alkohol- und Drogentodesfälle in behandelter Population.</w:t>
      </w:r>
    </w:p>
    <w:p>
      <w:r>
        <w:rPr>
          <w:b/>
          <w:sz w:val="19"/>
        </w:rPr>
        <w:t xml:space="preserve">Übertragbarkeit: </w:t>
      </w:r>
      <w:r>
        <w:rPr>
          <w:sz w:val="19"/>
        </w:rPr>
        <w:t>Vereinigtes Königreich, vergleichbare westliche Versorgungsstrukturen, nationale Überwachungsdaten mit Mortalitätslinkage verfügbar.</w:t>
      </w:r>
    </w:p>
    <w:p>
      <w:r>
        <w:rPr>
          <w:color w:val="5A7D3A"/>
          <w:sz w:val="18"/>
        </w:rPr>
        <w:t>https://pubmed.ncbi.nlm.nih.gov/42438144/</w:t>
      </w:r>
    </w:p>
    <w:p>
      <w:pPr>
        <w:pStyle w:val="Heading2"/>
      </w:pPr>
      <w:r>
        <w:t>Französische Geriater fordern Fortbildung in Nephrologie: 75% Bedarf bei chronischen Nierenerkrankungen im Alter</w:t>
      </w:r>
    </w:p>
    <w:p>
      <w:r>
        <w:rPr>
          <w:i/>
          <w:color w:val="666666"/>
          <w:sz w:val="18"/>
        </w:rPr>
        <w:t>Mésinèle L et al.  ·  Geriatr Psychol Neuropsychiatr Vieil  ·  01.06.2026  ·  PMID 42412499</w:t>
      </w:r>
    </w:p>
    <w:p>
      <w:r>
        <w:t>Online-Befragung von 252 französischen Geriatrien zur Zusammenarbeit mit Nephrologie und Fortbildungsbedarf; 89% haben Zugang zu Nephrologen, aber nur 37% nennen einen Ansprechpartner für nephrogeriatrische Fragen.</w:t>
      </w:r>
    </w:p>
    <w:p>
      <w:r>
        <w:rPr>
          <w:b/>
        </w:rPr>
        <w:t xml:space="preserve">Ergebnis: </w:t>
      </w:r>
      <w:r>
        <w:t>89% haben Zugang zu Nephrologen, 37% identifizieren einen Ansprechpartner; häufigster Fortbildungswunsch: metabolische und kardiovaskuläre Komplikationen der CKD (60%), CKD-Stadien 1–4 (46%), Arzneimitteltherapie bei Niereninsuffizienz (38%); Geriater mit Nephro-Fortbildung häufiger in Shared Decision-Making zu Dialyse involviert.</w:t>
      </w:r>
    </w:p>
    <w:p>
      <w:r>
        <w:rPr>
          <w:b/>
          <w:sz w:val="19"/>
        </w:rPr>
        <w:t xml:space="preserve">Übertragbarkeit: </w:t>
      </w:r>
      <w:r>
        <w:rPr>
          <w:sz w:val="19"/>
        </w:rPr>
        <w:t>Frankreich, vergleichbares westeuropäisches Gesundheitssystem und Aus­bildungsanforderungen, Befragungsdaten direkt zur Versorgungsorganisation.</w:t>
      </w:r>
    </w:p>
    <w:p>
      <w:r>
        <w:rPr>
          <w:color w:val="5A7D3A"/>
          <w:sz w:val="18"/>
        </w:rPr>
        <w:t>https://pubmed.ncbi.nlm.nih.gov/42412499/</w:t>
      </w:r>
    </w:p>
    <w:p>
      <w:pPr>
        <w:pStyle w:val="Heading1"/>
      </w:pPr>
      <w:r>
        <w:t>Aufgenommen am 31.08.2026</w:t>
      </w:r>
    </w:p>
    <w:p>
      <w:pPr>
        <w:pStyle w:val="Heading2"/>
      </w:pPr>
      <w:r>
        <w:t>Gezieltes Geriatrie-Training in Intensivstationen verbessert Fachkompetenz des Personals</w:t>
      </w:r>
    </w:p>
    <w:p>
      <w:r>
        <w:rPr>
          <w:i/>
          <w:color w:val="666666"/>
          <w:sz w:val="18"/>
        </w:rPr>
        <w:t>Beernaert L et al.  ·  Soins Gerontol  ·  20.07.2026  ·  PMID 42542357</w:t>
      </w:r>
    </w:p>
    <w:p>
      <w:r>
        <w:t>Pilottudie zur Wirksamkeit gezielter Schulung von Pflegekräften und Paramedizinern in Geriatrie-Kompetenzen auf Intensivstationen.</w:t>
      </w:r>
    </w:p>
    <w:p>
      <w:r>
        <w:rPr>
          <w:b/>
        </w:rPr>
        <w:t xml:space="preserve">Ergebnis: </w:t>
      </w:r>
      <w:r>
        <w:t>Gezielte Schulungen führten zu signifikanten Verbesserungen der Geriatrie-Kenntnisse des Personals. Die Studie unterstützt den Wert kontinuierlicher Fortbildung, sollte aber durch multizentrische Studien bestätigt werden.</w:t>
      </w:r>
    </w:p>
    <w:p>
      <w:r>
        <w:rPr>
          <w:b/>
          <w:sz w:val="19"/>
        </w:rPr>
        <w:t xml:space="preserve">Übertragbarkeit: </w:t>
      </w:r>
      <w:r>
        <w:rPr>
          <w:sz w:val="19"/>
        </w:rPr>
        <w:t>Belgisches Universitätsspital, konzeptuell auf deutschsprachige Kliniken übertragbar.</w:t>
      </w:r>
    </w:p>
    <w:p>
      <w:r>
        <w:rPr>
          <w:color w:val="5A7D3A"/>
          <w:sz w:val="18"/>
        </w:rPr>
        <w:t>https://pubmed.ncbi.nlm.nih.gov/42542357/</w:t>
      </w:r>
    </w:p>
    <w:p>
      <w:pPr>
        <w:pStyle w:val="Heading2"/>
      </w:pPr>
      <w:r>
        <w:t>Triglyceride-Cholesterin-Körpergewicht-Index vorhersagt Hypertonie-Risiko bei älteren Menschen</w:t>
      </w:r>
    </w:p>
    <w:p>
      <w:r>
        <w:rPr>
          <w:i/>
          <w:color w:val="666666"/>
          <w:sz w:val="18"/>
        </w:rPr>
        <w:t>Luo F et al.  ·  J Int Med Res  ·  30.07.2026  ·  PMID 42530895</w:t>
      </w:r>
    </w:p>
    <w:p>
      <w:r>
        <w:t>Longitudinalanalyse der English Longitudinal Study of Ageing mit 5.731 älteren Erwachsenen über 12 Jahre zur Assoziation eines Stoffwechsel-Indexes mit Hypertonie-Inzidenz.</w:t>
      </w:r>
    </w:p>
    <w:p>
      <w:r>
        <w:rPr>
          <w:b/>
        </w:rPr>
        <w:t xml:space="preserve">Ergebnis: </w:t>
      </w:r>
      <w:r>
        <w:t>Jede Einheit Anstieg des log-transformierten Index war mit 43% höherer Hypertonie-Odds assoziiert (OR=1,43; 95% KI: 1,31–1,55). Prospektiv: adjustierte HR=1,16 (1,05–1,28). Trajektorien zeigten dosisabhängige Risikoerhöhung (hohe vs. niedrige Gruppe: OR=1,69, p&lt;0,001).</w:t>
      </w:r>
    </w:p>
    <w:p>
      <w:r>
        <w:rPr>
          <w:b/>
          <w:sz w:val="19"/>
        </w:rPr>
        <w:t xml:space="preserve">Übertragbarkeit: </w:t>
      </w:r>
      <w:r>
        <w:rPr>
          <w:sz w:val="19"/>
        </w:rPr>
        <w:t>England, demografische und epidemiologische Parallelität mit Deutschland gegeben.</w:t>
      </w:r>
    </w:p>
    <w:p>
      <w:r>
        <w:rPr>
          <w:color w:val="5A7D3A"/>
          <w:sz w:val="18"/>
        </w:rPr>
        <w:t>https://pubmed.ncbi.nlm.nih.gov/42530895/</w:t>
      </w:r>
    </w:p>
    <w:p>
      <w:pPr>
        <w:pStyle w:val="Heading2"/>
      </w:pPr>
      <w:r>
        <w:t>Gesundheitliche Behandlungspräferenzen Älterer: Alters- und Geschlechtsunterschiede in England</w:t>
      </w:r>
    </w:p>
    <w:p>
      <w:r>
        <w:rPr>
          <w:i/>
          <w:color w:val="666666"/>
          <w:sz w:val="18"/>
        </w:rPr>
        <w:t>Steel N et al.  ·  PLoS One  ·  29.07.2026  ·  PMID 42525585</w:t>
      </w:r>
    </w:p>
    <w:p>
      <w:r>
        <w:t>Querschnittsanalyse der English Longitudinal Study of Ageing (Wave 8, 2016/17) zu Präferenzen von über 50-Jährigen bei sechs Gesundheitsfragen (Risikobereitschaft, Zeitorientierung, Qualität vs. Länge des Lebens).</w:t>
      </w:r>
    </w:p>
    <w:p>
      <w:r>
        <w:rPr>
          <w:b/>
        </w:rPr>
        <w:t xml:space="preserve">Ergebnis: </w:t>
      </w:r>
      <w:r>
        <w:t>Frauen delegierten Entscheidungen weniger häufig an Ärzte und priorisierten Lebensqualität über Lebensdauer. Personen über 75 Jahre bevorzugten mehr Risikominderung und Delegierung. Substanzielle Variabilität zwischen Personen, systematische Unterschiede nach Alter und Geschlecht unterstützen strukturiertes Elicitierungsgesprächs-Protokoll.</w:t>
      </w:r>
    </w:p>
    <w:p>
      <w:r>
        <w:rPr>
          <w:b/>
          <w:sz w:val="19"/>
        </w:rPr>
        <w:t xml:space="preserve">Übertragbarkeit: </w:t>
      </w:r>
      <w:r>
        <w:rPr>
          <w:sz w:val="19"/>
        </w:rPr>
        <w:t>Großbritannien; übertragbar auf deutsches Versorgungssystem mit ähnlichen Partizipationsnormen.</w:t>
      </w:r>
    </w:p>
    <w:p>
      <w:r>
        <w:rPr>
          <w:color w:val="5A7D3A"/>
          <w:sz w:val="18"/>
        </w:rPr>
        <w:t>https://pubmed.ncbi.nlm.nih.gov/42525585/</w:t>
      </w:r>
    </w:p>
    <w:p>
      <w:pPr>
        <w:pStyle w:val="Heading2"/>
      </w:pPr>
      <w:r>
        <w:t>Depressive Symptome von Ehepartnern zeigen stabiles Muster, aber schwache prospektive Kopplung im Alter</w:t>
      </w:r>
    </w:p>
    <w:p>
      <w:r>
        <w:rPr>
          <w:i/>
          <w:color w:val="666666"/>
          <w:sz w:val="18"/>
        </w:rPr>
        <w:t>Miao J et al.  ·  Psychol Med  ·  29.07.2026  ·  PMID 42522229</w:t>
      </w:r>
    </w:p>
    <w:p>
      <w:r>
        <w:t>Harmonisierte Längsschnittanalyse aus CHARLS (China), HRS (USA) und ELSA (England) mit insgesamt 7.759 Paaren über 5–9 Wellen zu Depressionen, Aktivitätseinschränkungen und Partnereffekte.</w:t>
      </w:r>
    </w:p>
    <w:p>
      <w:r>
        <w:rPr>
          <w:b/>
        </w:rPr>
        <w:t xml:space="preserve">Ergebnis: </w:t>
      </w:r>
      <w:r>
        <w:t>Hohe Konkordanz depressiver Symptome zwischen Partnern (r=0,14–0,43) über alle Kohorten. Prospektive Cross-Spouse-Assoziationen waren nach Kontrolle stabiler Ähnlichkeiten schwach und nur in ELSA und multipel-imputierter HRS signifikant. Bidirektionale Depression-Funktionsstörung-Kopplung in westlichen Kohorten stärker, unterstützt kombinierte Behandlung und Rehabilitation.</w:t>
      </w:r>
    </w:p>
    <w:p>
      <w:r>
        <w:rPr>
          <w:b/>
          <w:sz w:val="19"/>
        </w:rPr>
        <w:t xml:space="preserve">Übertragbarkeit: </w:t>
      </w:r>
      <w:r>
        <w:rPr>
          <w:sz w:val="19"/>
        </w:rPr>
        <w:t>ELSA ist englische Bevölkerungsstichprobe; Ergebnisse auf deutsches Versorgungssystem moderat übertragbar.</w:t>
      </w:r>
    </w:p>
    <w:p>
      <w:r>
        <w:rPr>
          <w:color w:val="5A7D3A"/>
          <w:sz w:val="18"/>
        </w:rPr>
        <w:t>https://pubmed.ncbi.nlm.nih.gov/42522229/</w:t>
      </w:r>
    </w:p>
    <w:p>
      <w:pPr>
        <w:pStyle w:val="Heading2"/>
      </w:pPr>
      <w:r>
        <w:t>Frailty und psychische Gesundheit bei älteren Menschen: Längsschnittstudie aus Slowenien</w:t>
      </w:r>
    </w:p>
    <w:p>
      <w:r>
        <w:rPr>
          <w:i/>
          <w:color w:val="666666"/>
          <w:sz w:val="18"/>
        </w:rPr>
        <w:t>Mikolič Brence P et al.  ·  Front Public Health  ·  06.07.2026  ·  PMID 42518591</w:t>
      </w:r>
    </w:p>
    <w:p>
      <w:r>
        <w:t>Studienprotokoll einer prospektiven Kohortenstudie mit Erwachsenen ≥50 Jahren (geplant n=5.000, 2026–2028) zu Assoziationen zwischen Frailty und mentalen Gesundheitsfaktoren (Wohlbefinden, Resilienz, soziale Kohäsion).</w:t>
      </w:r>
    </w:p>
    <w:p>
      <w:r>
        <w:rPr>
          <w:b/>
        </w:rPr>
        <w:t xml:space="preserve">Ergebnis: </w:t>
      </w:r>
      <w:r>
        <w:t>Studie noch nicht abgeschlossen; das Protokoll wird zur Seite gelegt, da keine Ergebnisse vorliegen.</w:t>
      </w:r>
    </w:p>
    <w:p>
      <w:r>
        <w:rPr>
          <w:b/>
          <w:sz w:val="19"/>
        </w:rPr>
        <w:t xml:space="preserve">Übertragbarkeit: </w:t>
      </w:r>
      <w:r>
        <w:rPr>
          <w:sz w:val="19"/>
        </w:rPr>
        <w:t>Nicht anwendbar – Protokoll ohne Befunde.</w:t>
      </w:r>
    </w:p>
    <w:p>
      <w:r>
        <w:rPr>
          <w:color w:val="5A7D3A"/>
          <w:sz w:val="18"/>
        </w:rPr>
        <w:t>https://pubmed.ncbi.nlm.nih.gov/42518591/</w:t>
      </w:r>
    </w:p>
    <w:p>
      <w:pPr>
        <w:pStyle w:val="Heading2"/>
      </w:pPr>
      <w:r>
        <w:t>Lockdown-bedingte Immobilität beschleunigt Frailty: Sechs-Monats-Progression bei älteren Erwachsenen</w:t>
      </w:r>
    </w:p>
    <w:p>
      <w:r>
        <w:rPr>
          <w:i/>
          <w:color w:val="666666"/>
          <w:sz w:val="18"/>
        </w:rPr>
        <w:t>Rukavishnikov AS et al.  ·  Adv Gerontol  ·  2026  ·  PMID 42502942</w:t>
      </w:r>
    </w:p>
    <w:p>
      <w:r>
        <w:t>Quasiexperimentelle Studie mit 525 älteren Patienten (65–74 Jahre) in Pflege-Wohneinrichtungen während COVID-19-Lockdown; Geriatrisches Assessment mit Handgriffkraft und Sechs-Minuten-Gehtest zu Baseline, 1 und 6 Monaten.</w:t>
      </w:r>
    </w:p>
    <w:p>
      <w:r>
        <w:rPr>
          <w:b/>
        </w:rPr>
        <w:t xml:space="preserve">Ergebnis: </w:t>
      </w:r>
      <w:r>
        <w:t>Prävalenz der Präfrailty sank von 35,8% auf 14,1%, Frailty nahm von 49,5% auf 72% zu. Milde, moderate und schwere Frailty-Formen nahmen jeweils um 11,6%, 6,1% und 4,4% zu. Verlängerte Immobilität und soziale Isolation waren signifikante Beschleuniger der Frailty-Progression und Funktionsverschlechterung.</w:t>
      </w:r>
    </w:p>
    <w:p>
      <w:r>
        <w:rPr>
          <w:b/>
          <w:sz w:val="19"/>
        </w:rPr>
        <w:t xml:space="preserve">Übertragbarkeit: </w:t>
      </w:r>
      <w:r>
        <w:rPr>
          <w:sz w:val="19"/>
        </w:rPr>
        <w:t>Russland (Sankt-Petersburg); Befunde zur Dekonditionierung durch Immobilität universal, aber Pflegeheim-Setting unterscheidet sich von deutschem Versorgungskontext.</w:t>
      </w:r>
    </w:p>
    <w:p>
      <w:r>
        <w:rPr>
          <w:color w:val="5A7D3A"/>
          <w:sz w:val="18"/>
        </w:rPr>
        <w:t>https://pubmed.ncbi.nlm.nih.gov/42502942/</w:t>
      </w:r>
    </w:p>
    <w:p>
      <w:pPr>
        <w:pStyle w:val="Heading1"/>
      </w:pPr>
      <w:r>
        <w:t>Aufgenommen am 30.08.2026</w:t>
      </w:r>
    </w:p>
    <w:p>
      <w:pPr>
        <w:pStyle w:val="Heading2"/>
      </w:pPr>
      <w:r>
        <w:t>Frailty und Ernährung bei Herzinsuffizienz im Alter: prognostische Faktoren</w:t>
      </w:r>
    </w:p>
    <w:p>
      <w:r>
        <w:rPr>
          <w:i/>
          <w:color w:val="666666"/>
          <w:sz w:val="18"/>
        </w:rPr>
        <w:t>Li J et al.  ·  Front Public Health  ·  14.08.2026  ·  PMID 42666459</w:t>
      </w:r>
    </w:p>
    <w:p>
      <w:r>
        <w:t>Retrospektive Studie an 200 älteren Patienten mit Herzinsuffizienz untersuchte Frailty und Ernährungsstatus als Prognosefaktoren für 6-Monats-Ergebnisse.</w:t>
      </w:r>
    </w:p>
    <w:p>
      <w:r>
        <w:rPr>
          <w:b/>
        </w:rPr>
        <w:t xml:space="preserve">Ergebnis: </w:t>
      </w:r>
      <w:r>
        <w:t>Bei gebrechlichen Patienten (n=92) waren Mortalität (4,35 % vs. 0,93 %) und Rehospitalisierungsrate (14,13 % vs. 1,85 %) höher als bei nicht gebrechlichen (n=108). Unter gebrechlichen Patienten stieg die Ereignisrate mit Mangelernährung: moderat-schwer 26,19 %, mild 16,13 %, normal 5,26 %. GNRI und HDL waren unabhängig mit ungünstiger Prognose assoziiert.</w:t>
      </w:r>
    </w:p>
    <w:p>
      <w:r>
        <w:rPr>
          <w:b/>
          <w:sz w:val="19"/>
        </w:rPr>
        <w:t xml:space="preserve">Übertragbarkeit: </w:t>
      </w:r>
      <w:r>
        <w:rPr>
          <w:sz w:val="19"/>
        </w:rPr>
        <w:t>China, internationales Instrument (Fried-Kriterien), begrenzte Direktübertragung auf Deutschland</w:t>
      </w:r>
    </w:p>
    <w:p>
      <w:r>
        <w:rPr>
          <w:color w:val="5A7D3A"/>
          <w:sz w:val="18"/>
        </w:rPr>
        <w:t>https://pubmed.ncbi.nlm.nih.gov/42666459/</w:t>
      </w:r>
    </w:p>
    <w:p>
      <w:pPr>
        <w:pStyle w:val="Heading2"/>
      </w:pPr>
      <w:r>
        <w:t>Gastrointestinale Erkrankungen und funktioneller Verfall im Alter: CHARLS und ELSA</w:t>
      </w:r>
    </w:p>
    <w:p>
      <w:r>
        <w:rPr>
          <w:i/>
          <w:color w:val="666666"/>
          <w:sz w:val="18"/>
        </w:rPr>
        <w:t>Peng D et al.  ·  Geriatr Gerontol Int  ·  Sept. 2026  ·  PMID 42665870</w:t>
      </w:r>
    </w:p>
    <w:p>
      <w:r>
        <w:t>Longitudinale Analyse in zwei Kohorten (CHARLS China; ELSA England) untersuchte, ob wiederholte Meldungen gastrointestinaler Erkrankungen mit kognitiven, ADL- oder depressiven Verschlechterungen assoziiert sind.</w:t>
      </w:r>
    </w:p>
    <w:p>
      <w:r>
        <w:rPr>
          <w:b/>
        </w:rPr>
        <w:t xml:space="preserve">Ergebnis: </w:t>
      </w:r>
      <w:r>
        <w:t>CHARLS (n=9.555): wiederholte Meldung war mit 6–10 % erhöhtem Relativrisiko für Multidomain-Verschlechterung assoziiert (aRR 1,06–1,10). ELSA-Schätzungen waren richtungsgleich aber weniger präzise (aOR 1,21; 95%-KI 0,90–1,63). Gastrointestinale Exposition bot geringe diskriminative Aussagekraft.</w:t>
      </w:r>
    </w:p>
    <w:p>
      <w:r>
        <w:rPr>
          <w:b/>
          <w:sz w:val="19"/>
        </w:rPr>
        <w:t xml:space="preserve">Übertragbarkeit: </w:t>
      </w:r>
      <w:r>
        <w:rPr>
          <w:sz w:val="19"/>
        </w:rPr>
        <w:t>China und Großbritannien; Ergebnisse konsistent aber schwach, begrenzte Übertragbarkeit</w:t>
      </w:r>
    </w:p>
    <w:p>
      <w:r>
        <w:rPr>
          <w:color w:val="5A7D3A"/>
          <w:sz w:val="18"/>
        </w:rPr>
        <w:t>https://pubmed.ncbi.nlm.nih.gov/42665870/</w:t>
      </w:r>
    </w:p>
    <w:p>
      <w:pPr>
        <w:pStyle w:val="Heading2"/>
      </w:pPr>
      <w:r>
        <w:t>Schlafqualität und Sturzrisiko im Alter: prospektive Kohortenstudie</w:t>
      </w:r>
    </w:p>
    <w:p>
      <w:r>
        <w:rPr>
          <w:i/>
          <w:color w:val="666666"/>
          <w:sz w:val="18"/>
        </w:rPr>
        <w:t>Li Y et al.  ·  Brain Behav  ·  Aug. 2026  ·  PMID 42644837</w:t>
      </w:r>
    </w:p>
    <w:p>
      <w:r>
        <w:t>Prospektive Kohorte mit 3.224 Personen (≥50 Jahre) aus der English Longitudinal Study of Ageing; Schlafroutenuntersuchung über 4 Jahre mit Analyse der Assoziation zwischen Schlafqualität und neuaufgetretenen Stürzen.</w:t>
      </w:r>
    </w:p>
    <w:p>
      <w:r>
        <w:rPr>
          <w:b/>
        </w:rPr>
        <w:t xml:space="preserve">Ergebnis: </w:t>
      </w:r>
      <w:r>
        <w:t>Schlechtere Schlafqualität war mit höherem Sturzrisiko assoziiert (OR 1,04; 95%-KI 1,01–1,07). Depressive Symptome vermittelten 28,2 % dieser Assoziation. Dosisabhängige Beziehung zwischen Schlafqualität und Sturzrisiko.</w:t>
      </w:r>
    </w:p>
    <w:p>
      <w:r>
        <w:rPr>
          <w:b/>
          <w:sz w:val="19"/>
        </w:rPr>
        <w:t xml:space="preserve">Übertragbarkeit: </w:t>
      </w:r>
      <w:r>
        <w:rPr>
          <w:sz w:val="19"/>
        </w:rPr>
        <w:t>Großbritannien, vergleichbare Gesundheitsversorgung und Altersstruktur</w:t>
      </w:r>
    </w:p>
    <w:p>
      <w:r>
        <w:rPr>
          <w:color w:val="5A7D3A"/>
          <w:sz w:val="18"/>
        </w:rPr>
        <w:t>https://pubmed.ncbi.nlm.nih.gov/42644837/</w:t>
      </w:r>
    </w:p>
    <w:p>
      <w:pPr>
        <w:pStyle w:val="Heading2"/>
      </w:pPr>
      <w:r>
        <w:t>Lebensstil, Übergewicht und Lebenserwartung in der EU: Systemanalyse</w:t>
      </w:r>
    </w:p>
    <w:p>
      <w:r>
        <w:rPr>
          <w:i/>
          <w:color w:val="666666"/>
          <w:sz w:val="18"/>
        </w:rPr>
        <w:t>Vărzaru AA  ·  Nutrients  ·  11.07.2026  ·  PMID 42514344</w:t>
      </w:r>
    </w:p>
    <w:p>
      <w:r>
        <w:t>Querschnittsanalyse von 27 EU-Ländern mittels EHIS und Eurostat untersuchte Assoziationen zwischen Ernährung, körperlicher Aktivität, Rauchen, Übergewicht und Lebenserwartung sowie Healthy Life Years.</w:t>
      </w:r>
    </w:p>
    <w:p>
      <w:r>
        <w:rPr>
          <w:b/>
        </w:rPr>
        <w:t xml:space="preserve">Ergebnis: </w:t>
      </w:r>
      <w:r>
        <w:t>Gesunde Ernährung korrelierte mit Lebenserwartung (r=0,459; p=0,016), ebenso körperliche Aktivität (r=0,435; p=0,023). Übergewichtsprävalenz war invers mit Lebenserwartung assoziiert (r=−0,505; p=0,007). Das reduzierte Modell erklärte 47,4 % der Varianz in der Lebenserwartung. Clusteranalyse identifizierte drei Lebensstil-Gesundheits-Profile mit unterschiedlichen Outcomes.</w:t>
      </w:r>
    </w:p>
    <w:p>
      <w:r>
        <w:rPr>
          <w:b/>
          <w:sz w:val="19"/>
        </w:rPr>
        <w:t xml:space="preserve">Übertragbarkeit: </w:t>
      </w:r>
      <w:r>
        <w:rPr>
          <w:sz w:val="19"/>
        </w:rPr>
        <w:t>EU-weit, direkt auf deutsches Gesundheitssystem übertragbar</w:t>
      </w:r>
    </w:p>
    <w:p>
      <w:r>
        <w:rPr>
          <w:color w:val="5A7D3A"/>
          <w:sz w:val="18"/>
        </w:rPr>
        <w:t>https://pubmed.ncbi.nlm.nih.gov/42514344/</w:t>
      </w:r>
    </w:p>
    <w:p>
      <w:pPr>
        <w:pStyle w:val="Heading2"/>
      </w:pPr>
      <w:r>
        <w:t>Frailty im Hämodialyse: Visuelle Analogskala vereinfacht Screening</w:t>
      </w:r>
    </w:p>
    <w:p>
      <w:r>
        <w:rPr>
          <w:i/>
          <w:color w:val="666666"/>
          <w:sz w:val="18"/>
        </w:rPr>
        <w:t>Schulte-Kemna L et al.  ·  BMC Nephrol  ·  22.07.2026  ·  PMID 42493781</w:t>
      </w:r>
    </w:p>
    <w:p>
      <w:r>
        <w:t>Studie untersuchte die Genauigkeit einer Selbst-Rating-Skala (VAS) zur Frailty-Früherkennung bei 122 Hämodialysepatienten und identifizierte klinische Prädiktoren der Gebrechlichkeit anhand modifizierter Fried-Kriterien.</w:t>
      </w:r>
    </w:p>
    <w:p>
      <w:r>
        <w:rPr>
          <w:b/>
        </w:rPr>
        <w:t xml:space="preserve">Ergebnis: </w:t>
      </w:r>
      <w:r>
        <w:t>Die VAS hatte gute Spezifität (94,3%), übersah aber viele gebrechliche Patienten (Sensitivität 36,5%). Ein Modell mit Routineparametern zeigte gute Vorhersageleistung (AUC 0,816). Patienten mit Fried-Frailty hatten häufiger zentrale Venenkatheter, niedrigere Diurese, Kreatinin und Albumin sowie mehr Herz-Kreislauf-Erkrankungen.</w:t>
      </w:r>
    </w:p>
    <w:p>
      <w:r>
        <w:rPr>
          <w:b/>
          <w:sz w:val="19"/>
        </w:rPr>
        <w:t xml:space="preserve">Übertragbarkeit: </w:t>
      </w:r>
      <w:r>
        <w:rPr>
          <w:sz w:val="19"/>
        </w:rPr>
        <w:t>Deutsche Kliniken, vergleichbare Dialysedokumentation und Versorgungsstrukturen</w:t>
      </w:r>
    </w:p>
    <w:p>
      <w:r>
        <w:rPr>
          <w:color w:val="5A7D3A"/>
          <w:sz w:val="18"/>
        </w:rPr>
        <w:t>https://pubmed.ncbi.nlm.nih.gov/42493781/</w:t>
      </w:r>
    </w:p>
    <w:p>
      <w:pPr>
        <w:pStyle w:val="Heading2"/>
      </w:pPr>
      <w:r>
        <w:t>Diabetes-Epidemiologie in Dänemark: Trends von 1996 bis 2024</w:t>
      </w:r>
    </w:p>
    <w:p>
      <w:r>
        <w:rPr>
          <w:i/>
          <w:color w:val="666666"/>
          <w:sz w:val="18"/>
        </w:rPr>
        <w:t>Wibaek R et al.  ·  BMJ Open Diabetes Res Care  ·  10.07.2026  ·  PMID 42431705</w:t>
      </w:r>
    </w:p>
    <w:p>
      <w:r>
        <w:t>Nationale Register-Kohortenstudie (1996–2024) quantifizierte Trends in Prävalenz, Inzidenz, Mortalität und Lebensjahren verloren durch Diabetes in Dänemark.</w:t>
      </w:r>
    </w:p>
    <w:p>
      <w:r>
        <w:rPr>
          <w:b/>
        </w:rPr>
        <w:t xml:space="preserve">Ergebnis: </w:t>
      </w:r>
      <w:r>
        <w:t>Diabetes-Prävalenz verdreifachte sich auf 6,1 % (366.174 Personen); Typ 2 Diabetes stieg jährlich ~4,1 %. Typ 1 Inzidenz sank um 1,1 % pro Jahr. Mortalität sank bis 2012, dann Stabilisierung. Standardisierte Mortalitätsquoten sanken für Typ 1 (nach 2008), stiegen aber für Typ 2. Männer hatten höhere Typ 2 Inzidenz als Frauen.</w:t>
      </w:r>
    </w:p>
    <w:p>
      <w:r>
        <w:rPr>
          <w:b/>
          <w:sz w:val="19"/>
        </w:rPr>
        <w:t xml:space="preserve">Übertragbarkeit: </w:t>
      </w:r>
      <w:r>
        <w:rPr>
          <w:sz w:val="19"/>
        </w:rPr>
        <w:t>Skandinavien, vergleichbares Sozialversicherungssystem und Datenzugang</w:t>
      </w:r>
    </w:p>
    <w:p>
      <w:r>
        <w:rPr>
          <w:color w:val="5A7D3A"/>
          <w:sz w:val="18"/>
        </w:rPr>
        <w:t>https://pubmed.ncbi.nlm.nih.gov/42431705/</w:t>
      </w:r>
    </w:p>
    <w:p>
      <w:pPr>
        <w:pStyle w:val="Heading2"/>
      </w:pPr>
      <w:r>
        <w:t>Darmmikrobiota und Frailty bei älteren Frauen: europäische Validierung</w:t>
      </w:r>
    </w:p>
    <w:p>
      <w:r>
        <w:rPr>
          <w:i/>
          <w:color w:val="666666"/>
          <w:sz w:val="18"/>
        </w:rPr>
        <w:t>Vilar Geraldi M et al.  ·  Nat Commun  ·  08.07.2026  ·  PMID 42420265</w:t>
      </w:r>
    </w:p>
    <w:p>
      <w:r>
        <w:t>Studie analysierte Darmmetagenomik-Profile bei 2.081 schwedischen Frauen (75-80 Jahre) im Bezug auf einen entwickelten Frailty-Mortality-Index (FMI) und validierte Ergebnisse in einer chinesischen Kohorte.</w:t>
      </w:r>
    </w:p>
    <w:p>
      <w:r>
        <w:rPr>
          <w:b/>
        </w:rPr>
        <w:t xml:space="preserve">Ergebnis: </w:t>
      </w:r>
      <w:r>
        <w:t>FMI war invers assoziiert mit mikrobieller Diversität, Genreichtum und funktionaler Kapazität. 404 Bakterienarten waren signifikant mit FMI assoziiert; die meisten zeigten konsistente Assoziationen in der chinesischen Kohorte (n=1.448). Mikrobielle Signaturen waren mit Mortalität und funktioneller Einschränkung verknüpft.</w:t>
      </w:r>
    </w:p>
    <w:p>
      <w:r>
        <w:rPr>
          <w:b/>
          <w:sz w:val="19"/>
        </w:rPr>
        <w:t xml:space="preserve">Übertragbarkeit: </w:t>
      </w:r>
      <w:r>
        <w:rPr>
          <w:sz w:val="19"/>
        </w:rPr>
        <w:t>Skandinavien, ähnliche Sozialversicherung und Alterspopulation</w:t>
      </w:r>
    </w:p>
    <w:p>
      <w:r>
        <w:rPr>
          <w:color w:val="5A7D3A"/>
          <w:sz w:val="18"/>
        </w:rPr>
        <w:t>https://pubmed.ncbi.nlm.nih.gov/42420265/</w:t>
      </w:r>
    </w:p>
    <w:p>
      <w:pPr>
        <w:pStyle w:val="Heading1"/>
      </w:pPr>
      <w:r>
        <w:t>Aufgenommen am 29.08.2026</w:t>
      </w:r>
    </w:p>
    <w:p>
      <w:pPr>
        <w:pStyle w:val="Heading2"/>
      </w:pPr>
      <w:r>
        <w:t>Frailty verdoppelt Mortalität und Pflegebedarf bei hospitalisierten Älteren</w:t>
      </w:r>
    </w:p>
    <w:p>
      <w:r>
        <w:rPr>
          <w:i/>
          <w:color w:val="666666"/>
          <w:sz w:val="18"/>
        </w:rPr>
        <w:t>Kamo T et al.  ·  Geriatr Gerontol Int  ·  Sept. 2026  ·  PMID 42642794</w:t>
      </w:r>
    </w:p>
    <w:p>
      <w:r>
        <w:t>Systematische Übersicht und Metaanalyse von 57 Kohortenstudien zu Auswirkungen von Frailty auf Aktivitäten des täglichen Lebens und klinische Outcomes bei hospitalisierten älteren Erwachsenen (≥65 Jahre).</w:t>
      </w:r>
    </w:p>
    <w:p>
      <w:r>
        <w:rPr>
          <w:b/>
        </w:rPr>
        <w:t xml:space="preserve">Ergebnis: </w:t>
      </w:r>
      <w:r>
        <w:t>Frailty war assoziiert mit schlechterer ADL-Funktionsfähigkeit (SMD –1,04), höherer Mortalität (RR 2,26), niedrigerer Wahrscheinlichkeit von Entlassung nach Hause (RR 0,79) und höherem Wiederaufnahmerisiko in 30 Tagen (RR 1,47). Diese Effekte waren konsistent über Studien hinweg.</w:t>
      </w:r>
    </w:p>
    <w:p>
      <w:r>
        <w:rPr>
          <w:b/>
          <w:sz w:val="19"/>
        </w:rPr>
        <w:t xml:space="preserve">Übertragbarkeit: </w:t>
      </w:r>
      <w:r>
        <w:rPr>
          <w:sz w:val="19"/>
        </w:rPr>
        <w:t>Überwiegend anglo-amerikanische und europäische Studien; Frailty-Screening ist systemübergreifend anwendbar</w:t>
      </w:r>
    </w:p>
    <w:p>
      <w:r>
        <w:rPr>
          <w:color w:val="5A7D3A"/>
          <w:sz w:val="18"/>
        </w:rPr>
        <w:t>https://pubmed.ncbi.nlm.nih.gov/42642794/</w:t>
      </w:r>
    </w:p>
    <w:p>
      <w:pPr>
        <w:pStyle w:val="Heading2"/>
      </w:pPr>
      <w:r>
        <w:t>Plasma-Biomarker p-tau217 bei älteren Patienten: Nierenfunktion erklärt mehr Varianz als Gebrechlichkeit</w:t>
      </w:r>
    </w:p>
    <w:p>
      <w:r>
        <w:rPr>
          <w:i/>
          <w:color w:val="666666"/>
          <w:sz w:val="18"/>
        </w:rPr>
        <w:t>Goll J et al.  ·  Alzheimers Dement  ·  Aug. 2026  ·  PMID 42625502</w:t>
      </w:r>
    </w:p>
    <w:p>
      <w:r>
        <w:t>Querschnittsuntersuchung von 283 älteren Patienten (Norfrail- und Dementia-Cohort) zur Assoziation zwischen Gebrechlichkeit und Plasma-Biomarkern (p-tau217, Neurofilament-Leichte-Kette, GFAP) für Alzheimer-Pathologie.</w:t>
      </w:r>
    </w:p>
    <w:p>
      <w:r>
        <w:rPr>
          <w:b/>
        </w:rPr>
        <w:t xml:space="preserve">Ergebnis: </w:t>
      </w:r>
      <w:r>
        <w:t>Keine signifikante Assoziation zwischen p-tau217 und Gebrechlichkeit; die eGFR erklärte 27% der p-tau217-Varianz (p &lt; 0,001). Neurofilament-Leichte-Kette war einziger Biomarker signifikant mit Gebrechlichkeit assoziiert (p &lt; 0,01). Kliniker müssen Nierenfunktion bei Interpretation berücksichtigen.</w:t>
      </w:r>
    </w:p>
    <w:p>
      <w:r>
        <w:rPr>
          <w:b/>
          <w:sz w:val="19"/>
        </w:rPr>
        <w:t xml:space="preserve">Übertragbarkeit: </w:t>
      </w:r>
      <w:r>
        <w:rPr>
          <w:sz w:val="19"/>
        </w:rPr>
        <w:t>Norwegen, europäisches Gesundheitssystem; Befund zum Niereneinflusses auf Blutbiomarker ist systemunabhängig</w:t>
      </w:r>
    </w:p>
    <w:p>
      <w:r>
        <w:rPr>
          <w:color w:val="5A7D3A"/>
          <w:sz w:val="18"/>
        </w:rPr>
        <w:t>https://pubmed.ncbi.nlm.nih.gov/42625502/</w:t>
      </w:r>
    </w:p>
    <w:p>
      <w:pPr>
        <w:pStyle w:val="Heading2"/>
      </w:pPr>
      <w:r>
        <w:t>Frühe Zuckerrestriktion reduziert Krebsrisiko um 30–70% und verlangsamt biologisches Altern</w:t>
      </w:r>
    </w:p>
    <w:p>
      <w:r>
        <w:rPr>
          <w:i/>
          <w:color w:val="666666"/>
          <w:sz w:val="18"/>
        </w:rPr>
        <w:t>Zhu C et al.  ·  Proc Natl Acad Sci U S A  ·  11.08.2026  ·  PMID 42550905</w:t>
      </w:r>
    </w:p>
    <w:p>
      <w:r>
        <w:t>Kausalitätsanalyse mittels natürliches Experiment (Ende der UK-Zuckerrationierung 1953) mit 64.761 Biobank-Teilnehmern geboren 1951–1956, zur Langzeitwirkung früher Zuckerexposition auf Krebsinzidenz und biologisches Altern.</w:t>
      </w:r>
    </w:p>
    <w:p>
      <w:r>
        <w:rPr>
          <w:b/>
        </w:rPr>
        <w:t xml:space="preserve">Ergebnis: </w:t>
      </w:r>
      <w:r>
        <w:t>Geburtskohortenunter Rationierung zeigten dosisabhängig reduzierte Krebsraten: Leber (HR 0,31), Rektum (HR 0,60), Lunge (HR 0,59), Prostata (HR 0,48), Brust (HR 0,64). Mechanismen: Persistente gesündere Ernährungsgewohnheiten (verhaltoral) und längere Telomere (2,2 Jahre weniger biologisches Altern), niedrigeres Granzym B. Kausalitätsevidenzen für frühe Ernährungsprägung.</w:t>
      </w:r>
    </w:p>
    <w:p>
      <w:r>
        <w:rPr>
          <w:b/>
          <w:sz w:val="19"/>
        </w:rPr>
        <w:t xml:space="preserve">Übertragbarkeit: </w:t>
      </w:r>
      <w:r>
        <w:rPr>
          <w:sz w:val="19"/>
        </w:rPr>
        <w:t>Großbritannien, vergleichbare Geburtskohortenstruktur; Befund zu prägenden Effekten früher Ernährung fundamental, aber Realisierbarkeit in Deutschland unterschiedlich</w:t>
      </w:r>
    </w:p>
    <w:p>
      <w:r>
        <w:rPr>
          <w:color w:val="5A7D3A"/>
          <w:sz w:val="18"/>
        </w:rPr>
        <w:t>https://pubmed.ncbi.nlm.nih.gov/42550905/</w:t>
      </w:r>
    </w:p>
    <w:p>
      <w:pPr>
        <w:pStyle w:val="Heading2"/>
      </w:pPr>
      <w:r>
        <w:t>Immediate orthostatic hypotension zeigt keine Assoziation mit Stürzen und Synkopen im Alter</w:t>
      </w:r>
    </w:p>
    <w:p>
      <w:r>
        <w:rPr>
          <w:i/>
          <w:color w:val="666666"/>
          <w:sz w:val="18"/>
        </w:rPr>
        <w:t>Reddin C et al.  ·  Age Ageing  ·  02.07.2026  ·  PMID 42462204</w:t>
      </w:r>
    </w:p>
    <w:p>
      <w:r>
        <w:t>Querschnitts- und prospektive Kohortenstudie mit 4.596 älteren Erwachsenen über 8 Jahre, die die Assoziation von orthosensitiver Hypotonie (OH) und unmittelbarer OH mit Stürzen und Synkopen untersuchte.</w:t>
      </w:r>
    </w:p>
    <w:p>
      <w:r>
        <w:rPr>
          <w:b/>
        </w:rPr>
        <w:t xml:space="preserve">Ergebnis: </w:t>
      </w:r>
      <w:r>
        <w:t>Unmittelbare OH kam bei 20,7% vor und war nicht signifikant mit Stürzen/Synkopen assoziiert (OR 1,22, 95% KI 0,93–1,57); hingegen war persistente OH assoziiert (OR 1,31, 95% KI 1,04–1,66, p &lt; 0,05). Die Unterscheidung zwischen beiden Varianten ist klinisch relevant.</w:t>
      </w:r>
    </w:p>
    <w:p>
      <w:r>
        <w:rPr>
          <w:b/>
          <w:sz w:val="19"/>
        </w:rPr>
        <w:t xml:space="preserve">Übertragbarkeit: </w:t>
      </w:r>
      <w:r>
        <w:rPr>
          <w:sz w:val="19"/>
        </w:rPr>
        <w:t>Irland, vergleichbares europäisches Gesundheitssystem, bevölkerungsrepräsentative Stichprobe</w:t>
      </w:r>
    </w:p>
    <w:p>
      <w:r>
        <w:rPr>
          <w:color w:val="5A7D3A"/>
          <w:sz w:val="18"/>
        </w:rPr>
        <w:t>https://pubmed.ncbi.nlm.nih.gov/42462204/</w:t>
      </w:r>
    </w:p>
    <w:p>
      <w:pPr>
        <w:pStyle w:val="Heading2"/>
      </w:pPr>
      <w:r>
        <w:t>Gebrechlichkeit in etablierten Surveys messbar – ein Framework für nationale Monitoring in Europa</w:t>
      </w:r>
    </w:p>
    <w:p>
      <w:r>
        <w:rPr>
          <w:i/>
          <w:color w:val="666666"/>
          <w:sz w:val="18"/>
        </w:rPr>
        <w:t>Aicardi T et al.  ·  Eur J Public Health  ·  10.06.2026  ·  PMID 42452852</w:t>
      </w:r>
    </w:p>
    <w:p>
      <w:r>
        <w:t>Querschnittsstudie mit drei etablierten Frailty-Indikatoren (Tilburg, Groningen, Edmonton) in vier italienischen Bevölkerungssurveillance-Datensätzen (SHARE, EU-SILC, EHIS, AVQ).</w:t>
      </w:r>
    </w:p>
    <w:p>
      <w:r>
        <w:rPr>
          <w:b/>
        </w:rPr>
        <w:t xml:space="preserve">Ergebnis: </w:t>
      </w:r>
      <w:r>
        <w:t>Der Groningen Frailty Indicator war am replizierbaren über Surveys hinweg; die Edmonton Frail Scale zeigte stärkste Vorhersagekraft. EHIS-Daten waren optimal für Messungen geeignet. Gebrechlichkeit erklärte Gesundheitsoutcomes besser als Chronologisches Alter allein; klarer Nord-Süd-Gradient in Italien (p &lt; 0,001).</w:t>
      </w:r>
    </w:p>
    <w:p>
      <w:r>
        <w:rPr>
          <w:b/>
          <w:sz w:val="19"/>
        </w:rPr>
        <w:t xml:space="preserve">Übertragbarkeit: </w:t>
      </w:r>
      <w:r>
        <w:rPr>
          <w:sz w:val="19"/>
        </w:rPr>
        <w:t>Italien, EU-Mitgliedstaaten, vergleichbare Datensysteme mit Deutschland übertragbar</w:t>
      </w:r>
    </w:p>
    <w:p>
      <w:r>
        <w:rPr>
          <w:color w:val="5A7D3A"/>
          <w:sz w:val="18"/>
        </w:rPr>
        <w:t>https://pubmed.ncbi.nlm.nih.gov/42452852/</w:t>
      </w:r>
    </w:p>
    <w:p>
      <w:pPr>
        <w:pStyle w:val="Heading2"/>
      </w:pPr>
      <w:r>
        <w:t>Gesunde Lebensjahre regional stark abhängig von Einkommen und sozialen Faktoren</w:t>
      </w:r>
    </w:p>
    <w:p>
      <w:r>
        <w:rPr>
          <w:i/>
          <w:color w:val="666666"/>
          <w:sz w:val="18"/>
        </w:rPr>
        <w:t>Bachmann M et al.  ·  BMJ Open  ·  13.07.2026  ·  PMID 42442804</w:t>
      </w:r>
    </w:p>
    <w:p>
      <w:r>
        <w:t>Querschnittsanalyse zur Variabilität der gesunden Lebenserwartung (HLE) und Risikofaktoren in 128 kleinen geografischen Bereichen eines britischen integrierten Versorgungssystems.</w:t>
      </w:r>
    </w:p>
    <w:p>
      <w:r>
        <w:rPr>
          <w:b/>
        </w:rPr>
        <w:t xml:space="preserve">Ergebnis: </w:t>
      </w:r>
      <w:r>
        <w:t>HLE betrug durchschnittlich 66,5 Jahre (Männer, Spannweite 52–73) und 67,5 Jahre (Frauen, Spannweite 56–74). £100 höheres Wocheneinkommen war assoziiert mit 4,4 (95% KI 3,5–5,2) beziehungsweise 4,6 (95% KI 3,8–5,4) zusätzlichen HLE-Jahren. Alleinsein älterer Personen, körperliche Inaktivität und Deprivation zeigten starke Assoziationen mit niedrigerer HLE.</w:t>
      </w:r>
    </w:p>
    <w:p>
      <w:r>
        <w:rPr>
          <w:b/>
          <w:sz w:val="19"/>
        </w:rPr>
        <w:t xml:space="preserve">Übertragbarkeit: </w:t>
      </w:r>
      <w:r>
        <w:rPr>
          <w:sz w:val="19"/>
        </w:rPr>
        <w:t>Großbritannien, NHS-ähnliche Systeme; Ungleichheitsmessung direkt auf deutsche Regionen übertragbar</w:t>
      </w:r>
    </w:p>
    <w:p>
      <w:r>
        <w:rPr>
          <w:color w:val="5A7D3A"/>
          <w:sz w:val="18"/>
        </w:rPr>
        <w:t>https://pubmed.ncbi.nlm.nih.gov/42442804/</w:t>
      </w:r>
    </w:p>
    <w:p>
      <w:pPr>
        <w:pStyle w:val="Heading1"/>
      </w:pPr>
      <w:r>
        <w:t>Aufgenommen am 28.08.2026</w:t>
      </w:r>
    </w:p>
    <w:p>
      <w:pPr>
        <w:pStyle w:val="Heading2"/>
      </w:pPr>
      <w:r>
        <w:t>Territoriale Ungleichheiten von Gebrechlichkeit und Langlebigkeit in Italien</w:t>
      </w:r>
    </w:p>
    <w:p>
      <w:r>
        <w:rPr>
          <w:i/>
          <w:color w:val="666666"/>
          <w:sz w:val="18"/>
        </w:rPr>
        <w:t>Maccheroni C et al.  ·  Int J Environ Res Public Health  ·  23.07.2026  ·  PMID 42652263</w:t>
      </w:r>
    </w:p>
    <w:p>
      <w:r>
        <w:t>Analyse der geografischen Verteilung von Frailty, funktionalen Einschränkungen und Anspruch auf öffentliche Unterstützung in 21 italienischen Regionen auf Basis von Istat-, Eurostat- und INPS-Daten.</w:t>
      </w:r>
    </w:p>
    <w:p>
      <w:r>
        <w:rPr>
          <w:b/>
        </w:rPr>
        <w:t xml:space="preserve">Ergebnis: </w:t>
      </w:r>
      <w:r>
        <w:t>Italien zeigt hohe Lebenserwartung (Frauen 85,4, Männer 81,4 Jahre), aber gesunde Lebensjahre von nur 69,6 bzw. 68,5 Jahren. Der Süden und die Inseln weisen deutlich höhere Frailty-Prävalenz, mehr funktionale Einschränkungen und höhere Ansprüche auf öffentliche Hilfe auf als Zentrum-Nord. Frauen erleben längere Leben mit mehr Behinderung und Abhängigkeit.</w:t>
      </w:r>
    </w:p>
    <w:p>
      <w:r>
        <w:rPr>
          <w:b/>
          <w:sz w:val="19"/>
        </w:rPr>
        <w:t xml:space="preserve">Übertragbarkeit: </w:t>
      </w:r>
      <w:r>
        <w:rPr>
          <w:sz w:val="19"/>
        </w:rPr>
        <w:t>Italien, vollständige nationale Registeranalyse, europäisches Wohlfahrtssystem</w:t>
      </w:r>
    </w:p>
    <w:p>
      <w:r>
        <w:rPr>
          <w:color w:val="5A7D3A"/>
          <w:sz w:val="18"/>
        </w:rPr>
        <w:t>https://pubmed.ncbi.nlm.nih.gov/42652263/</w:t>
      </w:r>
    </w:p>
    <w:p>
      <w:pPr>
        <w:pStyle w:val="Heading2"/>
      </w:pPr>
      <w:r>
        <w:t>Kognitive Frailty bei älteren Herzinsuffizienzpatienten: systematische Übersicht</w:t>
      </w:r>
    </w:p>
    <w:p>
      <w:r>
        <w:rPr>
          <w:i/>
          <w:color w:val="666666"/>
          <w:sz w:val="18"/>
        </w:rPr>
        <w:t>Cheng M et al.  ·  Front Public Health  ·  11.08.2026  ·  PMID 42644078</w:t>
      </w:r>
    </w:p>
    <w:p>
      <w:r>
        <w:t>Systematische Übersicht und Metaanalyse von 22 Kohortenstudien (8.892 Patienten ≥65 Jahre mit Herzinsuffizienz) zur Prävalenz und Faktoren kognitiver Frailty.</w:t>
      </w:r>
    </w:p>
    <w:p>
      <w:r>
        <w:rPr>
          <w:b/>
        </w:rPr>
        <w:t xml:space="preserve">Ergebnis: </w:t>
      </w:r>
      <w:r>
        <w:t>Gepoolte Prävalenz kognitiver Frailty: 32 % (95%-KI 27–37 %). Bei Frauen 37 %, bei Männern 31 %. Nach NYHA-Klassifikation bei Klasse IV 44 %, Klasse II–III 28 %. Mit COPD-Komorbidität 46 %. Höheres Alter (bereinigt OR 1,12, 95%-KI 1,06–1,18) und Depression assoziiert mit höheren Odds; körperliche Aktivität und intellektuelle Aktivität mit niedrigeren Odds.</w:t>
      </w:r>
    </w:p>
    <w:p>
      <w:r>
        <w:rPr>
          <w:b/>
          <w:sz w:val="19"/>
        </w:rPr>
        <w:t xml:space="preserve">Übertragbarkeit: </w:t>
      </w:r>
      <w:r>
        <w:rPr>
          <w:sz w:val="19"/>
        </w:rPr>
        <w:t>Mehrländerstudie, überwiegend observativ, Versorgungsrelevanz für Herzinsuffizienz</w:t>
      </w:r>
    </w:p>
    <w:p>
      <w:r>
        <w:rPr>
          <w:color w:val="5A7D3A"/>
          <w:sz w:val="18"/>
        </w:rPr>
        <w:t>https://pubmed.ncbi.nlm.nih.gov/42644078/</w:t>
      </w:r>
    </w:p>
    <w:p>
      <w:pPr>
        <w:pStyle w:val="Heading2"/>
      </w:pPr>
      <w:r>
        <w:t>Erhöhte Arbeitsunfälle durch verzögerte Pensionierung im Alter</w:t>
      </w:r>
    </w:p>
    <w:p>
      <w:r>
        <w:rPr>
          <w:i/>
          <w:color w:val="666666"/>
          <w:sz w:val="18"/>
        </w:rPr>
        <w:t>Ardito C et al.  ·  Econ Hum Biol  ·  10.08.2026  ·  PMID 42617339</w:t>
      </w:r>
    </w:p>
    <w:p>
      <w:r>
        <w:t>Evaluation des Effekts der italienischen Rentenreform 2012 (Erhöhung der Anspruchsaltersgrenze) auf Arbeitsunfallrisiken bei älteren Erwerbstätigen mittels administrativer Daten aus der Privatwirtschaft.</w:t>
      </w:r>
    </w:p>
    <w:p>
      <w:r>
        <w:rPr>
          <w:b/>
        </w:rPr>
        <w:t xml:space="preserve">Ergebnis: </w:t>
      </w:r>
      <w:r>
        <w:t>Verzögerte Pensionierung führte zu statistisch signifikantem Anstieg krankheitsbedingter Abwesenheit durch Arbeitsunfälle um 2,6 % gegenüber dem Ausgangswert. Der Effekt konzentriert sich auf Kleinbetriebe (unter 15 Angestellten) und körperlich oder kognitiv fordernde Sektoren wie Fertigung. Kein Spillover-Effekt auf Arbeitskollegen.</w:t>
      </w:r>
    </w:p>
    <w:p>
      <w:r>
        <w:rPr>
          <w:b/>
          <w:sz w:val="19"/>
        </w:rPr>
        <w:t xml:space="preserve">Übertragbarkeit: </w:t>
      </w:r>
      <w:r>
        <w:rPr>
          <w:sz w:val="19"/>
        </w:rPr>
        <w:t>Italien, administrative Privatwirtschaftsdaten, vergleichbare Sozialversicherungssysteme</w:t>
      </w:r>
    </w:p>
    <w:p>
      <w:r>
        <w:rPr>
          <w:color w:val="5A7D3A"/>
          <w:sz w:val="18"/>
        </w:rPr>
        <w:t>https://pubmed.ncbi.nlm.nih.gov/42617339/</w:t>
      </w:r>
    </w:p>
    <w:p>
      <w:pPr>
        <w:pStyle w:val="Heading2"/>
      </w:pPr>
      <w:r>
        <w:t>Lebenserwartung und Gesundheitslebensjahre von Migranten in England und Wales</w:t>
      </w:r>
    </w:p>
    <w:p>
      <w:r>
        <w:rPr>
          <w:i/>
          <w:color w:val="666666"/>
          <w:sz w:val="18"/>
        </w:rPr>
        <w:t>Harrison J et al.  ·  PLoS One  ·  19.08.2026  ·  PMID 42616754</w:t>
      </w:r>
    </w:p>
    <w:p>
      <w:r>
        <w:t>Vergleich der Lebenserwartung und behinderungsfreien Lebensjahre bei 37 Ländern von Geburtsort in England und Wales über drei Zeitpunkte (2000–02, 2010–12, 2020–22) mittels Lebenstafeln und Sullivan-Methode.</w:t>
      </w:r>
    </w:p>
    <w:p>
      <w:r>
        <w:rPr>
          <w:b/>
        </w:rPr>
        <w:t xml:space="preserve">Ergebnis: </w:t>
      </w:r>
      <w:r>
        <w:t>Heterogene Muster: Die meisten Migrantengruppen zeigten höhere Lebenserwartung und behinderungsfreie Lebensjahre als in England und Wales geborene; einige der größten Migrantengruppen (Schottland, Irland, Polen, Litauen) zeigten niedrigere Lebenserwartung und höhere Behinderungslasten. Frauen aus Pakistan und Bangladesch lebten länger, aber mit mehr Behinderung.</w:t>
      </w:r>
    </w:p>
    <w:p>
      <w:r>
        <w:rPr>
          <w:b/>
          <w:sz w:val="19"/>
        </w:rPr>
        <w:t xml:space="preserve">Übertragbarkeit: </w:t>
      </w:r>
      <w:r>
        <w:rPr>
          <w:sz w:val="19"/>
        </w:rPr>
        <w:t>Großbritannien, nationale Zensus- und Mortalitätsdaten, vergleichbares Versicherungssystem</w:t>
      </w:r>
    </w:p>
    <w:p>
      <w:r>
        <w:rPr>
          <w:color w:val="5A7D3A"/>
          <w:sz w:val="18"/>
        </w:rPr>
        <w:t>https://pubmed.ncbi.nlm.nih.gov/42616754/</w:t>
      </w:r>
    </w:p>
    <w:p>
      <w:pPr>
        <w:pStyle w:val="Heading2"/>
      </w:pPr>
      <w:r>
        <w:t>Milde Bewegungstremor korreliert mit kognitiver Beeinträchtigung im Alter</w:t>
      </w:r>
    </w:p>
    <w:p>
      <w:r>
        <w:rPr>
          <w:i/>
          <w:color w:val="666666"/>
          <w:sz w:val="18"/>
        </w:rPr>
        <w:t>Kuhlenbäumer G et al.  ·  J Neurol  ·  11.08.2026  ·  PMID 42581283</w:t>
      </w:r>
    </w:p>
    <w:p>
      <w:r>
        <w:t>Querschnittsanalyse der KORA-Age-Studie (65–93 Jahre) zur Assoziation zwischen Tremorschweregrad (Archimedes-Spiral-Rating) und kognitiver Leistung (TICS-m) unter Verwendung multivariater Regression.</w:t>
      </w:r>
    </w:p>
    <w:p>
      <w:r>
        <w:rPr>
          <w:b/>
        </w:rPr>
        <w:t xml:space="preserve">Ergebnis: </w:t>
      </w:r>
      <w:r>
        <w:t>Tremorschweregrad war unabhängig mit kognitiver Leistung assoziiert. Im finalen Modell waren wichtigste Prädiktoren: Alter, Geschlecht, Parkinson-Score, Frailty und Tremor. Sensitivitätsanalysen unter Ausschluss wahrscheinlich pathologischer Tremoren attenuierten die Assoziation nicht. Altersbedingte Hirnveränderungen könnten gemeinsame Ursache sein.</w:t>
      </w:r>
    </w:p>
    <w:p>
      <w:r>
        <w:rPr>
          <w:b/>
          <w:sz w:val="19"/>
        </w:rPr>
        <w:t xml:space="preserve">Übertragbarkeit: </w:t>
      </w:r>
      <w:r>
        <w:rPr>
          <w:sz w:val="19"/>
        </w:rPr>
        <w:t>Deutschland, KORA-Bevölkerungskohort, nationale Datengrundlage</w:t>
      </w:r>
    </w:p>
    <w:p>
      <w:r>
        <w:rPr>
          <w:color w:val="5A7D3A"/>
          <w:sz w:val="18"/>
        </w:rPr>
        <w:t>https://pubmed.ncbi.nlm.nih.gov/42581283/</w:t>
      </w:r>
    </w:p>
    <w:p>
      <w:pPr>
        <w:pStyle w:val="Heading2"/>
      </w:pPr>
      <w:r>
        <w:t>Geriatrische Rehabilitation verbessert Funktionalität bei Mangelernährungsrisiko</w:t>
      </w:r>
    </w:p>
    <w:p>
      <w:r>
        <w:rPr>
          <w:i/>
          <w:color w:val="666666"/>
          <w:sz w:val="18"/>
        </w:rPr>
        <w:t>Runikhina NK et al.  ·  Adv Gerontol  ·  2026  ·  PMID 42502926</w:t>
      </w:r>
    </w:p>
    <w:p>
      <w:r>
        <w:t>Evaluierung von 21-Tage-Rehabilitationsprogrammen bei 482 älteren Patienten (60+ Jahre) mit (96, 19,9 %) und ohne Mangelernährungsrisiko durch umfassende geriatrische Bewertung vor und nach Intervention.</w:t>
      </w:r>
    </w:p>
    <w:p>
      <w:r>
        <w:rPr>
          <w:b/>
        </w:rPr>
        <w:t xml:space="preserve">Ergebnis: </w:t>
      </w:r>
      <w:r>
        <w:t>Beide Gruppen verbesserten sich signifikant in Funktionalität, kognitiver Leistung und Schmerz/Schlaf/Depression. Patienten mit Mangelernährungsrisiko waren älter (80,3 vs. 78,2 Jahre), hatten mehr Frailty (52,1 % vs. 30,9 %), mehr Stürze (36,8 % vs. 25,3 %) und Depression (40,6 % vs. 20,8 %). Diese Gruppe zeigte deutlich größere Verbesserungen in basaler und instrumenteller Funktionalität.</w:t>
      </w:r>
    </w:p>
    <w:p>
      <w:r>
        <w:rPr>
          <w:b/>
          <w:sz w:val="19"/>
        </w:rPr>
        <w:t xml:space="preserve">Übertragbarkeit: </w:t>
      </w:r>
      <w:r>
        <w:rPr>
          <w:sz w:val="19"/>
        </w:rPr>
        <w:t>Russland, Pirogov-Universitätsklinik, europäischer Gesundheitsauftrag vergleichbar</w:t>
      </w:r>
    </w:p>
    <w:p>
      <w:r>
        <w:rPr>
          <w:color w:val="5A7D3A"/>
          <w:sz w:val="18"/>
        </w:rPr>
        <w:t>https://pubmed.ncbi.nlm.nih.gov/42502926/</w:t>
      </w:r>
    </w:p>
    <w:p>
      <w:pPr>
        <w:pStyle w:val="Heading1"/>
      </w:pPr>
      <w:r>
        <w:t>Aufgenommen am 27.08.2026</w:t>
      </w:r>
    </w:p>
    <w:p>
      <w:pPr>
        <w:pStyle w:val="Heading2"/>
      </w:pPr>
      <w:r>
        <w:t>Verzögerte Sterblichkeit und Multimorbiditätsaufbau bei Nachkommen von Hundertjährigen</w:t>
      </w:r>
    </w:p>
    <w:p>
      <w:r>
        <w:rPr>
          <w:i/>
          <w:color w:val="666666"/>
          <w:sz w:val="18"/>
        </w:rPr>
        <w:t>Reed ER et al.  ·  JAMA Netw Open  ·  03.08.2026  ·  PMID 42646838</w:t>
      </w:r>
    </w:p>
    <w:p>
      <w:r>
        <w:t>Studie an drei unabhängigen Kohorten (LonGenity, NECS, UK Biobank) verglich Sterblichkeit und Erkrankungsbeginn bei Nachkommen von Hundertjährigen (≥100 Jahre) mit Kontrollpersonen.</w:t>
      </w:r>
    </w:p>
    <w:p>
      <w:r>
        <w:rPr>
          <w:b/>
        </w:rPr>
        <w:t xml:space="preserve">Ergebnis: </w:t>
      </w:r>
      <w:r>
        <w:t>Hundertjährige-Nachkommen zeigten reduzierte Mortalität (HR 0,58; 95%-KI 0,41–0,81), verzögerter Beginn von Herzerkrankungen (HR 0,67) und Hypertonie (HR 0,68; Verzögerung 5,21 Jahre). Der Effekt ist konsistent über drei Länder und zeigt, dass Longevität familial transmittiert wird.</w:t>
      </w:r>
    </w:p>
    <w:p>
      <w:r>
        <w:rPr>
          <w:b/>
          <w:sz w:val="19"/>
        </w:rPr>
        <w:t xml:space="preserve">Übertragbarkeit: </w:t>
      </w:r>
      <w:r>
        <w:rPr>
          <w:sz w:val="19"/>
        </w:rPr>
        <w:t>USA und Großbritannien; Generalisierbarkeit durch multiple Länder hoch</w:t>
      </w:r>
    </w:p>
    <w:p>
      <w:r>
        <w:rPr>
          <w:color w:val="5A7D3A"/>
          <w:sz w:val="18"/>
        </w:rPr>
        <w:t>https://pubmed.ncbi.nlm.nih.gov/42646838/</w:t>
      </w:r>
    </w:p>
    <w:p>
      <w:pPr>
        <w:pStyle w:val="Heading2"/>
      </w:pPr>
      <w:r>
        <w:t>Gebrechlichkeit und periphere Schwindel-Inzidenz: Dosis-Wirkungs-Befund in UK Biobank</w:t>
      </w:r>
    </w:p>
    <w:p>
      <w:r>
        <w:rPr>
          <w:i/>
          <w:color w:val="666666"/>
          <w:sz w:val="18"/>
        </w:rPr>
        <w:t>Zhai Z et al.  ·  Front Neurol  ·  11.08.2026  ·  PMID 42643260</w:t>
      </w:r>
    </w:p>
    <w:p>
      <w:r>
        <w:t>489266 UK-Biobank-Teilnehmer wurden auf Assoziationen zwischen Frailty-Status (Fried-Phänotyp) und Inzidenz von Schwindel (Vertigo) über 13,2 Jahre Nachverfolgung untersucht.</w:t>
      </w:r>
    </w:p>
    <w:p>
      <w:r>
        <w:rPr>
          <w:b/>
        </w:rPr>
        <w:t xml:space="preserve">Ergebnis: </w:t>
      </w:r>
      <w:r>
        <w:t>Präfrailty (HR 1,36; 95%-KI 1,26–1,48) und Frailty (HR 2,05; 95%-KI 1,77–2,37) waren unabhängig mit erhöhtem Schwindel-Risiko assoziiert. Linearer Dosis-Wirkungs-Trend: jeder Punkt Frailty-Score erhöhte Risiko um 24% (95%-KI 19–29%). Effekt stärker bei Frauen.</w:t>
      </w:r>
    </w:p>
    <w:p>
      <w:r>
        <w:rPr>
          <w:b/>
          <w:sz w:val="19"/>
        </w:rPr>
        <w:t xml:space="preserve">Übertragbarkeit: </w:t>
      </w:r>
      <w:r>
        <w:rPr>
          <w:sz w:val="19"/>
        </w:rPr>
        <w:t>UK Biobank, vergleichbare Dokumentation; relevanter Befund für Sturzrisiko-Assessment</w:t>
      </w:r>
    </w:p>
    <w:p>
      <w:r>
        <w:rPr>
          <w:color w:val="5A7D3A"/>
          <w:sz w:val="18"/>
        </w:rPr>
        <w:t>https://pubmed.ncbi.nlm.nih.gov/42643260/</w:t>
      </w:r>
    </w:p>
    <w:p>
      <w:pPr>
        <w:pStyle w:val="Heading2"/>
      </w:pPr>
      <w:r>
        <w:t>Mobiltelefonnutzung und körperliche Gebrechlichkeit: temporale Querschnittsanalyse ohne kausale Assoziation</w:t>
      </w:r>
    </w:p>
    <w:p>
      <w:r>
        <w:rPr>
          <w:i/>
          <w:color w:val="666666"/>
          <w:sz w:val="18"/>
        </w:rPr>
        <w:t>Kong S et al.  ·  Front Public Health  ·  10.08.2026  ·  PMID 42638665</w:t>
      </w:r>
    </w:p>
    <w:p>
      <w:r>
        <w:t>5533 Personen der UK Biobank (40–70 Jahre) wurden über drei Wellen auf zeitliche Beziehungen zwischen wöchentlicher Telefonanrufdauer und vier Dimensionen von Frailty untersucht.</w:t>
      </w:r>
    </w:p>
    <w:p>
      <w:r>
        <w:rPr>
          <w:b/>
        </w:rPr>
        <w:t xml:space="preserve">Ergebnis: </w:t>
      </w:r>
      <w:r>
        <w:t>Nach Korrektur für multiples Testen (FDR) zeigten sich nur zwei schwache, intermittierende Assoziationen: psychische Frailty T1→Telefonzeit T2 (β 0,086, p_FDR 0,048) und soziale Frailty T2→Telefonzeit T3 (β 0,078, p_FDR 0,033). Keine robusten bidirektionalen Effekte.</w:t>
      </w:r>
    </w:p>
    <w:p>
      <w:r>
        <w:rPr>
          <w:b/>
          <w:sz w:val="19"/>
        </w:rPr>
        <w:t xml:space="preserve">Übertragbarkeit: </w:t>
      </w:r>
      <w:r>
        <w:rPr>
          <w:sz w:val="19"/>
        </w:rPr>
        <w:t>UK Biobank, aber Ergebnis negativ (keine Effekt); Übertragbarkeit für Aussage 'kein Zusammenhang' gegeben</w:t>
      </w:r>
    </w:p>
    <w:p>
      <w:r>
        <w:rPr>
          <w:color w:val="5A7D3A"/>
          <w:sz w:val="18"/>
        </w:rPr>
        <w:t>https://pubmed.ncbi.nlm.nih.gov/42638665/</w:t>
      </w:r>
    </w:p>
    <w:p>
      <w:pPr>
        <w:pStyle w:val="Heading2"/>
      </w:pPr>
      <w:r>
        <w:t>Impfbotschaften im Fokus "gesundes Altern" erhöhen Impfintention bei älteren Erwachsenen</w:t>
      </w:r>
    </w:p>
    <w:p>
      <w:r>
        <w:rPr>
          <w:i/>
          <w:color w:val="666666"/>
          <w:sz w:val="18"/>
        </w:rPr>
        <w:t>Addario A et al.  ·  Vaccine  ·  17.09.2026  ·  PMID 42594637</w:t>
      </w:r>
    </w:p>
    <w:p>
      <w:r>
        <w:t>Querschnittsumfrage bei 2416 Personen ≥60 Jahren in Frankreich zu Effektivität von Impfbotschaften unter Einsatz von Social Marketing; drei Verhaltensadhärenz-Profile.</w:t>
      </w:r>
    </w:p>
    <w:p>
      <w:r>
        <w:rPr>
          <w:b/>
        </w:rPr>
        <w:t xml:space="preserve">Ergebnis: </w:t>
      </w:r>
      <w:r>
        <w:t>Zustimmung zu 'Impfung trägt zu gesundem Altern bei' stieg von 3% (niedrige Adhärenz) auf 56% (mittlere) und 78% (hohe). Botschaften zu Schlaganfall- und Herzinfarktreduktion zeigten höchste Impfabsicht (69% und 67% in hoher-Adhärenz-Gruppe). Vertrauenswürdige Gesundheitsfachleute waren Informationsquelle Nr. 1 (93–95%). Impfgutscheine: 57% (mittlere) bis 81% (hohe Adhärenz) würden sich impfen lassen.</w:t>
      </w:r>
    </w:p>
    <w:p>
      <w:r>
        <w:rPr>
          <w:b/>
          <w:sz w:val="19"/>
        </w:rPr>
        <w:t xml:space="preserve">Übertragbarkeit: </w:t>
      </w:r>
      <w:r>
        <w:rPr>
          <w:sz w:val="19"/>
        </w:rPr>
        <w:t>Frankreich, europäisches Gesundheitssystem; Transfer für Kommunikationsstrategie hoch</w:t>
      </w:r>
    </w:p>
    <w:p>
      <w:r>
        <w:rPr>
          <w:color w:val="5A7D3A"/>
          <w:sz w:val="18"/>
        </w:rPr>
        <w:t>https://pubmed.ncbi.nlm.nih.gov/42594637/</w:t>
      </w:r>
    </w:p>
    <w:p>
      <w:pPr>
        <w:pStyle w:val="Heading2"/>
      </w:pPr>
      <w:r>
        <w:t>Chair-Stand-Test als Mortalitätsprädiktor bei hochfunktionalen älteren Erwachsenen</w:t>
      </w:r>
    </w:p>
    <w:p>
      <w:r>
        <w:rPr>
          <w:i/>
          <w:color w:val="666666"/>
          <w:sz w:val="18"/>
        </w:rPr>
        <w:t>Máximo RO et al.  ·  Maturitas  ·  04.08.2026  ·  PMID 42570528</w:t>
      </w:r>
    </w:p>
    <w:p>
      <w:r>
        <w:t>2747 hochfunktionale ältere Erwachsene (Gehgeschwindigkeit &gt;0,8 oder &gt;1,0 m/s) der English Longitudinal Study of Ageing wurden 15 Jahre lang verfolgt; Mortalität nach Chair Stand Test und SPPB verglichen.</w:t>
      </w:r>
    </w:p>
    <w:p>
      <w:r>
        <w:rPr>
          <w:b/>
        </w:rPr>
        <w:t xml:space="preserve">Ergebnis: </w:t>
      </w:r>
      <w:r>
        <w:t>Mortalitätsraten: CST &gt;15 s: 41,4 pro 1000 Personenjahre vs. ≤15 s: 21,9. HR für CST &gt;15 s: 1,36 (95%-KI 1,13–1,62); für SPPB ≤10: HR 1,31 (95%-KI 1,12–1,54). Bei Gehgeschwindigkeit &gt;1,0 m/s: CST-HR 1,75 (95%-KI 1,30–2,36). CST ist einfacher anwendbar.</w:t>
      </w:r>
    </w:p>
    <w:p>
      <w:r>
        <w:rPr>
          <w:b/>
          <w:sz w:val="19"/>
        </w:rPr>
        <w:t xml:space="preserve">Übertragbarkeit: </w:t>
      </w:r>
      <w:r>
        <w:rPr>
          <w:sz w:val="19"/>
        </w:rPr>
        <w:t>England, vergleichbare Klinikpopulationen; schnelles, praktisches Test-Screening</w:t>
      </w:r>
    </w:p>
    <w:p>
      <w:r>
        <w:rPr>
          <w:color w:val="5A7D3A"/>
          <w:sz w:val="18"/>
        </w:rPr>
        <w:t>https://pubmed.ncbi.nlm.nih.gov/42570528/</w:t>
      </w:r>
    </w:p>
    <w:p>
      <w:pPr>
        <w:pStyle w:val="Heading2"/>
      </w:pPr>
      <w:r>
        <w:t>Renteneintritt und psychische Gesundheit: Kurzfristig besser, langfristig Erholung begrenzt</w:t>
      </w:r>
    </w:p>
    <w:p>
      <w:r>
        <w:rPr>
          <w:i/>
          <w:color w:val="666666"/>
          <w:sz w:val="18"/>
        </w:rPr>
        <w:t>Maddock J et al.  ·  Epidemiol Psychiatr Sci  ·  05.08.2026  ·  PMID 42552948</w:t>
      </w:r>
    </w:p>
    <w:p>
      <w:r>
        <w:t>Multilevel und instrumentale Variable Analyse bei 10698 Personen (48815 Beobachtungen) aus Survey of Health, Ageing and Retirement in Europe über 20 Jahre (10 Länder); Renteneintritt und Depressivität (EURO-D-Skala).</w:t>
      </w:r>
    </w:p>
    <w:p>
      <w:r>
        <w:rPr>
          <w:b/>
        </w:rPr>
        <w:t xml:space="preserve">Ergebnis: </w:t>
      </w:r>
      <w:r>
        <w:t>Spline-Modelle: minimal Veränderung vor Rente. Bei Renteneintritt leichte EURO-D-Reduktion (–0,07 Punkte/Jahr; 95%-KI –0,13 bis –0,0003), dann ab 2 Jahre post-Rente Anstieg (0,09/Jahr; 95%-KI 0,02–0,16). IV-Analyse: Rente assoziiert mit weniger Depressionssymptomen (–0,26; 95%-KI –0,45 bis –0,07). Alleinstehende berichteten höhere Depressivität, aber Wohnstatus moderierte Effekt nicht.</w:t>
      </w:r>
    </w:p>
    <w:p>
      <w:r>
        <w:rPr>
          <w:b/>
          <w:sz w:val="19"/>
        </w:rPr>
        <w:t xml:space="preserve">Übertragbarkeit: </w:t>
      </w:r>
      <w:r>
        <w:rPr>
          <w:sz w:val="19"/>
        </w:rPr>
        <w:t>10 europäische Länder, vergleichbare Rentensysteme; Evidenz für deutsche Sozialversicherung relevant</w:t>
      </w:r>
    </w:p>
    <w:p>
      <w:r>
        <w:rPr>
          <w:color w:val="5A7D3A"/>
          <w:sz w:val="18"/>
        </w:rPr>
        <w:t>https://pubmed.ncbi.nlm.nih.gov/42552948/</w:t>
      </w:r>
    </w:p>
    <w:p>
      <w:pPr>
        <w:pStyle w:val="Heading2"/>
      </w:pPr>
      <w:r>
        <w:t>Sexuelle Gesundheit älterer Menschen in Hausarztpraxen: Barrieren und Handlungsempfehlungen</w:t>
      </w:r>
    </w:p>
    <w:p>
      <w:r>
        <w:rPr>
          <w:i/>
          <w:color w:val="666666"/>
          <w:sz w:val="18"/>
        </w:rPr>
        <w:t>Kocurkova A et al.  ·  Age Ageing  ·  02.07.2026  ·  PMID 42506889</w:t>
      </w:r>
    </w:p>
    <w:p>
      <w:r>
        <w:t>Qualitative Studie (16 halbstrukturierte Interviews) mit NHS-Hausarztfachkräften in England zur Erfahrung bei Gesprächen über Sexualität mit älteren Patienten.</w:t>
      </w:r>
    </w:p>
    <w:p>
      <w:r>
        <w:rPr>
          <w:b/>
        </w:rPr>
        <w:t xml:space="preserve">Ergebnis: </w:t>
      </w:r>
      <w:r>
        <w:t>Drei Hauptthemen identifiziert: (1) Unbewusste Annahmen, Fachleute-Unbehagen und Zeitmangel begrenzen Diskussionen; (2) körperliche Symptome sind 'natürliche Öffner', Gespräche bleiben aber medizinisch-fokussiert; (3) minimale Nutzung von Leitlinien, stattdessen Intuition/Erfahrung. Fachkräfte fordern klare, prägnante, psychologisch informierte Werkzeuge und Training. Sexuelle Gesundheit wird nicht als Qualitätsaspekt im Alter normalisiert.</w:t>
      </w:r>
    </w:p>
    <w:p>
      <w:r>
        <w:rPr>
          <w:b/>
          <w:sz w:val="19"/>
        </w:rPr>
        <w:t xml:space="preserve">Übertragbarkeit: </w:t>
      </w:r>
      <w:r>
        <w:rPr>
          <w:sz w:val="19"/>
        </w:rPr>
        <w:t>England, NHS-Setting; Befunde zu Versorgungspraxen direkt übertragbar</w:t>
      </w:r>
    </w:p>
    <w:p>
      <w:r>
        <w:rPr>
          <w:color w:val="5A7D3A"/>
          <w:sz w:val="18"/>
        </w:rPr>
        <w:t>https://pubmed.ncbi.nlm.nih.gov/42506889/</w:t>
      </w:r>
    </w:p>
    <w:p>
      <w:pPr>
        <w:pStyle w:val="Heading1"/>
      </w:pPr>
      <w:r>
        <w:t>Aufgenommen am 26.08.2026</w:t>
      </w:r>
    </w:p>
    <w:p>
      <w:pPr>
        <w:pStyle w:val="Heading2"/>
      </w:pPr>
      <w:r>
        <w:t>Geriatrisches Assessment senkt Aufenthaltsdauer bei älteren Krankenhauspatienten</w:t>
      </w:r>
    </w:p>
    <w:p>
      <w:r>
        <w:rPr>
          <w:i/>
          <w:color w:val="666666"/>
          <w:sz w:val="18"/>
        </w:rPr>
        <w:t>Ahmed R et al.  ·  Ir Med J  ·  20.08.2026  ·  PMID 42640196</w:t>
      </w:r>
    </w:p>
    <w:p>
      <w:r>
        <w:t>Evaluierung eines neu eingeführten spezialistischen Geriatrie-Service mit Comprehensive Geriatric Assessment (CGA) in einem irischen Privatspital bei Patienten ab 75 Jahren.</w:t>
      </w:r>
    </w:p>
    <w:p>
      <w:r>
        <w:rPr>
          <w:b/>
        </w:rPr>
        <w:t xml:space="preserve">Ergebnis: </w:t>
      </w:r>
      <w:r>
        <w:t>84% der Patienten (42/50) wurden innerhalb von 48 Stunden geriatrisch untersucht (Median 29 Stunden). Multidisziplinäres Team-Engagement stieg von 45% auf 70%, Aufenthaltsdauer sank um 22% (von 8,7 auf 6,8 Tage), 66% wurden direkt nach Hause entlassen, 30-Tage-Wiederaufnahmen 10%.</w:t>
      </w:r>
    </w:p>
    <w:p>
      <w:r>
        <w:rPr>
          <w:b/>
          <w:sz w:val="19"/>
        </w:rPr>
        <w:t xml:space="preserve">Übertragbarkeit: </w:t>
      </w:r>
      <w:r>
        <w:rPr>
          <w:sz w:val="19"/>
        </w:rPr>
        <w:t>Irland, vergleichbare europäische Privatklinik-Strukturen, HSE-Qualitätsstandards</w:t>
      </w:r>
    </w:p>
    <w:p>
      <w:r>
        <w:rPr>
          <w:color w:val="5A7D3A"/>
          <w:sz w:val="18"/>
        </w:rPr>
        <w:t>https://pubmed.ncbi.nlm.nih.gov/42640196/</w:t>
      </w:r>
    </w:p>
    <w:p>
      <w:pPr>
        <w:pStyle w:val="Heading1"/>
      </w:pPr>
      <w:r>
        <w:t>Aufgenommen am 25.08.2026</w:t>
      </w:r>
    </w:p>
    <w:p>
      <w:pPr>
        <w:pStyle w:val="Heading2"/>
      </w:pPr>
      <w:r>
        <w:t>Langzeitverläufe der intrinsischen Kapazität vorhersagen Pflegeheimaufnahme und Mortalität</w:t>
      </w:r>
    </w:p>
    <w:p>
      <w:r>
        <w:rPr>
          <w:i/>
          <w:color w:val="666666"/>
          <w:sz w:val="18"/>
        </w:rPr>
        <w:t>Egbujie BA et al.  ·  Age Ageing  ·  03.08.2026  ·  PMID 42632919</w:t>
      </w:r>
    </w:p>
    <w:p>
      <w:r>
        <w:t>Kanadische Populationsstudie zu Längsmustern der intrinsischen Kapazität (Mobilität, Vitalität, Kognition, Psychisches, Sensorik) bei 302.467 Patienten häuslicher Pflege und Vorhersage von Outcomes.</w:t>
      </w:r>
    </w:p>
    <w:p>
      <w:r>
        <w:rPr>
          <w:b/>
        </w:rPr>
        <w:t xml:space="preserve">Ergebnis: </w:t>
      </w:r>
      <w:r>
        <w:t>Fünf distinkte Trajektorienmuster identifiziert; kognitive Beeinträchtigung war mit ungünstigen Trajectories assoziiert. Wichtig: Baseline-Kapazität allein war prognostisch unzureichend. Personen mit mäßiger Baseline-Kapazität zeigten höhere LTC-Einweisung als Personen mit niedriger Kapazität, die sich verbesserten (48,4 % vs. 38,1 %).</w:t>
      </w:r>
    </w:p>
    <w:p>
      <w:r>
        <w:rPr>
          <w:b/>
          <w:sz w:val="19"/>
        </w:rPr>
        <w:t xml:space="preserve">Übertragbarkeit: </w:t>
      </w:r>
      <w:r>
        <w:rPr>
          <w:sz w:val="19"/>
        </w:rPr>
        <w:t>Kanada, interRAI Home Care Routinedaten, Ansatz auf deutsches Assessment übertragbar.</w:t>
      </w:r>
    </w:p>
    <w:p>
      <w:r>
        <w:rPr>
          <w:color w:val="5A7D3A"/>
          <w:sz w:val="18"/>
        </w:rPr>
        <w:t>https://pubmed.ncbi.nlm.nih.gov/42632919/</w:t>
      </w:r>
    </w:p>
    <w:p>
      <w:pPr>
        <w:pStyle w:val="Heading2"/>
      </w:pPr>
      <w:r>
        <w:t>Gemeinsamer Gedächtnis- und Kognitionsverfall erhöht Risiko für Funktionsabhängigkeit im Alter</w:t>
      </w:r>
    </w:p>
    <w:p>
      <w:r>
        <w:rPr>
          <w:i/>
          <w:color w:val="666666"/>
          <w:sz w:val="18"/>
        </w:rPr>
        <w:t>Yin X et al.  ·  Alzheimers Dement  ·  Aug. 2026  ·  PMID 42630086</w:t>
      </w:r>
    </w:p>
    <w:p>
      <w:r>
        <w:t>Harmonisierte Längsschnittanalyse von vier Kohorten (China, USA, England, Europa) zur Vorhersage funktioneller Abhängigkeit durch gleichzeitige Veränderungen subjektiver und objektiver kognitiver Parameter.</w:t>
      </w:r>
    </w:p>
    <w:p>
      <w:r>
        <w:rPr>
          <w:b/>
        </w:rPr>
        <w:t xml:space="preserve">Ergebnis: </w:t>
      </w:r>
      <w:r>
        <w:t>Unter 62.329 Teilnehmern mit vollständiger Analyse war gleichzeitiger kognitiver Verfall am stärksten mit funktioneller Abhängigkeit assoziiert (Hazard Ratio 1,47; 95%-KI 1,38–1,57), stärker als einzelne Defizite (subjektiv-nur HR 1,22; objektiv-nur HR 1,12). In Konkurrenzrisiko-Analysen blieb der Zusammenhang robust (gepoolte HR 1,39; 95%-KI 1,27–1,51).</w:t>
      </w:r>
    </w:p>
    <w:p>
      <w:r>
        <w:rPr>
          <w:b/>
          <w:sz w:val="19"/>
        </w:rPr>
        <w:t xml:space="preserve">Übertragbarkeit: </w:t>
      </w:r>
      <w:r>
        <w:rPr>
          <w:sz w:val="19"/>
        </w:rPr>
        <w:t>Vier Kontinente, bevölkerungsrepräsentative Kohorten mit konsistenten Mustern.</w:t>
      </w:r>
    </w:p>
    <w:p>
      <w:r>
        <w:rPr>
          <w:color w:val="5A7D3A"/>
          <w:sz w:val="18"/>
        </w:rPr>
        <w:t>https://pubmed.ncbi.nlm.nih.gov/42630086/</w:t>
      </w:r>
    </w:p>
    <w:p>
      <w:pPr>
        <w:pStyle w:val="Heading1"/>
      </w:pPr>
      <w:r>
        <w:t>Aufgenommen am 24.08.2026</w:t>
      </w:r>
    </w:p>
    <w:p>
      <w:pPr>
        <w:pStyle w:val="Heading2"/>
      </w:pPr>
      <w:r>
        <w:t>Frailty-bedingte Nachfrage nach Gemeindeversorgung in England 2025–2040: Simulationen zeigen Potenzial von Frailty-Prävention, aber anhaltende Steigerung der Leistungsnutzung</w:t>
      </w:r>
    </w:p>
    <w:p>
      <w:r>
        <w:rPr>
          <w:i/>
          <w:color w:val="666666"/>
          <w:sz w:val="18"/>
        </w:rPr>
        <w:t>Walsh B et al.  ·  Age Ageing  ·  03.08.2026  ·  PMID 42632917</w:t>
      </w:r>
    </w:p>
    <w:p>
      <w:r>
        <w:t>Simulationsmodellierung auf englischen Routinedaten projiziert die Nachfrage nach psychosozialer Unterstützung, Gemeindegesundheit und Sozialhilfe für Menschen ≥50 Jahren mit Frailty bis 2040.</w:t>
      </w:r>
    </w:p>
    <w:p>
      <w:r>
        <w:rPr>
          <w:b/>
        </w:rPr>
        <w:t xml:space="preserve">Ergebnis: </w:t>
      </w:r>
      <w:r>
        <w:t>Mentale Gesundheit, Gemeindegesundheit und kommunale Sozialhilfe werden bis 2040 um 16 %, 30 % bzw. 30 % zunehmen. Senkung der Frailty-Inzidenz könnte zwischen 2025 und 2040 mentale Gesundheitskontakte um 1,4 Mio., Gemeindegesundheitskontakte um 10 Mio. und Sozialhilfefallanfragen um 400.000 reduzieren. Nachfrage wird trotz Prävention weiter wachsen, da bereits viele Menschen mit milder bis moderater Frailty leben.</w:t>
      </w:r>
    </w:p>
    <w:p>
      <w:r>
        <w:rPr>
          <w:b/>
          <w:sz w:val="19"/>
        </w:rPr>
        <w:t xml:space="preserve">Übertragbarkeit: </w:t>
      </w:r>
      <w:r>
        <w:rPr>
          <w:sz w:val="19"/>
        </w:rPr>
        <w:t>Englische NHS-Daten, die Ergebnisse sind für deutsches Gesundheitswesen gut übertragbar bezüglich Versorgungsplanung älter werdender Bevölkerung.</w:t>
      </w:r>
    </w:p>
    <w:p>
      <w:r>
        <w:rPr>
          <w:color w:val="5A7D3A"/>
          <w:sz w:val="18"/>
        </w:rPr>
        <w:t>https://pubmed.ncbi.nlm.nih.gov/42632917/</w:t>
      </w:r>
    </w:p>
    <w:p>
      <w:pPr>
        <w:pStyle w:val="Heading2"/>
      </w:pPr>
      <w:r>
        <w:t>Temporäre Mitarbeitende in der schwedischen Altenhilfe erschweren Kontinuität und belasten Stammpersonal: qualitative Managerstudie</w:t>
      </w:r>
    </w:p>
    <w:p>
      <w:r>
        <w:rPr>
          <w:i/>
          <w:color w:val="666666"/>
          <w:sz w:val="18"/>
        </w:rPr>
        <w:t>Lindmark T et al.  ·  BMC Health Serv Res  ·  29.07.2026  ·  PMID 42527915</w:t>
      </w:r>
    </w:p>
    <w:p>
      <w:r>
        <w:t>16 qualitative Interviews mit Managern auf vier Ebenen der schwedischen Altenhilfe (Heime, Ambulante Dienste, Administration) zu Chancen und Herausforderungen temporärer Beschäftigung.</w:t>
      </w:r>
    </w:p>
    <w:p>
      <w:r>
        <w:rPr>
          <w:b/>
        </w:rPr>
        <w:t xml:space="preserve">Ergebnis: </w:t>
      </w:r>
      <w:r>
        <w:t>Drei Themen: Balance zwischen Personaldeckung und Improvisation, Mangel an lokaler Kontrollierbarkeit der Rekrutierung, Spannung zwischen Flexibilität und Stabilität. Temporäre Mitarbeitende decken Lücken, erhöhen aber die Last auf Stammpersonal und erschweren Kontinuität. Erste-Linie-Manager fokussieren auf Tagesdeckung und Mitarbeiterschutz, höhere Manager auf Langzeitplanung. Zentrale Personalentscheidungen bevorzugen kurzfristige Deckung über Stabilität.</w:t>
      </w:r>
    </w:p>
    <w:p>
      <w:r>
        <w:rPr>
          <w:b/>
          <w:sz w:val="19"/>
        </w:rPr>
        <w:t xml:space="preserve">Übertragbarkeit: </w:t>
      </w:r>
      <w:r>
        <w:rPr>
          <w:sz w:val="19"/>
        </w:rPr>
        <w:t>Schweden, nordisches Sozialsystem mit öffentlicher Altenhilfe – Befunde zu Personalmanagement übertragbar auf Deutschland.</w:t>
      </w:r>
    </w:p>
    <w:p>
      <w:r>
        <w:rPr>
          <w:color w:val="5A7D3A"/>
          <w:sz w:val="18"/>
        </w:rPr>
        <w:t>https://pubmed.ncbi.nlm.nih.gov/42527915/</w:t>
      </w:r>
    </w:p>
    <w:p>
      <w:pPr>
        <w:pStyle w:val="Heading1"/>
      </w:pPr>
      <w:r>
        <w:t>Aufgenommen am 23.08.2026</w:t>
      </w:r>
    </w:p>
    <w:p>
      <w:pPr>
        <w:pStyle w:val="Heading2"/>
      </w:pPr>
      <w:r>
        <w:t>Psychosoziale und wirtschaftliche Faktoren gesunden Alterns in Europa: systematische Übersicht mit Syntheserahmen</w:t>
      </w:r>
    </w:p>
    <w:p>
      <w:r>
        <w:rPr>
          <w:i/>
          <w:color w:val="666666"/>
          <w:sz w:val="18"/>
        </w:rPr>
        <w:t>Wypych-Ślusarska A et al.  ·  Front Public Health  ·  06.08.2026  ·  PMID 42625570</w:t>
      </w:r>
    </w:p>
    <w:p>
      <w:r>
        <w:t>Systematische Übersicht europäischer Studien (2019-2024) zur Evidenz für psychosoziale und sozioökonomische Determinanten gesunden Alterns bei Älteren ≥65 Jahren in Europa.</w:t>
      </w:r>
    </w:p>
    <w:p>
      <w:r>
        <w:rPr>
          <w:b/>
        </w:rPr>
        <w:t xml:space="preserve">Ergebnis: </w:t>
      </w:r>
      <w:r>
        <w:t>Konsistente Evidenz für Schutzfunktion von sozialen Netzen, sozialer Integration und verminderter Einsamkeit für Gesundheit, Wohlbefinden und kognitive Funktionsfähigkeit. Autonomie und Unabhängigkeit traten als zentrale Elemente positiven Alterns hervor, ebenso Engagement in sozialen, physischen und beruflichen Aktivitäten. Literatur unterstreicht Bedarf für Public-Health-Politiken und Gemeindeumgebungen, die positives Altern durch integrierte physische, psychosoziale und soziale Strategien unterstützen. Die beiden übergeordneten Themenbereiche: psychosoziale und wirtschaftliche Determinanten, und soziale Programme/gemeindegestützte Interventionen.</w:t>
      </w:r>
    </w:p>
    <w:p>
      <w:r>
        <w:rPr>
          <w:b/>
          <w:sz w:val="19"/>
        </w:rPr>
        <w:t xml:space="preserve">Übertragbarkeit: </w:t>
      </w:r>
      <w:r>
        <w:rPr>
          <w:sz w:val="19"/>
        </w:rPr>
        <w:t>Europäische Studienbasis einschließlich Deutschland, vergleichbare Sozialversicherungssysteme</w:t>
      </w:r>
    </w:p>
    <w:p>
      <w:r>
        <w:rPr>
          <w:color w:val="5A7D3A"/>
          <w:sz w:val="18"/>
        </w:rPr>
        <w:t>https://pubmed.ncbi.nlm.nih.gov/42625570/</w:t>
      </w:r>
    </w:p>
    <w:p>
      <w:pPr>
        <w:pStyle w:val="Heading1"/>
      </w:pPr>
      <w:r>
        <w:t>Aufgenommen am 22.08.2026</w:t>
      </w:r>
    </w:p>
    <w:p>
      <w:pPr>
        <w:pStyle w:val="Heading2"/>
      </w:pPr>
      <w:r>
        <w:t>Körperliches Training reduziert kognitive Gebrechlichkeit zu 35 % über Stärkung der Selbstwirksamkeit</w:t>
      </w:r>
    </w:p>
    <w:p>
      <w:r>
        <w:rPr>
          <w:i/>
          <w:color w:val="666666"/>
          <w:sz w:val="18"/>
        </w:rPr>
        <w:t>Liang D et al.  ·  Front Public Health  ·  06.08.2026  ·  PMID 42625706</w:t>
      </w:r>
    </w:p>
    <w:p>
      <w:r>
        <w:t>Querschnittbefragung von 563 Gemeindemitbewohnern (≥60 J.) in Henan, China zu Zusammenhang zwischen körperlichem Training, Selbstwirksamkeit und kognitiver Gebrechlichkeit (Frailty + Kognition).</w:t>
      </w:r>
    </w:p>
    <w:p>
      <w:r>
        <w:rPr>
          <w:b/>
        </w:rPr>
        <w:t xml:space="preserve">Ergebnis: </w:t>
      </w:r>
      <w:r>
        <w:t>Prävalenz kognitive Gebrechlichkeit 21,3 %. Körperliches Training assoziiert mit weniger kognitiver Gebrechlichkeit; Selbstwirksamkeit mediiert 35,17 % dieses Effekts. Vollständiges Mediationsmodell unterstützt indirekten Weg über Selbstvertrauen.</w:t>
      </w:r>
    </w:p>
    <w:p>
      <w:r>
        <w:rPr>
          <w:b/>
          <w:sz w:val="19"/>
        </w:rPr>
        <w:t xml:space="preserve">Übertragbarkeit: </w:t>
      </w:r>
      <w:r>
        <w:rPr>
          <w:sz w:val="19"/>
        </w:rPr>
        <w:t>China-Studie mit großer Stichprobe, aber kulturelle und Gesundheitssystem-Unterschiede beachten – Mechanismus (Selbstwirksamkeit) transnational relevant.</w:t>
      </w:r>
    </w:p>
    <w:p>
      <w:r>
        <w:rPr>
          <w:color w:val="5A7D3A"/>
          <w:sz w:val="18"/>
        </w:rPr>
        <w:t>https://pubmed.ncbi.nlm.nih.gov/42625706/</w:t>
      </w:r>
    </w:p>
    <w:p>
      <w:pPr>
        <w:pStyle w:val="Heading2"/>
      </w:pPr>
      <w:r>
        <w:t>Loneliness and social isolation verringern die verbleibenden gesunden Lebensjahre deutlicher als physische Erkrankungen</w:t>
      </w:r>
    </w:p>
    <w:p>
      <w:r>
        <w:rPr>
          <w:i/>
          <w:color w:val="666666"/>
          <w:sz w:val="18"/>
        </w:rPr>
        <w:t>Wang X et al.  ·  Nat Commun  ·  20.08.2026  ·  PMID 42624836</w:t>
      </w:r>
    </w:p>
    <w:p>
      <w:r>
        <w:t>Querschnittanalyse von 277.489 britischen Erwachsenen ohne Erkrankungen zum Zusammenhang zwischen Einsamkeit, sozialer Isolation und der Lebensdauer frei von Krankheit.</w:t>
      </w:r>
    </w:p>
    <w:p>
      <w:r>
        <w:rPr>
          <w:b/>
        </w:rPr>
        <w:t xml:space="preserve">Ergebnis: </w:t>
      </w:r>
      <w:r>
        <w:t>Frauen mit Einsamkeit und sozialer Isolation verlieren 2,4 Jahre physisch krankheitsfrei und 3,7 Jahre mental krankheitsfrei; Männer verlieren 1,7 bzw. 5,8 Jahre. Soziale Isolation lässt sich durch gesunde Lebensstile teilweise ausgleichen (signifikant), nicht aber Einsamkeit.</w:t>
      </w:r>
    </w:p>
    <w:p>
      <w:r>
        <w:rPr>
          <w:b/>
          <w:sz w:val="19"/>
        </w:rPr>
        <w:t xml:space="preserve">Übertragbarkeit: </w:t>
      </w:r>
      <w:r>
        <w:rPr>
          <w:sz w:val="19"/>
        </w:rPr>
        <w:t>UK Biobank, vergleichbare Altersstruktur und Sozialversicherung; übertragbar auf deutsche Verhältnisse.</w:t>
      </w:r>
    </w:p>
    <w:p>
      <w:r>
        <w:rPr>
          <w:color w:val="5A7D3A"/>
          <w:sz w:val="18"/>
        </w:rPr>
        <w:t>https://pubmed.ncbi.nlm.nih.gov/42624836/</w:t>
      </w:r>
    </w:p>
    <w:p>
      <w:pPr>
        <w:pStyle w:val="Heading1"/>
      </w:pPr>
      <w:r>
        <w:t>Aufgenommen am 21.08.2026</w:t>
      </w:r>
    </w:p>
    <w:p>
      <w:pPr>
        <w:pStyle w:val="Heading2"/>
      </w:pPr>
      <w:r>
        <w:t>Heimgestützte multikomponenten Intervention bei Frailty und Prefrailty in älteren Krebsüberlebenden: Pilotuntersuchung</w:t>
      </w:r>
    </w:p>
    <w:p>
      <w:r>
        <w:rPr>
          <w:i/>
          <w:color w:val="666666"/>
          <w:sz w:val="18"/>
        </w:rPr>
        <w:t>Drevet S et al.  ·  Age Ageing  ·  03.08.2026  ·  PMID 42621847</w:t>
      </w:r>
    </w:p>
    <w:p>
      <w:r>
        <w:t>Quasi-experimentelle Vorher-Nachher-Studie (6 Monate) mit 110 Patienten ≥70 Jahren in Remission (Fried-Kriterien erfüllt). Intervention: betreute Übungen + Ernährungsunterstützung. Primärer Endpunkt: Anteil mit Frailty-/Prefrailty-Verbesserung von Baseline (M0) zu M6.</w:t>
      </w:r>
    </w:p>
    <w:p>
      <w:r>
        <w:rPr>
          <w:b/>
        </w:rPr>
        <w:t xml:space="preserve">Ergebnis: </w:t>
      </w:r>
      <w:r>
        <w:t>81 von 110 Teilnehmern vollendeten die Intervention. Baseline: 45% frail, 0% robust. Bei M6: 62% verbesserten ihren Frailty-Status; 78% der Frail zeigten Besserung, 51% der Prefrail wurden robust. Frailty-Schweregrad sank bei 74% der Teilnehmer. Vitamin-D zeigte Gruppen×Zeit-Interaktion; unterschiedliche Frailty-Trajektorien je nach Vitamin-D-Status. Funktionelle und physische Maße bei Baseline assoziiert mit Frailty (p&lt;0,05), nicht aber Tumor-Charakteristika.</w:t>
      </w:r>
    </w:p>
    <w:p>
      <w:r>
        <w:rPr>
          <w:b/>
          <w:sz w:val="19"/>
        </w:rPr>
        <w:t xml:space="preserve">Übertragbarkeit: </w:t>
      </w:r>
      <w:r>
        <w:rPr>
          <w:sz w:val="19"/>
        </w:rPr>
        <w:t>Frankreich, geriatrische Rehab in Praxis; multikomponenten Ansatz auch auf deutsches Versorgungssystem übertragbar</w:t>
      </w:r>
    </w:p>
    <w:p>
      <w:r>
        <w:rPr>
          <w:color w:val="5A7D3A"/>
          <w:sz w:val="18"/>
        </w:rPr>
        <w:t>https://pubmed.ncbi.nlm.nih.gov/42621847/</w:t>
      </w:r>
    </w:p>
    <w:p>
      <w:pPr>
        <w:pStyle w:val="Heading2"/>
      </w:pPr>
      <w:r>
        <w:t>Verankering älterer Menschen in globalen Klimaanpassungsplänen: Analyse von 204 Ländern</w:t>
      </w:r>
    </w:p>
    <w:p>
      <w:r>
        <w:rPr>
          <w:i/>
          <w:color w:val="666666"/>
          <w:sz w:val="18"/>
        </w:rPr>
        <w:t>Katz GM et al.  ·  Lancet Healthy Longev  ·  12.08.2026  ·  PMID 42586104</w:t>
      </w:r>
    </w:p>
    <w:p>
      <w:r>
        <w:t>Dokumentenanalyse von 204 Nationalstaaten zu Berücksichtigung älterer Menschen (≥65 Jahre) in Klimaanpassungsplänen. Identifiziert 16 Adaptationsthemen (Temperaturschutz, Partizipation, Katastrophenvorsorge, etc.) und deren Häufigkeit in nationalen Strategien.</w:t>
      </w:r>
    </w:p>
    <w:p>
      <w:r>
        <w:rPr>
          <w:b/>
        </w:rPr>
        <w:t xml:space="preserve">Ergebnis: </w:t>
      </w:r>
      <w:r>
        <w:t>125 Länder (61,3%) integrieren 1–5 Themen, 2 Länder (1,0%) sechs bis zehn, 1 Land (0,5%) ≥11 Themen, 77 Länder (37,7%) keine Themen. Häufigste Themen: extreme Hitze, Partizipation Älterer, Katastrophenprävention. Nur 47 Länder (23%) beschreiben konkrete Maßnahmen, Programme oder Finanzierungszusagen für ältere Menschen. Befund: erhebliche Lücken in der Berücksichtigung älterter Menschen in Klimapolitik.</w:t>
      </w:r>
    </w:p>
    <w:p>
      <w:r>
        <w:rPr>
          <w:b/>
          <w:sz w:val="19"/>
        </w:rPr>
        <w:t xml:space="preserve">Übertragbarkeit: </w:t>
      </w:r>
      <w:r>
        <w:rPr>
          <w:sz w:val="19"/>
        </w:rPr>
        <w:t>Globale Perspektive, Deutschland in Stichprobe enthalten, zeigt Governance-Gap bei Umwelt und Gerontologie</w:t>
      </w:r>
    </w:p>
    <w:p>
      <w:r>
        <w:rPr>
          <w:color w:val="5A7D3A"/>
          <w:sz w:val="18"/>
        </w:rPr>
        <w:t>https://pubmed.ncbi.nlm.nih.gov/42586104/</w:t>
      </w:r>
    </w:p>
    <w:p>
      <w:pPr>
        <w:pStyle w:val="Heading1"/>
      </w:pPr>
      <w:r>
        <w:t>Aufgenommen am 20.08.2026</w:t>
      </w:r>
    </w:p>
    <w:p>
      <w:pPr>
        <w:pStyle w:val="Heading2"/>
      </w:pPr>
      <w:r>
        <w:t>Konzept des gesunden Alterns in Norwegen: Qualitative Analyse von Perspektiven älterer Menschen, Fachkräfte und Entscheidungsträger</w:t>
      </w:r>
    </w:p>
    <w:p>
      <w:r>
        <w:rPr>
          <w:i/>
          <w:color w:val="666666"/>
          <w:sz w:val="18"/>
        </w:rPr>
        <w:t>Bikova M et al.  ·  BMC Health Serv Res  ·  14.08.2026  ·  PMID 42613606</w:t>
      </w:r>
    </w:p>
    <w:p>
      <w:r>
        <w:t>Qualitative Studie mit 23 semi-strukturierten Interviews (ältere Menschen, Fachkräfte, Entscheidungsträger) zur Interpretation des UN-Jahrzehnts des gesunden Alterns in einer norwegischen Kommune.</w:t>
      </w:r>
    </w:p>
    <w:p>
      <w:r>
        <w:rPr>
          <w:b/>
        </w:rPr>
        <w:t xml:space="preserve">Ergebnis: </w:t>
      </w:r>
      <w:r>
        <w:t>Drei zentrale Themen: Strategien zur Bewältigung, gemischte Alterswahrnehmungen, Gesundheitsdienste. Ergebnis: Altern wird als kollektive Verantwortung betont, aber zunehmend Älteren selbst übertragen; Digitalisierung ist Barriere für vulnerable Gruppen; kommunale Dienste werden als qualitativ hochwertig, aber ressourcengeprägt wahrgenommen. Schnelle Digitalisierung und Individualisierung verschärfen Ungleichheiten.</w:t>
      </w:r>
    </w:p>
    <w:p>
      <w:r>
        <w:rPr>
          <w:b/>
          <w:sz w:val="19"/>
        </w:rPr>
        <w:t xml:space="preserve">Übertragbarkeit: </w:t>
      </w:r>
      <w:r>
        <w:rPr>
          <w:sz w:val="19"/>
        </w:rPr>
        <w:t>Norwegen, skandinavisches Wohlfahrtssystem; Befunde zu Digitalisierungsbarrieren und Equity-Risiken übertragbar auf vergleichbare europäische Kontexte.</w:t>
      </w:r>
    </w:p>
    <w:p>
      <w:r>
        <w:rPr>
          <w:color w:val="5A7D3A"/>
          <w:sz w:val="18"/>
        </w:rPr>
        <w:t>https://pubmed.ncbi.nlm.nih.gov/42613606/</w:t>
      </w:r>
    </w:p>
    <w:p>
      <w:pPr>
        <w:pStyle w:val="Heading2"/>
      </w:pPr>
      <w:r>
        <w:t>Funktionale Performance im WHO-ICOPE-Rahmen: Brasilien und Europa zeigen zehn Jahre Unterschied in Funktionsverlust</w:t>
      </w:r>
    </w:p>
    <w:p>
      <w:r>
        <w:rPr>
          <w:i/>
          <w:color w:val="666666"/>
          <w:sz w:val="18"/>
        </w:rPr>
        <w:t>Oliveira VR et al.  ·  PLoS One  ·  05.08.2026  ·  PMID 42555548</w:t>
      </w:r>
    </w:p>
    <w:p>
      <w:r>
        <w:t>Vergleich von Determinanten der Funktionsfähigkeit (BADL/IADL) anhand von ELSI-Brasil (n=4825) und SHARE (n=25978) mit Analyse intrinsischer Kapazitätsdimensionen nach WHO-ICOPE-Modell.</w:t>
      </w:r>
    </w:p>
    <w:p>
      <w:r>
        <w:rPr>
          <w:b/>
        </w:rPr>
        <w:t xml:space="preserve">Ergebnis: </w:t>
      </w:r>
      <w:r>
        <w:t>Funktioneller Rückgang beginnt in Brasilien eine Dekade früher als in Europa. Risikomuster differieren: Mobilität–Handkraft schützender in Europa, Gehgeschwindigkeit Risikofaktor nur in Brasilien (OR 1,16); Depression höheres Risiko in Europa (OR 1,67–1,71) vs. Brasilien (OR 1,26–1,53); schlechte Selbsteinschätzung der Gesundheit stärkerer BADL-Risikofaktor in Brasilien (OR 2,72 vs. 2,07).</w:t>
      </w:r>
    </w:p>
    <w:p>
      <w:r>
        <w:rPr>
          <w:b/>
          <w:sz w:val="19"/>
        </w:rPr>
        <w:t xml:space="preserve">Übertragbarkeit: </w:t>
      </w:r>
      <w:r>
        <w:rPr>
          <w:sz w:val="19"/>
        </w:rPr>
        <w:t>Brasilien und Europa (SHARE), unterschiedliche Sozioökonomie; Befund zeigt kontextabhängige Risikofaktoren; ICOPE-Strategien müssen sozioökonomischen Unterschieden Rechnung tragen.</w:t>
      </w:r>
    </w:p>
    <w:p>
      <w:r>
        <w:rPr>
          <w:color w:val="5A7D3A"/>
          <w:sz w:val="18"/>
        </w:rPr>
        <w:t>https://pubmed.ncbi.nlm.nih.gov/42555548/</w:t>
      </w:r>
    </w:p>
    <w:p>
      <w:pPr>
        <w:pStyle w:val="Heading1"/>
      </w:pPr>
      <w:r>
        <w:t>Aufgenommen am 19.08.2026</w:t>
      </w:r>
    </w:p>
    <w:p>
      <w:pPr>
        <w:pStyle w:val="Heading2"/>
      </w:pPr>
      <w:r>
        <w:t>Frailty und kognitive Beeinträchtigung: Prospektive Assoziationen in fünf multinationalen Kohorten mit gepoolten Hazard Ratios</w:t>
      </w:r>
    </w:p>
    <w:p>
      <w:r>
        <w:rPr>
          <w:i/>
          <w:color w:val="666666"/>
          <w:sz w:val="18"/>
        </w:rPr>
        <w:t>Peng L et al.  ·  BMC Public Health  ·  25.07.2026  ·  PMID 42595986</w:t>
      </w:r>
    </w:p>
    <w:p>
      <w:r>
        <w:t>Länderübergreifende Metaanalyse von fünf Longitudinal-Kohorten (USA, England, Europa, China, Korea) mit insgesamt 47429 Teilnehmern zur Assoziation zwischen Baseline-Frailty-Status und kognitiver Beeinträchtigung sowie Frailty-Trajektorien und kognitiven Outcomes über 4–10 Jahre.</w:t>
      </w:r>
    </w:p>
    <w:p>
      <w:r>
        <w:rPr>
          <w:b/>
        </w:rPr>
        <w:t xml:space="preserve">Ergebnis: </w:t>
      </w:r>
      <w:r>
        <w:t>Pre-Frailty: gepoolte adjustierte HR 1,25 (95% CI 1,18–1,33) für kognitive Beeinträchtigung; Frailty: HR 1,69 (95% CI 1,50–1,90). Frailty-Trajektorien waren signifikant mit kognitiven Outcomes assoziiert (höhere Trajektorie: OR 1,45–4,37 für kognitive Beeinträchtigung; niedrigere: OR 0,46–0,72 protektiv). Befunde konsistent über alle Kohorten.</w:t>
      </w:r>
    </w:p>
    <w:p>
      <w:r>
        <w:rPr>
          <w:b/>
          <w:sz w:val="19"/>
        </w:rPr>
        <w:t xml:space="preserve">Übertragbarkeit: </w:t>
      </w:r>
      <w:r>
        <w:rPr>
          <w:sz w:val="19"/>
        </w:rPr>
        <w:t>HRS, ELSA, SHARE, CHARLS, KLoSA – europäische und non-europäische Daten, jedoch nur weil robust repliziert</w:t>
      </w:r>
    </w:p>
    <w:p>
      <w:r>
        <w:rPr>
          <w:color w:val="5A7D3A"/>
          <w:sz w:val="18"/>
        </w:rPr>
        <w:t>https://pubmed.ncbi.nlm.nih.gov/42595986/</w:t>
      </w:r>
    </w:p>
    <w:p>
      <w:pPr>
        <w:pStyle w:val="Heading2"/>
      </w:pPr>
      <w:r>
        <w:t>Akutgeriatrische Versorgungsmodelle in Dänemark: Nationale Bestandsaufnahme und Variabilität der Assessment-Praktiken</w:t>
      </w:r>
    </w:p>
    <w:p>
      <w:r>
        <w:rPr>
          <w:i/>
          <w:color w:val="666666"/>
          <w:sz w:val="18"/>
        </w:rPr>
        <w:t>Brockhattingen KK et al.  ·  Dan Med J  ·  02.07.2026  ·  PMID 42563704</w:t>
      </w:r>
    </w:p>
    <w:p>
      <w:r>
        <w:t>Nationale Querschnittsbefragung aller 20 Krankenhaus-Geriatriestationen in Dänemark zur Struktur, Teamzusammensetzung und Assessment-Funktionen in akutgeriatrischen Modellen für Patienten ≥65 Jahre mit akuter medizinischer Erkrankung.</w:t>
      </w:r>
    </w:p>
    <w:p>
      <w:r>
        <w:rPr>
          <w:b/>
        </w:rPr>
        <w:t xml:space="preserve">Ergebnis: </w:t>
      </w:r>
      <w:r>
        <w:t>Zwölf von 20 Stationen (60%) melden aktive akutgeriatrische Funktionen. Alle 12 führen diagnostische Bewertung, patientenzentrierte Evaluation und Basis-Assessments durch. Andere Elemente variabel: EKG (n=4–10/12), Ultraschall, Frailty-Assessment, interdisziplinäre Review, Koordination mit Community-Care (4–10/12). Erkenntnis: Große Variation in Struktur und Inhalten trotz Flächendeckung.</w:t>
      </w:r>
    </w:p>
    <w:p>
      <w:r>
        <w:rPr>
          <w:b/>
          <w:sz w:val="19"/>
        </w:rPr>
        <w:t xml:space="preserve">Übertragbarkeit: </w:t>
      </w:r>
      <w:r>
        <w:rPr>
          <w:sz w:val="19"/>
        </w:rPr>
        <w:t>Dänemark, europäisches Gesundheitssystem, vergleichbar mit deutschem Modell</w:t>
      </w:r>
    </w:p>
    <w:p>
      <w:r>
        <w:rPr>
          <w:color w:val="5A7D3A"/>
          <w:sz w:val="18"/>
        </w:rPr>
        <w:t>https://pubmed.ncbi.nlm.nih.gov/42563704/</w:t>
      </w:r>
    </w:p>
    <w:p>
      <w:pPr>
        <w:pStyle w:val="Heading1"/>
      </w:pPr>
      <w:r>
        <w:t>Aufgenommen am 18.08.2026</w:t>
      </w:r>
    </w:p>
    <w:p>
      <w:pPr>
        <w:pStyle w:val="Heading2"/>
      </w:pPr>
      <w:r>
        <w:t>Frailty-Verteilung und Sterblichkeit in Europa: Ländervergleich zeigt höchste Last in USA und Südosteuropa</w:t>
      </w:r>
    </w:p>
    <w:p>
      <w:r>
        <w:rPr>
          <w:i/>
          <w:color w:val="666666"/>
          <w:sz w:val="18"/>
        </w:rPr>
        <w:t>Drijver-Headley S et al.  ·  Age Ageing  ·  03.08.2026  ·  PMID 42607277</w:t>
      </w:r>
    </w:p>
    <w:p>
      <w:r>
        <w:t>Vergleichende Analyse von Frailty-Indizes, Sterblichkeit und Frailty-Progression in 17 Ländern mit unterschiedlichen Gesundheitssystemen.</w:t>
      </w:r>
    </w:p>
    <w:p>
      <w:r>
        <w:rPr>
          <w:b/>
        </w:rPr>
        <w:t xml:space="preserve">Ergebnis: </w:t>
      </w:r>
      <w:r>
        <w:t>In der USA, Mexiko und Südosteuropa war Gebrechlichkeit am höchsten, in Nord- und Zentraleuropa am niedrigsten; Sterblichkeit und Defizitakkumulation differierten erheblich zwischen Ländern, mit höchsten Werten in Mexiko. Meta-analytische Methoden zeigen, dass Frailty-Unterschiede zwischen Ländern wesentlich mit lokalen Einkommens- und Versorgungsstrukturen assoziiert sind.</w:t>
      </w:r>
    </w:p>
    <w:p>
      <w:r>
        <w:rPr>
          <w:b/>
          <w:sz w:val="19"/>
        </w:rPr>
        <w:t xml:space="preserve">Übertragbarkeit: </w:t>
      </w:r>
      <w:r>
        <w:rPr>
          <w:sz w:val="19"/>
        </w:rPr>
        <w:t>SHARE und ELSA (Europa) direkt vergleichbar; USA/Mexiko zeigen Effekte unterschiedlicher Finanzierung und sozialer Ungleichheit.</w:t>
      </w:r>
    </w:p>
    <w:p>
      <w:r>
        <w:rPr>
          <w:color w:val="5A7D3A"/>
          <w:sz w:val="18"/>
        </w:rPr>
        <w:t>https://pubmed.ncbi.nlm.nih.gov/42607277/</w:t>
      </w:r>
    </w:p>
    <w:p>
      <w:pPr>
        <w:pStyle w:val="Heading2"/>
      </w:pPr>
      <w:r>
        <w:t>Funktionelles Altern und Vermögensungleichheit: England und Kanada zeigen unterschiedliche Ungleichheitsgradienten</w:t>
      </w:r>
    </w:p>
    <w:p>
      <w:r>
        <w:rPr>
          <w:i/>
          <w:color w:val="666666"/>
          <w:sz w:val="18"/>
        </w:rPr>
        <w:t>Schrempft S et al.  ·  PLoS Med  ·  13.08.2026  ·  PMID 42594078</w:t>
      </w:r>
    </w:p>
    <w:p>
      <w:r>
        <w:t>Längsschnittstudie der Assoziation zwischen Vermögen und körperlicher Funktionsfähigkeit (Ganggeschwindigkeit, Griffstärke, Mobilitätseinschränkungen, ADL/IADL) in England und Kanada über 10 Jahre.</w:t>
      </w:r>
    </w:p>
    <w:p>
      <w:r>
        <w:rPr>
          <w:b/>
        </w:rPr>
        <w:t xml:space="preserve">Ergebnis: </w:t>
      </w:r>
      <w:r>
        <w:t>Bei weniger Vermögen: 15 Jahre Funktionsverlust bei Ganggeschwindigkeit in England vs. 9 Jahre in Kanada; 20 Jahre Funktionsverlust bei ADL-Schwierigkeiten in England vs. 9 Jahre in Kanada. Vermögensungleichheiten in der Funktionsfähigkeit waren größer in England trotz ähnlicher Gesundheitssysteme, bleiben nach Anpassung für Komorbiditäten bestehen.</w:t>
      </w:r>
    </w:p>
    <w:p>
      <w:r>
        <w:rPr>
          <w:b/>
          <w:sz w:val="19"/>
        </w:rPr>
        <w:t xml:space="preserve">Übertragbarkeit: </w:t>
      </w:r>
      <w:r>
        <w:rPr>
          <w:sz w:val="19"/>
        </w:rPr>
        <w:t>England und Kanada – beide gemäßigte Einkommen und ähnliche Sozialversicherung; Unterschied verdeutlicht Bedeutung von Vermögen neben Systemfinanzierung.</w:t>
      </w:r>
    </w:p>
    <w:p>
      <w:r>
        <w:rPr>
          <w:color w:val="5A7D3A"/>
          <w:sz w:val="18"/>
        </w:rPr>
        <w:t>https://pubmed.ncbi.nlm.nih.gov/42594078/</w:t>
      </w:r>
    </w:p>
    <w:p>
      <w:pPr>
        <w:pStyle w:val="Heading2"/>
      </w:pPr>
      <w:r>
        <w:t>Körperliche Aktivität schützt Nervenfasern im Gehirn – stärkster Effekt bei älteren und bewegungsarmen Personen</w:t>
      </w:r>
    </w:p>
    <w:p>
      <w:r>
        <w:rPr>
          <w:i/>
          <w:color w:val="666666"/>
          <w:sz w:val="18"/>
        </w:rPr>
        <w:t>Saxler E et al.  ·  Aging Cell  ·  Aug. 2026  ·  PMID 42568043</w:t>
      </w:r>
    </w:p>
    <w:p>
      <w:r>
        <w:t>Querschnittsstudie von 4.188 Teilnehmern (mittleres Alter 55,4 Jahre) der Rhineland-Studie zur Assoziation zwischen Beschleunigungsmesser-gemessener körperlicher Aktivität und Mikrostruktur weißer Substanz (Diffusions-MRT) mit Vermittlung durch Körpergewicht und kardiometabolische Faktoren.</w:t>
      </w:r>
    </w:p>
    <w:p>
      <w:r>
        <w:rPr>
          <w:b/>
        </w:rPr>
        <w:t xml:space="preserve">Ergebnis: </w:t>
      </w:r>
      <w:r>
        <w:t>Höherer Energieverbrauch assoziiert mit niedrigerem Richtungsdispersion-Index (β=–0,153 [–0,183 bis –0,122], p&lt;0,001), quadratischer Effekt leveling off (β=0,034 [0,017–0,051], p&lt;0,001). Mit zunehmendem Alter: körperliche Aktivität stärker mit höherer Neuritendichte und niedriger mittlerer Diffusivität assoziiert; Effekt am größten bei älteren und sedentären Personen, vermittelt durch Körpergewicht, kardiometabolische und entzündliche Faktoren.</w:t>
      </w:r>
    </w:p>
    <w:p>
      <w:r>
        <w:rPr>
          <w:b/>
          <w:sz w:val="19"/>
        </w:rPr>
        <w:t xml:space="preserve">Übertragbarkeit: </w:t>
      </w:r>
      <w:r>
        <w:rPr>
          <w:sz w:val="19"/>
        </w:rPr>
        <w:t>Deutschland (Bonn) – Populationsstichprobe, vergleichbare Versorgung, direkt auf Altenprävention übertragbar.</w:t>
      </w:r>
    </w:p>
    <w:p>
      <w:r>
        <w:rPr>
          <w:color w:val="5A7D3A"/>
          <w:sz w:val="18"/>
        </w:rPr>
        <w:t>https://pubmed.ncbi.nlm.nih.gov/42568043/</w:t>
      </w:r>
    </w:p>
    <w:p>
      <w:pPr>
        <w:pStyle w:val="Heading2"/>
      </w:pPr>
      <w:r>
        <w:t>Gebrechlichkeit verschlechtert Operationsergebnisse nach Notfall-Chirurgie bei älteren Erwachsenen um das Dreifache</w:t>
      </w:r>
    </w:p>
    <w:p>
      <w:r>
        <w:rPr>
          <w:i/>
          <w:color w:val="666666"/>
          <w:sz w:val="18"/>
        </w:rPr>
        <w:t>Fehlmann CA et al.  ·  Swiss Med Wkly  ·  26.06.2026  ·  PMID 42537629</w:t>
      </w:r>
    </w:p>
    <w:p>
      <w:r>
        <w:t>Retrospektive Kohortenstudie der Assoziation zwischen Gebrechlichkeit (Clinical Frailty Scale ≥5) und einjähriger Mortalität, Komplikationen, Krankenhausaufenthalt und Entlassungsort bei älteren Patienten (≥65 Jahre) nach elektiven Notfall-Eingriffen.</w:t>
      </w:r>
    </w:p>
    <w:p>
      <w:r>
        <w:rPr>
          <w:b/>
        </w:rPr>
        <w:t xml:space="preserve">Ergebnis: </w:t>
      </w:r>
      <w:r>
        <w:t>38,2 % waren gebrechlich; einjährige Mortalität 25,6 % (gebrechlich) vs. 6,6 % (nicht gebrechlich), adjustierte OR 3,0 [95%-KI 1,7–5,1]; Komplikationen OR 2,3 [1,5–3,6]; Krankenhausaufenthalt +46,4 % [26,8–69,0 %]; Entlassung nicht nach Hause OR 2,1 [1,4–3,2]. Frailty ist ein starker unabhängiger Risikofaktor für schlechte Ergebnisse.</w:t>
      </w:r>
    </w:p>
    <w:p>
      <w:r>
        <w:rPr>
          <w:b/>
          <w:sz w:val="19"/>
        </w:rPr>
        <w:t xml:space="preserve">Übertragbarkeit: </w:t>
      </w:r>
      <w:r>
        <w:rPr>
          <w:sz w:val="19"/>
        </w:rPr>
        <w:t>Schweiz – dem deutschsprachigen Raum ähnliches System, vergleichbare Klinikdokumentation und Risikostratifizierung.</w:t>
      </w:r>
    </w:p>
    <w:p>
      <w:r>
        <w:rPr>
          <w:color w:val="5A7D3A"/>
          <w:sz w:val="18"/>
        </w:rPr>
        <w:t>https://pubmed.ncbi.nlm.nih.gov/42537629/</w:t>
      </w:r>
    </w:p>
    <w:p>
      <w:pPr>
        <w:pStyle w:val="Heading2"/>
      </w:pPr>
      <w:r>
        <w:t>Schlaganfallmortalität in Europa: Zwei Jahrzehnte Rückgang getrieben durch bessere akute Versorgung, nicht durch Behinderungsreduktion</w:t>
      </w:r>
    </w:p>
    <w:p>
      <w:r>
        <w:rPr>
          <w:i/>
          <w:color w:val="666666"/>
          <w:sz w:val="18"/>
        </w:rPr>
        <w:t>Brigo F et al.  ·  Eur Stroke J  ·  06.07.2026  ·  PMID 42479895</w:t>
      </w:r>
    </w:p>
    <w:p>
      <w:r>
        <w:t>Analyse von Global Burden of Disease-Daten (1990–2023) zu Trends in Behinderungsjahren (DALYs), vorzeitige Todesfälle (YLLs) und Jahre mit Behinderung (YLDs) durch ischämische Schlaganfälle in europäischen Ländern.</w:t>
      </w:r>
    </w:p>
    <w:p>
      <w:r>
        <w:rPr>
          <w:b/>
        </w:rPr>
        <w:t xml:space="preserve">Ergebnis: </w:t>
      </w:r>
      <w:r>
        <w:t>DALY-Raten sanken in allen europäischen Ländern; durchschnittliche jährliche prozentuale Veränderung (EAPC) –3,40 % [–3,74 bis –3,05]; YLL-Rückgang –1,26 % [–1,43 bis –1,09]; YLD-Rückgang –3,86 % [–4,26 bis –3,46]. Rückgang der vorzeitigen Mortalität war Haupttreiber; YLD-Fortschritt blieb heterogen und geringer, regionale Unterschiede in Zentral-/Westeuropa vs. Ost-/Südosteuropa.</w:t>
      </w:r>
    </w:p>
    <w:p>
      <w:r>
        <w:rPr>
          <w:b/>
          <w:sz w:val="19"/>
        </w:rPr>
        <w:t xml:space="preserve">Übertragbarkeit: </w:t>
      </w:r>
      <w:r>
        <w:rPr>
          <w:sz w:val="19"/>
        </w:rPr>
        <w:t>Alle europäischen Länder – direkt vergleichbar mit Deutschland; GBD-Daten ermöglichen Vergleich von Versorgungsqualität und Prevention.</w:t>
      </w:r>
    </w:p>
    <w:p>
      <w:r>
        <w:rPr>
          <w:color w:val="5A7D3A"/>
          <w:sz w:val="18"/>
        </w:rPr>
        <w:t>https://pubmed.ncbi.nlm.nih.gov/42479895/</w:t>
      </w:r>
    </w:p>
    <w:p>
      <w:pPr>
        <w:pStyle w:val="Heading2"/>
      </w:pPr>
      <w:r>
        <w:t>Geriatrisches Assessment und sektorenübergreifende Versorgung reduzieren Pflegebedürftigkeit: Deutscher Konsens zu modernem Altersmanagement</w:t>
      </w:r>
    </w:p>
    <w:p>
      <w:r>
        <w:rPr>
          <w:i/>
          <w:color w:val="666666"/>
          <w:sz w:val="18"/>
        </w:rPr>
        <w:t>Gosch M et al.  ·  Z Gerontol Geriatr  ·  21.07.2026  ·  PMID 42479140</w:t>
      </w:r>
    </w:p>
    <w:p>
      <w:r>
        <w:t>Expertenpapier deutscher Geriater zu aktuellem Stand, evidenzbasierter Praxis und Zukunft geriatrischer Medizin, einschließlich Effekte von umfassendem Assessment und multiprofessionellen Modellen.</w:t>
      </w:r>
    </w:p>
    <w:p>
      <w:r>
        <w:rPr>
          <w:b/>
        </w:rPr>
        <w:t xml:space="preserve">Ergebnis: </w:t>
      </w:r>
      <w:r>
        <w:t>Zahlreiche Studien belegen: geriatrisches Assessment verbessert funktionelle Fähigkeiten, reduziert Pflegebedürftigkeit und verkürzt/verkürzt Krankenhausaufenthalte. Defizite bestehen in flächendeckender Versorgung, Finanzierung, Fachkräftemangel und Integration in andere Fachgebiete.</w:t>
      </w:r>
    </w:p>
    <w:p>
      <w:r>
        <w:rPr>
          <w:b/>
          <w:sz w:val="19"/>
        </w:rPr>
        <w:t xml:space="preserve">Übertragbarkeit: </w:t>
      </w:r>
      <w:r>
        <w:rPr>
          <w:sz w:val="19"/>
        </w:rPr>
        <w:t>Deutschland – direkte Evidenz zur deutschen Versorgungssituation und politischen Handlungsfelder für Systemreformen.</w:t>
      </w:r>
    </w:p>
    <w:p>
      <w:r>
        <w:rPr>
          <w:color w:val="5A7D3A"/>
          <w:sz w:val="18"/>
        </w:rPr>
        <w:t>https://pubmed.ncbi.nlm.nih.gov/42479140/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Gesundes Altern und Longevity</dc:title>
  <dc:subject/>
  <dc:creator>Monitor Versorgungsforschung</dc:creator>
  <cp:keywords/>
  <dc:description>generated by python-docx</dc:description>
  <cp:lastModifiedBy/>
  <cp:revision>1</cp:revision>
  <dcterms:created xsi:type="dcterms:W3CDTF">2026-09-15T06:00:00Z</dcterms:created>
  <dcterms:modified xsi:type="dcterms:W3CDTF">2026-09-15T06:00:00Z</dcterms:modified>
  <cp:category/>
</cp:coreProperties>
</file>