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01.09.2026  |  7 Studien  |  longevity.m-vf.de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Geriatrisches Assessment vor Gefäßinterventionen senkt perioperative Risiken bei älteren Patienten</w:t>
      </w:r>
    </w:p>
    <w:p>
      <w:r>
        <w:rPr>
          <w:i/>
          <w:color w:val="666666"/>
          <w:sz w:val="18"/>
        </w:rPr>
        <w:t>Kolb G et al.  ·  Vasa  ·  Sept. 2026  ·  PMID 42669422</w:t>
      </w:r>
    </w:p>
    <w:p>
      <w:r>
        <w:t>Positionspapier dreier Fachgesellschaften zur Notwendigkeit geriatrischer Assessments vor gefäßmedizinischen Eingriffen bei älteren Menschen, da Frailty die Outcomes nach Gefäßchirurgie und Interventionen bestimmt.</w:t>
      </w:r>
    </w:p>
    <w:p>
      <w:r>
        <w:rPr>
          <w:b/>
        </w:rPr>
        <w:t xml:space="preserve">Ergebnis: </w:t>
      </w:r>
      <w:r>
        <w:t>Frailty-Status bestimmt Komplikationen und Outcomes nach Gefäßinterventionen; geriatrisches Assessment wird zur Risikostratifizierung empfohlen, konkrete Zahlen zu Outcome-Verbesserungen durch das Positionspapier nicht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Stellungnahmen deutscher Fachgesellschaften, direkt relevant für Versorgungspraxis.</w:t>
      </w:r>
    </w:p>
    <w:p>
      <w:r>
        <w:rPr>
          <w:color w:val="5A7D3A"/>
          <w:sz w:val="18"/>
        </w:rPr>
        <w:t>https://pubmed.ncbi.nlm.nih.gov/42669422/</w:t>
      </w:r>
    </w:p>
    <w:p>
      <w:pPr>
        <w:pStyle w:val="Heading2"/>
      </w:pPr>
      <w:r>
        <w:t>Gesunde Ernährung verlangsamt epigenetisches Altern unabhängig von Ernährungsstil</w:t>
      </w:r>
    </w:p>
    <w:p>
      <w:r>
        <w:rPr>
          <w:i/>
          <w:color w:val="666666"/>
          <w:sz w:val="18"/>
        </w:rPr>
        <w:t>Tavares JF et al.  ·  Nat Commun  ·  29.08.2026  ·  PMID 42668319</w:t>
      </w:r>
    </w:p>
    <w:p>
      <w:r>
        <w:t>Zwei bevölkerungsbasierte Kohorten zeigten, dass Adhärenz zu gesunden Ernährungsmustern mit verlangsamtem epigenetischem Altern assoziiert ist, obwohl verschiedene Ernährungsstile unterschiedliche epigenetische Profile aufweisen.</w:t>
      </w:r>
    </w:p>
    <w:p>
      <w:r>
        <w:rPr>
          <w:b/>
        </w:rPr>
        <w:t xml:space="preserve">Ergebnis: </w:t>
      </w:r>
      <w:r>
        <w:t>Zehn verschiedene Ernährungsbewertungsindizes: minimale Überschneidung in der höchsten Adhärenz-Quartile, aber alle mit reduziertem epigenetischen Altern assoziiert; verschiedene Ernährungsstile konvergierten auf gleiche biologische Signalwege.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deutschsprachiger Raum: Rhineland-Studie, vergleichbare Populationsstruktur, externe Validierung mit EPIC-Potsdam.</w:t>
      </w:r>
    </w:p>
    <w:p>
      <w:r>
        <w:rPr>
          <w:color w:val="5A7D3A"/>
          <w:sz w:val="18"/>
        </w:rPr>
        <w:t>https://pubmed.ncbi.nlm.nih.gov/42668319/</w:t>
      </w:r>
    </w:p>
    <w:p>
      <w:pPr>
        <w:pStyle w:val="Heading2"/>
      </w:pPr>
      <w:r>
        <w:t>Arbeitsplatzgewalt verkürzt die Erwerbstätigkeit älterer Arbeitnehmer um bis zu sieben Monate</w:t>
      </w:r>
    </w:p>
    <w:p>
      <w:r>
        <w:rPr>
          <w:i/>
          <w:color w:val="666666"/>
          <w:sz w:val="18"/>
        </w:rPr>
        <w:t>Holmgren R et al.  ·  Scand J Work Environ Health  ·  01.09.2026  ·  PMID 42563557</w:t>
      </w:r>
    </w:p>
    <w:p>
      <w:r>
        <w:t>Prospektive schwedische Kohortenstudie mit multistate Markov-Modellen zur Assoziation von Mobbing und Gewalt am Arbeitsplatz mit der verbleibenden Erwerbstätigkeit von über 50-Jährigen.</w:t>
      </w:r>
    </w:p>
    <w:p>
      <w:r>
        <w:rPr>
          <w:b/>
        </w:rPr>
        <w:t xml:space="preserve">Ergebnis: </w:t>
      </w:r>
      <w:r>
        <w:t>Exposition gegenüber Arbeitsplatzgewalt/Drohungen verkürzte die Erwerbstätigkeit ab 50 Jahren um 0,56 Jahre (95%-KI: −1,02–−0,10); Mobbing zeigte ähnliche Effektgröße (−0,63 Jahre, 95%-KI: −1,39–0,14), war aber nicht statistisch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Sozialversicherungssystem, Längsschnitt-Follow-up 2008–2020.</w:t>
      </w:r>
    </w:p>
    <w:p>
      <w:r>
        <w:rPr>
          <w:color w:val="5A7D3A"/>
          <w:sz w:val="18"/>
        </w:rPr>
        <w:t>https://pubmed.ncbi.nlm.nih.gov/42563557/</w:t>
      </w:r>
    </w:p>
    <w:p>
      <w:pPr>
        <w:pStyle w:val="Heading2"/>
      </w:pPr>
      <w:r>
        <w:t>Frailty-Messung mit elektronischen Daten ist kontextabhängig und zeigt begrenzte Übertragbarkeit</w:t>
      </w:r>
    </w:p>
    <w:p>
      <w:r>
        <w:rPr>
          <w:i/>
          <w:color w:val="666666"/>
          <w:sz w:val="18"/>
        </w:rPr>
        <w:t>Cavanaugh R et al.  ·  J Gerontol A Biol Sci Med Sci  ·  04.08.2026  ·  PMID 42550179</w:t>
      </w:r>
    </w:p>
    <w:p>
      <w:r>
        <w:t>Internationale Vergleichsstudie zweier elektronischer Frailty-Indizes (VAFI, eFI) über fünf Datenbanken zeigte inkonsistente Frailty-Prävalenzen je nach Land und lokalen Kodierungsverhalten.</w:t>
      </w:r>
    </w:p>
    <w:p>
      <w:r>
        <w:rPr>
          <w:b/>
        </w:rPr>
        <w:t xml:space="preserve">Ergebnis: </w:t>
      </w:r>
      <w:r>
        <w:t>USA-Datenbanken: VAFI identifizierte höhere Frailty-Raten (All of Us: 10,3% vs. 2,5% eFI; Pharmetrics: 9,6% vs. 2%); UK-Datenbanken zeigten umgekehrtes Muster (eFI höher); FI-Messungen stark abhängig vom Entwicklungskontext und lokalen Kodierungsinzentiven.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UK: Warnung vor direkter Anwendung außerhalb des Entwicklungskontextes; deutsche Systeme benötigen eigene Validierung.</w:t>
      </w:r>
    </w:p>
    <w:p>
      <w:r>
        <w:rPr>
          <w:color w:val="5A7D3A"/>
          <w:sz w:val="18"/>
        </w:rPr>
        <w:t>https://pubmed.ncbi.nlm.nih.gov/42550179/</w:t>
      </w:r>
    </w:p>
    <w:p>
      <w:pPr>
        <w:pStyle w:val="Heading2"/>
      </w:pPr>
      <w:r>
        <w:t>Datenaustausch für Hirnalterungsforschung: Barrieren und Strategien in der Open Science</w:t>
      </w:r>
    </w:p>
    <w:p>
      <w:r>
        <w:rPr>
          <w:i/>
          <w:color w:val="666666"/>
          <w:sz w:val="18"/>
        </w:rPr>
        <w:t>Giehl K et al.  ·  Eur J Neurol  ·  Juli 2026  ·  PMID 42496021</w:t>
      </w:r>
    </w:p>
    <w:p>
      <w:r>
        <w:t>Übersichtsarbeit zu Hindernissen bei der Freigabe von Neuroimaging-Daten in der Alternsforschung und Vorschläge für vereinheitlichte rechtliche Rahmen, Standardisierung und akademische Anreize.</w:t>
      </w:r>
    </w:p>
    <w:p>
      <w:r>
        <w:rPr>
          <w:b/>
        </w:rPr>
        <w:t xml:space="preserve">Ergebnis: </w:t>
      </w:r>
      <w:r>
        <w:t>Barriers range from technical and infrastructural limitations to legal challenges; article advocates for unified GDPR-compliant frameworks, academic credit for data stewardship, and coordinated community effort to move toward open science in neurodegenerative disease research.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Europa: GDPR-Konformität, direkt auf EU-Systeme anwendbar, insbesondere Deutschland.</w:t>
      </w:r>
    </w:p>
    <w:p>
      <w:r>
        <w:rPr>
          <w:color w:val="5A7D3A"/>
          <w:sz w:val="18"/>
        </w:rPr>
        <w:t>https://pubmed.ncbi.nlm.nih.gov/42496021/</w:t>
      </w:r>
    </w:p>
    <w:p>
      <w:pPr>
        <w:pStyle w:val="Heading2"/>
      </w:pPr>
      <w:r>
        <w:t>Direkt wirkende Antivirale bei Hepatitis C verlängern Lebenserwartung um bis zu neun Jahre</w:t>
      </w:r>
    </w:p>
    <w:p>
      <w:r>
        <w:rPr>
          <w:i/>
          <w:color w:val="666666"/>
          <w:sz w:val="18"/>
        </w:rPr>
        <w:t>Etoori D et al.  ·  J Viral Hepat  ·  Aug. 2026  ·  PMID 42438144</w:t>
      </w:r>
    </w:p>
    <w:p>
      <w:r>
        <w:t>Englische Überwachungs- und Mortalitätsdaten zeigten, dass behandelte Hepatitis-C-Patienten eine um 8,5 bis 8,9 Jahre längere Lebenserwartung hatten, wobei dieser Vorsprung zwischen 2015–2018 und 2019–2022 abnahm.</w:t>
      </w:r>
    </w:p>
    <w:p>
      <w:r>
        <w:rPr>
          <w:b/>
        </w:rPr>
        <w:t xml:space="preserve">Ergebnis: </w:t>
      </w:r>
      <w:r>
        <w:t>Periode 2015–2018: behandelte Frauen +8,5 Jahre LE (95%-KI: 5,4–11,5), Männer +8,9 Jahre (95%-KI: 5,6–12,2); Periode 2019–2022: Frauen +6,7 Jahre (95%-KI: 3,3–10,2), Männer +5,3 Jahre (95%-KI: 3,0–7,6); Rückgang durch höhere Suizid-, Alkohol- und Drogentodesfälle in behandelter Population.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vergleichbare westliche Versorgungsstrukturen, nationale Überwachungsdaten mit Mortalitätslinkage verfügbar.</w:t>
      </w:r>
    </w:p>
    <w:p>
      <w:r>
        <w:rPr>
          <w:color w:val="5A7D3A"/>
          <w:sz w:val="18"/>
        </w:rPr>
        <w:t>https://pubmed.ncbi.nlm.nih.gov/42438144/</w:t>
      </w:r>
    </w:p>
    <w:p>
      <w:pPr>
        <w:pStyle w:val="Heading2"/>
      </w:pPr>
      <w:r>
        <w:t>Französische Geriater fordern Fortbildung in Nephrologie: 75% Bedarf bei chronischen Nierenerkrankungen im Alter</w:t>
      </w:r>
    </w:p>
    <w:p>
      <w:r>
        <w:rPr>
          <w:i/>
          <w:color w:val="666666"/>
          <w:sz w:val="18"/>
        </w:rPr>
        <w:t>Mésinèle L et al.  ·  Geriatr Psychol Neuropsychiatr Vieil  ·  01.06.2026  ·  PMID 42412499</w:t>
      </w:r>
    </w:p>
    <w:p>
      <w:r>
        <w:t>Online-Befragung von 252 französischen Geriatrien zur Zusammenarbeit mit Nephrologie und Fortbildungsbedarf; 89% haben Zugang zu Nephrologen, aber nur 37% nennen einen Ansprechpartner für nephrogeriatrische Fragen.</w:t>
      </w:r>
    </w:p>
    <w:p>
      <w:r>
        <w:rPr>
          <w:b/>
        </w:rPr>
        <w:t xml:space="preserve">Ergebnis: </w:t>
      </w:r>
      <w:r>
        <w:t>89% haben Zugang zu Nephrologen, 37% identifizieren einen Ansprechpartner; häufigster Fortbildungswunsch: metabolische und kardiovaskuläre Komplikationen der CKD (60%), CKD-Stadien 1–4 (46%), Arzneimitteltherapie bei Niereninsuffizienz (38%); Geriater mit Nephro-Fortbildung häufiger in Shared Decision-Making zu Dialyse involviert.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westeuropäisches Gesundheitssystem und Aus­bildungsanforderungen, Befragungsdaten direkt zur Versorgungsorganisation.</w:t>
      </w:r>
    </w:p>
    <w:p>
      <w:r>
        <w:rPr>
          <w:color w:val="5A7D3A"/>
          <w:sz w:val="18"/>
        </w:rPr>
        <w:t>https://pubmed.ncbi.nlm.nih.gov/42412499/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