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01.09.2026  |  59 Studien  |  longevity.m-vf.de</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Barriers range from technical and infrastructural limitations to legal challenges; article advocates for unified GDPR-compliant frameworks, academic credit for data stewardship, and coordinated community effort to move toward open science in neurodegenerative disease research.</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