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31.10.2026  |  423 Studien  |  longevity.m-vf.de</w:t>
      </w:r>
    </w:p>
    <w:p>
      <w:pPr>
        <w:pStyle w:val="Heading1"/>
      </w:pPr>
      <w:r>
        <w:t>Aufgenommen am 31.10.2026</w:t>
      </w:r>
    </w:p>
    <w:p>
      <w:pPr>
        <w:pStyle w:val="Heading2"/>
      </w:pPr>
      <w:r>
        <w:t>Pflegebedarf und Kosten nach Transkatheter-Aortenklappenimplantation bei älteren Japanern</w:t>
      </w:r>
    </w:p>
    <w:p>
      <w:r>
        <w:rPr>
          <w:i/>
          <w:color w:val="666666"/>
          <w:sz w:val="18"/>
        </w:rPr>
        <w:t>Sassa T et al.  ·  Geriatr Gerontol Int  ·  Nov. 2026  ·  PMID 42963183</w:t>
      </w:r>
    </w:p>
    <w:p>
      <w:r>
        <w:t>Retrospektive Kohortenstudie mit 1.361 Patienten ≥75 Jahren nach TAVI in 13 japanischen Kommunen, mit Daten zu Pflegebedarf, Kosten und Mortalität über 36 Monate aus verlinkten Kranken- und Pflegeversicherungsdaten.</w:t>
      </w:r>
    </w:p>
    <w:p>
      <w:r>
        <w:rPr>
          <w:b/>
        </w:rPr>
        <w:t xml:space="preserve">Ergebnis: </w:t>
      </w:r>
      <w:r>
        <w:t>53% waren basal unabhängig, etwa die Hälfte blieb es nach 36 Monaten. Monatliche Kosten in der höchsten Pflegebedarfsgruppe fünfmal höher als in der unabhängigen Gruppe. Höchste Pflegebedarfsgruppe zeigte Hazard Ratio 3,19 (95%-KI 2,18–4,67) für Sterblichkeit. Höherer basal erfasster Pflegebedarf unabhängig mit schlechteren Ergebnissen assoziiert.</w:t>
      </w:r>
    </w:p>
    <w:p>
      <w:r>
        <w:rPr>
          <w:b/>
          <w:sz w:val="19"/>
        </w:rPr>
        <w:t xml:space="preserve">Übertragbarkeit: </w:t>
      </w:r>
      <w:r>
        <w:rPr>
          <w:sz w:val="19"/>
        </w:rPr>
        <w:t>Japan, ähnliche alternde Gesellschaft, aber andere Pflegefinanzierung; Outcome-Kategorisierung teilweise übertragbar</w:t>
      </w:r>
    </w:p>
    <w:p>
      <w:r>
        <w:rPr>
          <w:color w:val="5A7D3A"/>
          <w:sz w:val="18"/>
        </w:rPr>
        <w:t>https://pubmed.ncbi.nlm.nih.gov/42963183/</w:t>
      </w:r>
    </w:p>
    <w:p>
      <w:pPr>
        <w:pStyle w:val="Heading2"/>
      </w:pPr>
      <w:r>
        <w:t>Lebenslauf und intrinsische Kapazität: Bildung als Mediator von Kindheitsarmut</w:t>
      </w:r>
    </w:p>
    <w:p>
      <w:r>
        <w:rPr>
          <w:i/>
          <w:color w:val="666666"/>
          <w:sz w:val="18"/>
        </w:rPr>
        <w:t>Dias MB et al.  ·  Rev Saude Publica  ·  26.10.2026  ·  PMID 42961293</w:t>
      </w:r>
    </w:p>
    <w:p>
      <w:r>
        <w:t>Querschnittsanalyse mit 4.817 brasilianischen Erwachsenen ≥50 Jahren aus ELSI-Brasil-Welle 2; Pfadanalyse zur Wirkung von Kindheitswidrigkeiten auf intrinsische Kapazität, vermittelt durch Bildung und Einkommen im Erwachsenenalter.</w:t>
      </w:r>
    </w:p>
    <w:p>
      <w:r>
        <w:rPr>
          <w:b/>
        </w:rPr>
        <w:t xml:space="preserve">Ergebnis: </w:t>
      </w:r>
      <w:r>
        <w:t>Kindheitswidrigkeiten (elterliche Analphabetismus, fehlend Wasser, Ernährungsunsicherheit) hatten direkte und indirekte Effekte auf Beeinträchtigung der intrinsischen Kapazität (drei oder mehr betroffene Domänen). Bildung war zentraler Mediator mit direktem Schutzeffekt und indirektem Effekt über Einkommen. Bildung und Einkommensarmut erklärten wesentliche Pfade.</w:t>
      </w:r>
    </w:p>
    <w:p>
      <w:r>
        <w:rPr>
          <w:b/>
          <w:sz w:val="19"/>
        </w:rPr>
        <w:t xml:space="preserve">Übertragbarkeit: </w:t>
      </w:r>
      <w:r>
        <w:rPr>
          <w:sz w:val="19"/>
        </w:rPr>
        <w:t>Brasilien, andere Einkommensstruktur, aber Lebenslauf-Prinzip und Bildungseffekt auf Gesundheitskapazität gelten universal</w:t>
      </w:r>
    </w:p>
    <w:p>
      <w:r>
        <w:rPr>
          <w:color w:val="5A7D3A"/>
          <w:sz w:val="18"/>
        </w:rPr>
        <w:t>https://pubmed.ncbi.nlm.nih.gov/42961293/</w:t>
      </w:r>
    </w:p>
    <w:p>
      <w:pPr>
        <w:pStyle w:val="Heading2"/>
      </w:pPr>
      <w:r>
        <w:t>Vier Verlaufsmuster der intrinsischen Kapazität im Alter: Prädiktoren in China</w:t>
      </w:r>
    </w:p>
    <w:p>
      <w:r>
        <w:rPr>
          <w:i/>
          <w:color w:val="666666"/>
          <w:sz w:val="18"/>
        </w:rPr>
        <w:t>Liang Z et al.  ·  Front Public Health  ·  15.10.2026  ·  PMID 42959126</w:t>
      </w:r>
    </w:p>
    <w:p>
      <w:r>
        <w:t>Longitudinale Kohortenanalyse von 10.055 Teilnehmern ≥50 Jahren aus der WHO-SAGE-Studie China mit Latent-Class-Growth-Analysis zur Identifikation von Verlaufsmustern der intrinsischen Kapazität über mehrere Domänen.</w:t>
      </w:r>
    </w:p>
    <w:p>
      <w:r>
        <w:rPr>
          <w:b/>
        </w:rPr>
        <w:t xml:space="preserve">Ergebnis: </w:t>
      </w:r>
      <w:r>
        <w:t>Vier Trajektorien identifiziert: hochgradig stabil, hochgradig langsam sinkend, moderat schnell sinkend, niedrig schnell sinkend. Höheres Alter (OR=5,79), weibliches Geschlecht (OR=2,86), Komorbiditäten (OR=8,15), niedriges Einkommen (OR=4,11) waren mit ungünstigen Profilen assoziiert. Sauberer Kochbrennstoff (OR=0,17) und Verheiratetsein (OR=0,53) schützend.</w:t>
      </w:r>
    </w:p>
    <w:p>
      <w:r>
        <w:rPr>
          <w:b/>
          <w:sz w:val="19"/>
        </w:rPr>
        <w:t xml:space="preserve">Übertragbarkeit: </w:t>
      </w:r>
      <w:r>
        <w:rPr>
          <w:sz w:val="19"/>
        </w:rPr>
        <w:t>China, andere Sozialstruktur, aber Umweltfaktoren (Kochbrennstoff) und Familienstruktur gelten auch in Deutschland</w:t>
      </w:r>
    </w:p>
    <w:p>
      <w:r>
        <w:rPr>
          <w:color w:val="5A7D3A"/>
          <w:sz w:val="18"/>
        </w:rPr>
        <w:t>https://pubmed.ncbi.nlm.nih.gov/42959126/</w:t>
      </w:r>
    </w:p>
    <w:p>
      <w:pPr>
        <w:pStyle w:val="Heading2"/>
      </w:pPr>
      <w:r>
        <w:t>Integrierte geriatrisch-psychiatrische Versorgungseinheit: Schweizer Erfahrungen</w:t>
      </w:r>
    </w:p>
    <w:p>
      <w:r>
        <w:rPr>
          <w:i/>
          <w:color w:val="666666"/>
          <w:sz w:val="18"/>
        </w:rPr>
        <w:t>Périvier S et al.  ·  Rev Med Suisse  ·  28.10.2026  ·  PMID 42958976</w:t>
      </w:r>
    </w:p>
    <w:p>
      <w:r>
        <w:t>Qualitative Erfahrungsberichte von einer Genfer integrierten Einheit für geriatrisch-psychiatrische Versorgung über drei Jahre; Darstellung der organisatorischen Voraussetzungen und auf andere Zentren übertragbaren Elementen.</w:t>
      </w:r>
    </w:p>
    <w:p>
      <w:r>
        <w:rPr>
          <w:b/>
        </w:rPr>
        <w:t xml:space="preserve">Ergebnis: </w:t>
      </w:r>
      <w:r>
        <w:t>Organisa­torische Anforderungen für gemeinsame Versorgung definiert: somatische Erkrankungen älterer Menschen sind häufig von Depres­sion begleitet, die Funktionalität beeinträchtigt, Rehabilitation behindert und Institutionalisierungs- sowie Mortalitätsrisiko erhöht. Liaison-Services erweisen sich in komplexen Fällen als unzureichend; integrierte Einheiten (noch selten in der Schweiz) adressieren dies. Spezifische Elemente für andere Zentren übertragbar.</w:t>
      </w:r>
    </w:p>
    <w:p>
      <w:r>
        <w:rPr>
          <w:b/>
          <w:sz w:val="19"/>
        </w:rPr>
        <w:t xml:space="preserve">Übertragbarkeit: </w:t>
      </w:r>
      <w:r>
        <w:rPr>
          <w:sz w:val="19"/>
        </w:rPr>
        <w:t>Schweiz, DACH-System, direkt auf deutschsprachige Krankenhäuser übertragbar</w:t>
      </w:r>
    </w:p>
    <w:p>
      <w:r>
        <w:rPr>
          <w:color w:val="5A7D3A"/>
          <w:sz w:val="18"/>
        </w:rPr>
        <w:t>https://pubmed.ncbi.nlm.nih.gov/42958976/</w:t>
      </w:r>
    </w:p>
    <w:p>
      <w:pPr>
        <w:pStyle w:val="Heading2"/>
      </w:pPr>
      <w:r>
        <w:t>Bewegungsqualität und Naturkontakt assoziiert mit Wohlbefinden im Alter</w:t>
      </w:r>
    </w:p>
    <w:p>
      <w:r>
        <w:rPr>
          <w:i/>
          <w:color w:val="666666"/>
          <w:sz w:val="18"/>
        </w:rPr>
        <w:t>Fritz P et al.  ·  BMC Geriatr  ·  31.07.2026  ·  PMID 42958487</w:t>
      </w:r>
    </w:p>
    <w:p>
      <w:r>
        <w:t>Querschnittstudie mit 136 älteren Erwachsenen in Ungarn (78 in der Gemeinde, 58 in Institutionen), die funktionelle Bewegung, Naturexposition, psychisches Wohlbefinden und Spiritualität untersuchte.</w:t>
      </w:r>
    </w:p>
    <w:p>
      <w:r>
        <w:rPr>
          <w:b/>
        </w:rPr>
        <w:t xml:space="preserve">Ergebnis: </w:t>
      </w:r>
      <w:r>
        <w:t>Naturexposition war mit WHO-5-Wohlbefinden (r=0,220, p=0,010) und besserer Bewegungsqualität (r=0,320, p&lt;0,001) assoziiert. Bewegungsqualität korrelierte mit Handgriffstärke (r=0,320, p&lt;0,001). Unterschiede zwischen ambulanten und institutionalisierten Teilnehmern waren signifikant; Kausalität konnte nicht festgestellt werden.</w:t>
      </w:r>
    </w:p>
    <w:p>
      <w:r>
        <w:rPr>
          <w:b/>
          <w:sz w:val="19"/>
        </w:rPr>
        <w:t xml:space="preserve">Übertragbarkeit: </w:t>
      </w:r>
      <w:r>
        <w:rPr>
          <w:sz w:val="19"/>
        </w:rPr>
        <w:t>Ungarn, vergleichbare EU-Versorgungsstruktur, kleine Stichprobe</w:t>
      </w:r>
    </w:p>
    <w:p>
      <w:r>
        <w:rPr>
          <w:color w:val="5A7D3A"/>
          <w:sz w:val="18"/>
        </w:rPr>
        <w:t>https://pubmed.ncbi.nlm.nih.gov/42958487/</w:t>
      </w:r>
    </w:p>
    <w:p>
      <w:pPr>
        <w:pStyle w:val="Heading2"/>
      </w:pPr>
      <w:r>
        <w:t>Kognitive Frailty vorhersagend für Hüftfrakturen: 10-Jahres-Studie</w:t>
      </w:r>
    </w:p>
    <w:p>
      <w:r>
        <w:rPr>
          <w:i/>
          <w:color w:val="666666"/>
          <w:sz w:val="18"/>
        </w:rPr>
        <w:t>Zhang X et al.  ·  Aging Clin Exp Res  ·  04.08.2026  ·  PMID 42957926</w:t>
      </w:r>
    </w:p>
    <w:p>
      <w:r>
        <w:t>Prospektive Kohortenstudie mit 3.797 chinesischen Erwachsenen ≥60 Jahren aus CHARLS (2011–2020) zur Assoziation zwischen kognitiver Frailty (kombiniert physische Frailty und kognitive Beeinträchtigung) und Hüftfrakturen.</w:t>
      </w:r>
    </w:p>
    <w:p>
      <w:r>
        <w:rPr>
          <w:b/>
        </w:rPr>
        <w:t xml:space="preserve">Ergebnis: </w:t>
      </w:r>
      <w:r>
        <w:t>172 Teilnehmer (4,53%) entwickelten Hüftfrakturen während Nachverfolgung. Querschnittlich: Odds Ratio 3,67 (95%-KI 1,47–9,13). Longitudinal: adjustierte Hazard Ratio 2,13 (95%-KI 1,10–4,11) für kognitive Frailty als unabhängiger Prädiktor. Sensitivitätsanalysen und Subgruppenanalysen zeigten robuste Befunde.</w:t>
      </w:r>
    </w:p>
    <w:p>
      <w:r>
        <w:rPr>
          <w:b/>
          <w:sz w:val="19"/>
        </w:rPr>
        <w:t xml:space="preserve">Übertragbarkeit: </w:t>
      </w:r>
      <w:r>
        <w:rPr>
          <w:sz w:val="19"/>
        </w:rPr>
        <w:t>China, aber Konzept kognitiver Frailty und Sturzrisiko gilt international</w:t>
      </w:r>
    </w:p>
    <w:p>
      <w:r>
        <w:rPr>
          <w:color w:val="5A7D3A"/>
          <w:sz w:val="18"/>
        </w:rPr>
        <w:t>https://pubmed.ncbi.nlm.nih.gov/42957926/</w:t>
      </w:r>
    </w:p>
    <w:p>
      <w:pPr>
        <w:pStyle w:val="Heading1"/>
      </w:pPr>
      <w:r>
        <w:t>Aufgenommen am 30.10.2026</w:t>
      </w:r>
    </w:p>
    <w:p>
      <w:pPr>
        <w:pStyle w:val="Heading2"/>
      </w:pPr>
      <w:r>
        <w:t>Maschinenlernmodell zur 4-Jahres-Vorhersage von Frailty bei älteren Arthritis-Patienten: CHARLS/KLoSA-Validierung</w:t>
      </w:r>
    </w:p>
    <w:p>
      <w:r>
        <w:rPr>
          <w:i/>
          <w:color w:val="666666"/>
          <w:sz w:val="18"/>
        </w:rPr>
        <w:t>Xu X et al.  ·  J Int Med Res  ·  27.10.2026  ·  PMID 42947315</w:t>
      </w:r>
    </w:p>
    <w:p>
      <w:r>
        <w:t>Retroleospektive Kohortenstudie an 2.126 chinesnischen Arthritis-Patienten ≥45 Jahren (CHARLS, Entwicklungskohorte) mit externer Validierung in südkoreanischer KLoSA-Kohorte, die ein logistisches Regressionsmodell mit 10 Routine-Variablen zur Vorhersage der 4-Jahres-Inzidenz von Frailty entwickelte und testete.</w:t>
      </w:r>
    </w:p>
    <w:p>
      <w:r>
        <w:rPr>
          <w:b/>
        </w:rPr>
        <w:t xml:space="preserve">Ergebnis: </w:t>
      </w:r>
      <w:r>
        <w:t>Interne AUC 0,764 (95 %-KI 0,707–0,816), externe AUC 0,747 (0,701–0,793) nach Recalibration. Zehnfach-Kreuzvalidierung: Mittelwert 0,772 ± 0,046. Top-Prädiktoren (SHAP-Ranking): Anzahl schmerzhafter Lokalisationen, antirheumatische Medikation, Beinschmerz, Alter, Griffstärke. Schmerzlast und niedriger Grip bleiben unabhängige Risikofaktoren auch bei gegebener Frailty.</w:t>
      </w:r>
    </w:p>
    <w:p>
      <w:r>
        <w:rPr>
          <w:b/>
          <w:sz w:val="19"/>
        </w:rPr>
        <w:t xml:space="preserve">Übertragbarkeit: </w:t>
      </w:r>
      <w:r>
        <w:rPr>
          <w:sz w:val="19"/>
        </w:rPr>
        <w:t>China und Südkorea, externe Validierung mehrsprachig; Modell zur Risikoschichtung in der Geriatrie relevant</w:t>
      </w:r>
    </w:p>
    <w:p>
      <w:r>
        <w:rPr>
          <w:color w:val="5A7D3A"/>
          <w:sz w:val="18"/>
        </w:rPr>
        <w:t>https://pubmed.ncbi.nlm.nih.gov/42947315/</w:t>
      </w:r>
    </w:p>
    <w:p>
      <w:pPr>
        <w:pStyle w:val="Heading2"/>
      </w:pPr>
      <w:r>
        <w:t>Wie Frauen mittleren Alters ihre körperliche und seelische Veränderung erleben und bewältigen</w:t>
      </w:r>
    </w:p>
    <w:p>
      <w:r>
        <w:rPr>
          <w:i/>
          <w:color w:val="666666"/>
          <w:sz w:val="18"/>
        </w:rPr>
        <w:t>Lei Y et al.  ·  BMC Public Health  ·  15.08.2026  ·  PMID 42947074</w:t>
      </w:r>
    </w:p>
    <w:p>
      <w:r>
        <w:t>Qualitative Interviewstudie mit 15 Frauen im Alter 46–57 Jahren in Changsha, China, zu ihren Wahrnehmungen des Alterns und ihren Bewältigungsstrategien mittels thematischer Analyse nach COREQ-Standard.</w:t>
      </w:r>
    </w:p>
    <w:p>
      <w:r>
        <w:rPr>
          <w:b/>
        </w:rPr>
        <w:t xml:space="preserve">Ergebnis: </w:t>
      </w:r>
      <w:r>
        <w:t>Fünf Kernthemen ermittelt (im Schema '1H4W' zusammengefasst): (1) Wie nehmen die Frauen ihr Altern wahr (körperlich, psychisch, sozial)? (2) Welche Auswirkungen hat es (dual: Bedrohung und Wachstum)? (3) Ursachenzuschreibung des Alterns (multidimensional)? (4) Bewältigungsstrategien mit wahrgenommener Wirksamkeit (zwei Trajektorien)? (5) Barrieren für die Umsetzung (Hemmfaktoren). Ergebnis: Frauen erleben komplexe, mehrdimensionale Alternswahrnehmungen; ihre Attributionen beeinflussen Bewältigungswahl, aber die Umsetzung scheitert an Barrieren.</w:t>
      </w:r>
    </w:p>
    <w:p>
      <w:r>
        <w:rPr>
          <w:b/>
          <w:sz w:val="19"/>
        </w:rPr>
        <w:t xml:space="preserve">Übertragbarkeit: </w:t>
      </w:r>
      <w:r>
        <w:rPr>
          <w:sz w:val="19"/>
        </w:rPr>
        <w:t>China, qualitative Befunde zur psychosozialen Wahrnehmung, Übertragbarkeit auf Konzeptentwicklung</w:t>
      </w:r>
    </w:p>
    <w:p>
      <w:r>
        <w:rPr>
          <w:color w:val="5A7D3A"/>
          <w:sz w:val="18"/>
        </w:rPr>
        <w:t>https://pubmed.ncbi.nlm.nih.gov/42947074/</w:t>
      </w:r>
    </w:p>
    <w:p>
      <w:pPr>
        <w:pStyle w:val="Heading2"/>
      </w:pPr>
      <w:r>
        <w:t>Gesunde Ernährung erhält kognitive Funktionen im Alter, mit stärkerer Schutzwirkung bei älteren Erwachsenen</w:t>
      </w:r>
    </w:p>
    <w:p>
      <w:r>
        <w:rPr>
          <w:i/>
          <w:color w:val="666666"/>
          <w:sz w:val="18"/>
        </w:rPr>
        <w:t>Liu Y et al.  ·  Nutrients  ·  14.10.2026  ·  PMID 42942936</w:t>
      </w:r>
    </w:p>
    <w:p>
      <w:r>
        <w:t>Querschnittstudie an 9.615 älteren Chinesen (≥65 Jahre) aus der 2021 Chinese Longitudinal Healthy Longevity Survey, in der die Assoziationen von drei Ernährungsindizes (cMIND, Dietary Diversity Score, Healthy Plant-Based Diet Index) mit kognitiven Domänen (Aufmerksamkeit, Exekutive, Visuomotorik, Orientierung) mittels gewichteter linearer Regression untersucht wurden.</w:t>
      </w:r>
    </w:p>
    <w:p>
      <w:r>
        <w:rPr>
          <w:b/>
        </w:rPr>
        <w:t xml:space="preserve">Ergebnis: </w:t>
      </w:r>
      <w:r>
        <w:t>Pro 1-SD-Anstieg der Ernährungsindizes: cMIND β = 0,355 (95 %-KI 0,147–0,563), Diversity β = 0,342 (0,119–0,565), HPDI β = 0,388 (0,132–0,643) bei Globalergebnis. Alle drei Indizes waren mit Aufmerksamkeit, exekutiver Funktion und Visuomotorik assoziiert; Diversity und HPDI auch mit Orientierung. Signifikante Diät-Alter-Interaktionen für alle drei Indizes (p &lt; 0,001 für Nichtlinearität), mit stärkeren Assoziationen bei älteren Teilnehmern.</w:t>
      </w:r>
    </w:p>
    <w:p>
      <w:r>
        <w:rPr>
          <w:b/>
          <w:sz w:val="19"/>
        </w:rPr>
        <w:t xml:space="preserve">Übertragbarkeit: </w:t>
      </w:r>
      <w:r>
        <w:rPr>
          <w:sz w:val="19"/>
        </w:rPr>
        <w:t>China, Langzeitkohortendaten, Ernährung-Kognitiv-Verbindung übertragbar, aber Kontextfaktoren unterschiedlich</w:t>
      </w:r>
    </w:p>
    <w:p>
      <w:r>
        <w:rPr>
          <w:color w:val="5A7D3A"/>
          <w:sz w:val="18"/>
        </w:rPr>
        <w:t>https://pubmed.ncbi.nlm.nih.gov/42942936/</w:t>
      </w:r>
    </w:p>
    <w:p>
      <w:pPr>
        <w:pStyle w:val="Heading2"/>
      </w:pPr>
      <w:r>
        <w:t>SGLT2-Inhibitoren und Frailty-Risiko bei älteren Nierenerkrankten: Komorbiditäten und Blutarmut als Schlüsselfaktoren</w:t>
      </w:r>
    </w:p>
    <w:p>
      <w:r>
        <w:rPr>
          <w:i/>
          <w:color w:val="666666"/>
          <w:sz w:val="18"/>
        </w:rPr>
        <w:t>Sezen M et al.  ·  Medicina (Kaunas)  ·  08.10.2026  ·  PMID 42942469</w:t>
      </w:r>
    </w:p>
    <w:p>
      <w:r>
        <w:t>Prospektive Querschnittstudie an 163 Erwachsenen ≥60 Jahren mit chronischer Nierenerkrankung unter SGLT2-Inhibitor-Therapie, bei der Frailty-Status mittels modifiziertem Fried-Phänotyp (Schwäche, Verlangsamung, Erschöpfung, geringe Aktivität, Gewichtsverlust) erfasst wurde.</w:t>
      </w:r>
    </w:p>
    <w:p>
      <w:r>
        <w:rPr>
          <w:b/>
        </w:rPr>
        <w:t xml:space="preserve">Ergebnis: </w:t>
      </w:r>
      <w:r>
        <w:t>Frailty-Prävalenz 26,4 % (95 %-KI 20,2–33,6 %), Pre-Frailty 46,0 % (38,5–53,7 %). In multivariater Analyse: höherer BMI (aOR 1,12; 95 %-KI 1,03–1,22; p = 0,010) und höhere Charlson-Komorbiditäts-Werte (aOR 1,42; 95 %-KI 1,12–1,81; p = 0,004) erhöhten Frailty-Risiko, höhere Hämoglobin-Spiegel (aOR 0,72; 95 %-KI 0,57–0,91; p = 0,007) reduzierten es. Keine SGLT2-spezifischen Behandlungsschlüsse möglich.</w:t>
      </w:r>
    </w:p>
    <w:p>
      <w:r>
        <w:rPr>
          <w:b/>
          <w:sz w:val="19"/>
        </w:rPr>
        <w:t xml:space="preserve">Übertragbarkeit: </w:t>
      </w:r>
      <w:r>
        <w:rPr>
          <w:sz w:val="19"/>
        </w:rPr>
        <w:t>Türkei, Geriatrie und Nephrologie, Frailty-Assessment relevant für deutsches System</w:t>
      </w:r>
    </w:p>
    <w:p>
      <w:r>
        <w:rPr>
          <w:color w:val="5A7D3A"/>
          <w:sz w:val="18"/>
        </w:rPr>
        <w:t>https://pubmed.ncbi.nlm.nih.gov/42942469/</w:t>
      </w:r>
    </w:p>
    <w:p>
      <w:pPr>
        <w:pStyle w:val="Heading2"/>
      </w:pPr>
      <w:r>
        <w:t>Biologisches Alter als Biomarker für Ovarialkrebsentwicklung bei Endometriose</w:t>
      </w:r>
    </w:p>
    <w:p>
      <w:r>
        <w:rPr>
          <w:i/>
          <w:color w:val="666666"/>
          <w:sz w:val="18"/>
        </w:rPr>
        <w:t>Kordowitzki P et al.  ·  BMC Med  ·  27.07.2026  ·  PMID 42928289</w:t>
      </w:r>
    </w:p>
    <w:p>
      <w:r>
        <w:t>Vergleichende Analyse von Biomarkern des biologischen Alterns (DNA-Methylierung, Telomerlänge) in Blutproben von Patientinnen mit Endometriose, endometriose-assoziiertem Ovarialkarzinom und Kontrollen.</w:t>
      </w:r>
    </w:p>
    <w:p>
      <w:r>
        <w:rPr>
          <w:b/>
        </w:rPr>
        <w:t xml:space="preserve">Ergebnis: </w:t>
      </w:r>
      <w:r>
        <w:t>Patientinnen mit Endometriose zeigten eine Beschleunigung des biologischen Alterns um 16,92 % und längere Telomere (13,18 ± 0,46 kbp), während Ovarialkrebspatientinnen biologisch jünger waren (−14,64 %) mit verkürzten Telomeren (12,45 ± 0,72 kbp; p &lt; 0,001). Methylierungs-basierte Marker unterschieden die Gruppen hochsignifikant. Dies deutet auf einen fundamentalen Wechsel in Aging-Trajektorien während der malignen Transformation hin.</w:t>
      </w:r>
    </w:p>
    <w:p>
      <w:r>
        <w:rPr>
          <w:b/>
          <w:sz w:val="19"/>
        </w:rPr>
        <w:t xml:space="preserve">Übertragbarkeit: </w:t>
      </w:r>
      <w:r>
        <w:rPr>
          <w:sz w:val="19"/>
        </w:rPr>
        <w:t>Deutschland: Biomarker-Studie ohne direkten Versorgungsbezug, eher Grundlagenforschung</w:t>
      </w:r>
    </w:p>
    <w:p>
      <w:r>
        <w:rPr>
          <w:color w:val="5A7D3A"/>
          <w:sz w:val="18"/>
        </w:rPr>
        <w:t>https://pubmed.ncbi.nlm.nih.gov/42928289/</w:t>
      </w:r>
    </w:p>
    <w:p>
      <w:pPr>
        <w:pStyle w:val="Heading2"/>
      </w:pPr>
      <w:r>
        <w:t>Sozioökonomische Ungleichheit und soziale Isolation beeinflussen psychisches Wohlbefinden älterer Menschen</w:t>
      </w:r>
    </w:p>
    <w:p>
      <w:r>
        <w:rPr>
          <w:i/>
          <w:color w:val="666666"/>
          <w:sz w:val="18"/>
        </w:rPr>
        <w:t>Calvey B et al.  ·  J Gerontol B Psychol Sci Soc Sci  ·  07.10.2026  ·  PMID 42742397</w:t>
      </w:r>
    </w:p>
    <w:p>
      <w:r>
        <w:t>Longitudinalanalyse der Zusammenhänge zwischen Einkommensarmut, niedriger Bildung, Arbeitslosigkeit und räumlicher Benachteiligung einerseits sowie subjektiver Einsamkeit und objektiver sozialer Isolation andererseits in der englischen ELSA-Kohorte (8.164 Erwachsene ≥60 Jahre, Wellen 7–9).</w:t>
      </w:r>
    </w:p>
    <w:p>
      <w:r>
        <w:rPr>
          <w:b/>
        </w:rPr>
        <w:t xml:space="preserve">Ergebnis: </w:t>
      </w:r>
      <w:r>
        <w:t>Alle sozioökonomischen Indikatoren waren mit sozialer Asymmetrie assoziiert. Höhere Bildung (β = 0,44; p &lt; 0,001), Einkommen (β = 0,22; p &lt; 0,001) und subjektiver sozialer Status (β = 0,004; p &lt; 0,001) schützten vor erhöhter Einsamkeit trotz Isolation. Umgekehrt waren Deprivation (β = −0,20; p &lt; 0,001), Arbeitslosigkeit (β = −0,07; p &lt; 0,05) und Wohnungsarmut (β = −0,35 bis −0,41; p &lt; 0,001) mit psychischer Verletzlichkeit assoziiert. Die Befunde zeigen, dass Einsamkeitsbekämpfung strukturelle Ungleichheiten adressieren muss, nicht nur individuelle Verhaltensänderung.</w:t>
      </w:r>
    </w:p>
    <w:p>
      <w:r>
        <w:rPr>
          <w:b/>
          <w:sz w:val="19"/>
        </w:rPr>
        <w:t xml:space="preserve">Übertragbarkeit: </w:t>
      </w:r>
      <w:r>
        <w:rPr>
          <w:sz w:val="19"/>
        </w:rPr>
        <w:t>England, vergleichbares Sozialversicherungssystem, Langzeitkohorte mit stabiler Erfassung</w:t>
      </w:r>
    </w:p>
    <w:p>
      <w:r>
        <w:rPr>
          <w:color w:val="5A7D3A"/>
          <w:sz w:val="18"/>
        </w:rPr>
        <w:t>https://pubmed.ncbi.nlm.nih.gov/42742397/</w:t>
      </w:r>
    </w:p>
    <w:p>
      <w:pPr>
        <w:pStyle w:val="Heading1"/>
      </w:pPr>
      <w:r>
        <w:t>Aufgenommen am 29.10.2026</w:t>
      </w:r>
    </w:p>
    <w:p>
      <w:pPr>
        <w:pStyle w:val="Heading2"/>
      </w:pPr>
      <w:r>
        <w:t>Frailty-Vorhersage per Machine Learning aus Kliniksystemen innerhalb 72 Stunden</w:t>
      </w:r>
    </w:p>
    <w:p>
      <w:r>
        <w:rPr>
          <w:i/>
          <w:color w:val="666666"/>
          <w:sz w:val="18"/>
        </w:rPr>
        <w:t>Laurea Szabo GC et al.  ·  JMIR Med Inform  ·  28.10.2026  ·  PMID 42950281</w:t>
      </w:r>
    </w:p>
    <w:p>
      <w:r>
        <w:t>An 26.824 stationären Aufnahmen (Royal Adelaide Hospital, Juli 2023–Dezember 2024) wurde ein XGBoost-Modell entwickelt und validiert, das aus EMR-Daten der ersten 72 Stunden Frailty (HFRS&gt;4) vorhersagt.</w:t>
      </w:r>
    </w:p>
    <w:p>
      <w:r>
        <w:rPr>
          <w:b/>
        </w:rPr>
        <w:t xml:space="preserve">Ergebnis: </w:t>
      </w:r>
      <w:r>
        <w:t>Das finale XGBoost-Modell erreichte F2-Score 0,755 (95%-KI 0,741–0,768), AUROC 0,777 (0,764–0,790), Recall 0,873 (0,857–0,887). Wichtigste Prädiktoren: Polypharmazi, Laborwerte (Kreatinin, Albumin, Natrium), konsultierte Fachgruppen, Pflegeassessments. Performance war zu 24 Stunden niedrig, verbesserte sich bis Entlassung. Reduzierte Performance bei Indigenous-Patienten zeigte Bedarf für kulturelle Validierung.</w:t>
      </w:r>
    </w:p>
    <w:p>
      <w:r>
        <w:rPr>
          <w:b/>
          <w:sz w:val="19"/>
        </w:rPr>
        <w:t xml:space="preserve">Übertragbarkeit: </w:t>
      </w:r>
      <w:r>
        <w:rPr>
          <w:sz w:val="19"/>
        </w:rPr>
        <w:t>Australien, EMR-Datenstruktur vergleichbar mit deutschen Kliniksystemen; maschinelle Frailty-Vorhersage technisch unmittelbar übernehmbar.</w:t>
      </w:r>
    </w:p>
    <w:p>
      <w:r>
        <w:rPr>
          <w:color w:val="5A7D3A"/>
          <w:sz w:val="18"/>
        </w:rPr>
        <w:t>https://pubmed.ncbi.nlm.nih.gov/42950281/</w:t>
      </w:r>
    </w:p>
    <w:p>
      <w:pPr>
        <w:pStyle w:val="Heading2"/>
      </w:pPr>
      <w:r>
        <w:t>Gebrechlichkeitsindex vorhersagt Bauchschmerzen bei älteren Erwachsenen</w:t>
      </w:r>
    </w:p>
    <w:p>
      <w:r>
        <w:rPr>
          <w:i/>
          <w:color w:val="666666"/>
          <w:sz w:val="18"/>
        </w:rPr>
        <w:t>Cheng G et al.  ·  J Int Med Res  ·  28.10.2026  ·  PMID 42948986</w:t>
      </w:r>
    </w:p>
    <w:p>
      <w:r>
        <w:t>24.280 Teilnehmer ≥45 Jahre aus der China Health and Retirement Longitudinal Study (2011–2013) wurden untersucht auf Assoziation eines konstruierten Gebrechlichkeitsindex mit selbstberichteten Bauchschmerzen.</w:t>
      </w:r>
    </w:p>
    <w:p>
      <w:r>
        <w:rPr>
          <w:b/>
        </w:rPr>
        <w:t xml:space="preserve">Ergebnis: </w:t>
      </w:r>
      <w:r>
        <w:t>Höherer Gebrechlichkeitsindex war signifikant mit erhöhter Wahrscheinlichkeit für Bauchschmerzen assoziiert (adjustierte OR 2,17; 95%-KI 1,95–2,42; p&lt;0,001). Restriktive kubische Spline-Analyse zeigte signifikante nichtlineare Beziehung (p für Nichtlinearität &lt;0,001). Das eXtreme Gradient Boosting-Modell zeigte gute Diskrimination. Der Gebrechlichkeitsindex gehörte zu den einflussreichsten Vorhersage-Features.</w:t>
      </w:r>
    </w:p>
    <w:p>
      <w:r>
        <w:rPr>
          <w:b/>
          <w:sz w:val="19"/>
        </w:rPr>
        <w:t xml:space="preserve">Übertragbarkeit: </w:t>
      </w:r>
      <w:r>
        <w:rPr>
          <w:sz w:val="19"/>
        </w:rPr>
        <w:t>China; Gebrechlichkeitsindex-Konstrukt international anwendbar, Screening-Wert auf Deutschland übertragbar.</w:t>
      </w:r>
    </w:p>
    <w:p>
      <w:r>
        <w:rPr>
          <w:color w:val="5A7D3A"/>
          <w:sz w:val="18"/>
        </w:rPr>
        <w:t>https://pubmed.ncbi.nlm.nih.gov/42948986/</w:t>
      </w:r>
    </w:p>
    <w:p>
      <w:pPr>
        <w:pStyle w:val="Heading2"/>
      </w:pPr>
      <w:r>
        <w:t>Gesellschaftliche Teilhabe im Alter stärkt emotionales Wohlbefinden – europaweit</w:t>
      </w:r>
    </w:p>
    <w:p>
      <w:r>
        <w:rPr>
          <w:i/>
          <w:color w:val="666666"/>
          <w:sz w:val="18"/>
        </w:rPr>
        <w:t>da Silva JB et al.  ·  Front Public Health  ·  13.10.2026  ·  PMID 42947923</w:t>
      </w:r>
    </w:p>
    <w:p>
      <w:r>
        <w:t>Die Studie untersuchte an 13.765 Europäern ab 65 Jahren, wie verschiedene Formen von Bürgerbeteiligung mit emotionalem Wohlbefinden assoziiert sind.</w:t>
      </w:r>
    </w:p>
    <w:p>
      <w:r>
        <w:rPr>
          <w:b/>
        </w:rPr>
        <w:t xml:space="preserve">Ergebnis: </w:t>
      </w:r>
      <w:r>
        <w:t>Kooperative Partizipation (gemeinsame Aktivitäten mit sozialer Einbettung) zeigte die stärkste positive Assoziation mit Wohlbefinden, gefolgt von ausdrücklicher und pflichtbewusster Teilhabe. Aktivierende Partizipation (konfrontative Engagement-Formen) korrelierte negativ mit Wohlbefinden. Regionale Unterschiede bestanden: Nord- und Westeuropa zeigten höhere Wohlbefindenswerte als Süd- und Osteuropa.</w:t>
      </w:r>
    </w:p>
    <w:p>
      <w:r>
        <w:rPr>
          <w:b/>
          <w:sz w:val="19"/>
        </w:rPr>
        <w:t xml:space="preserve">Übertragbarkeit: </w:t>
      </w:r>
      <w:r>
        <w:rPr>
          <w:sz w:val="19"/>
        </w:rPr>
        <w:t>Europäische Sozialerhebung; Ergebnisse zu sozial eingebetteten Engagementformen direkt auf deutsche Altenbetreuung übertragbar.</w:t>
      </w:r>
    </w:p>
    <w:p>
      <w:r>
        <w:rPr>
          <w:color w:val="5A7D3A"/>
          <w:sz w:val="18"/>
        </w:rPr>
        <w:t>https://pubmed.ncbi.nlm.nih.gov/42947923/</w:t>
      </w:r>
    </w:p>
    <w:p>
      <w:pPr>
        <w:pStyle w:val="Heading2"/>
      </w:pPr>
      <w:r>
        <w:t>Funktionelle Verbesserungen durch stationäre Lungenreha – ICF-basierte Analyse</w:t>
      </w:r>
    </w:p>
    <w:p>
      <w:r>
        <w:rPr>
          <w:i/>
          <w:color w:val="666666"/>
          <w:sz w:val="18"/>
        </w:rPr>
        <w:t>Pawlak K et al.  ·  Front Public Health  ·  13.10.2026  ·  PMID 42947856</w:t>
      </w:r>
    </w:p>
    <w:p>
      <w:r>
        <w:t>Bei 100 älteren Patienten (Mittelwert 68,7 Jahre, 75 % ≥65 Jahre) während stationärer Lungenrehabilitation wurden Funktionsveränderungen nach 2–3 Wochen mit dem ICF-Framework gemessen.</w:t>
      </w:r>
    </w:p>
    <w:p>
      <w:r>
        <w:rPr>
          <w:b/>
        </w:rPr>
        <w:t xml:space="preserve">Ergebnis: </w:t>
      </w:r>
      <w:r>
        <w:t>Signifikante Verbesserungen in Körperfunktionen: Muskelkraft (Qualifier 3→1), Muskeldauer (3→2), Gelenkigkeit (3→1), Gehfähigkeit (2→1). Aktivitätseinschränkungen: Transfer mit schweren/kompletten Einschränkungen sank von 17 % auf 4 %, tägliche Routinen von 36 % auf 19 %. Selbstpflegefähigkeiten (Waschen, Toilettenhygiene, Anziehen) zeigten Qualifier-Verbesserungen von 1→0.</w:t>
      </w:r>
    </w:p>
    <w:p>
      <w:r>
        <w:rPr>
          <w:b/>
          <w:sz w:val="19"/>
        </w:rPr>
        <w:t xml:space="preserve">Übertragbarkeit: </w:t>
      </w:r>
      <w:r>
        <w:rPr>
          <w:sz w:val="19"/>
        </w:rPr>
        <w:t>Polen, vergleichbare Sozialversicherung; ICF-Rahmen international, Ergebnisse zur Effektivität geriatrischer Reha auf Deutschland übertragbar.</w:t>
      </w:r>
    </w:p>
    <w:p>
      <w:r>
        <w:rPr>
          <w:color w:val="5A7D3A"/>
          <w:sz w:val="18"/>
        </w:rPr>
        <w:t>https://pubmed.ncbi.nlm.nih.gov/42947856/</w:t>
      </w:r>
    </w:p>
    <w:p>
      <w:pPr>
        <w:pStyle w:val="Heading2"/>
      </w:pPr>
      <w:r>
        <w:t>Frailty besser als Muskelsonographie zur Prognose bei Leberzirrhose</w:t>
      </w:r>
    </w:p>
    <w:p>
      <w:r>
        <w:rPr>
          <w:i/>
          <w:color w:val="666666"/>
          <w:sz w:val="18"/>
        </w:rPr>
        <w:t>Kremer WM et al.  ·  J Cachexia Sarcopenia Muscle  ·  Dez. 2026  ·  PMID 42936921</w:t>
      </w:r>
    </w:p>
    <w:p>
      <w:r>
        <w:t>153 Patienten mit Leberzirrhose wurden mit Clinical Frailty Scale und Muskeldickenindizes (feather und compression thigh muscle thickness index) bewertet und auf Mortalität bzw. Lebertransplantation verfolgt.</w:t>
      </w:r>
    </w:p>
    <w:p>
      <w:r>
        <w:rPr>
          <w:b/>
        </w:rPr>
        <w:t xml:space="preserve">Ergebnis: </w:t>
      </w:r>
      <w:r>
        <w:t>Über 90 Tage: 71 Patienten (46,4 %) starben oder bekamen Transplantat. Höhere Frailty-Scores waren in multivariablem Cox-Modell (adjustiert für Alter und MELD) unabhängig mit erhöhter Mortalität assoziiert (HR 1,25; 95%-KI 1,14–1,63; p&lt;0,001), während Muskeldickenindizes nicht konsistent prognostisch waren (fTMTI HR 1,52; p=0,300; cTMTI HR 1,01; p&gt;0,9).</w:t>
      </w:r>
    </w:p>
    <w:p>
      <w:r>
        <w:rPr>
          <w:b/>
          <w:sz w:val="19"/>
        </w:rPr>
        <w:t xml:space="preserve">Übertragbarkeit: </w:t>
      </w:r>
      <w:r>
        <w:rPr>
          <w:sz w:val="19"/>
        </w:rPr>
        <w:t>Deutschland; Frailty-Assessment als bedside-Instrument deutschlandweit etabliert, braucht keine Spezialausrüstung.</w:t>
      </w:r>
    </w:p>
    <w:p>
      <w:r>
        <w:rPr>
          <w:color w:val="5A7D3A"/>
          <w:sz w:val="18"/>
        </w:rPr>
        <w:t>https://pubmed.ncbi.nlm.nih.gov/42936921/</w:t>
      </w:r>
    </w:p>
    <w:p>
      <w:pPr>
        <w:pStyle w:val="Heading2"/>
      </w:pPr>
      <w:r>
        <w:t>Beschleunigtes biologisches Altern erhöht Pankreaserkrankungsrisiko – UK-Biobank-Studie</w:t>
      </w:r>
    </w:p>
    <w:p>
      <w:r>
        <w:rPr>
          <w:i/>
          <w:color w:val="666666"/>
          <w:sz w:val="18"/>
        </w:rPr>
        <w:t>Zhang H et al.  ·  J Nutr Health Aging  ·  15.09.2026  ·  PMID 42743792</w:t>
      </w:r>
    </w:p>
    <w:p>
      <w:r>
        <w:t>326.873 Erwachsene aus der UK Biobank (2006–2010 rekrutiert) wurden auf Assoziation von Biological-Age-Beschleunigung (KDMAgeAccel und PhenoAgeAccel) mit Pankreaserkrankungen über prospektiven Follow-up untersucht.</w:t>
      </w:r>
    </w:p>
    <w:p>
      <w:r>
        <w:rPr>
          <w:b/>
        </w:rPr>
        <w:t xml:space="preserve">Ergebnis: </w:t>
      </w:r>
      <w:r>
        <w:t>PhenoAgeAccel zeigte signifikante nichtlineare Assoziationen mit Pankreaserkrankungen insgesamt, Pankreaszysten, Pankreaskrebs und Pankreastod (alle p für Nichtlinearität &lt;0,05). Gegenüber Gruppe G1 (niedrigste Beschleunigung) hatte G4 (höchste) erhöhte Risiken: Pankreaserkrankungen insgesamt HR 1,706 (95%-KI 1,513–1,923), akute Pankreatitis 1,637 (1,352–1,981), chronische Pankreatitis 3,551 (2,248–5,609), Pankreaskrebs 1,387 (1,123–1,713). Lipid-Biomarker medierten teilweise die Assoziation (z.B. 6,66 % für chronische Pankreatitis über Cholesterin in small LDL).</w:t>
      </w:r>
    </w:p>
    <w:p>
      <w:r>
        <w:rPr>
          <w:b/>
          <w:sz w:val="19"/>
        </w:rPr>
        <w:t xml:space="preserve">Übertragbarkeit: </w:t>
      </w:r>
      <w:r>
        <w:rPr>
          <w:sz w:val="19"/>
        </w:rPr>
        <w:t>UK Biobank; epigenetische Alter-Beschleunigung als Risikostratifizierer auch in deutschen Kohorten anwendbar.</w:t>
      </w:r>
    </w:p>
    <w:p>
      <w:r>
        <w:rPr>
          <w:color w:val="5A7D3A"/>
          <w:sz w:val="18"/>
        </w:rPr>
        <w:t>https://pubmed.ncbi.nlm.nih.gov/42743792/</w:t>
      </w:r>
    </w:p>
    <w:p>
      <w:pPr>
        <w:pStyle w:val="Heading2"/>
      </w:pPr>
      <w:r>
        <w:t>Gebrechlichkeit ist unabhängiger Mortalitätsprädiktor bei Krebspatienten – Metaanalyse</w:t>
      </w:r>
    </w:p>
    <w:p>
      <w:r>
        <w:rPr>
          <w:i/>
          <w:color w:val="666666"/>
          <w:sz w:val="18"/>
        </w:rPr>
        <w:t>Brum CM et al.  ·  J Geriatr Oncol  ·  12.09.2026  ·  PMID 42731927</w:t>
      </w:r>
    </w:p>
    <w:p>
      <w:r>
        <w:t>Systematische Übersicht und Metaanalyse von 191 Beobachtungsstudien (626.975 Patienten, Medianalter 72 Jahre) zur Assoziation von Frailty mit Mortalität bei Krebskranken.</w:t>
      </w:r>
    </w:p>
    <w:p>
      <w:r>
        <w:rPr>
          <w:b/>
        </w:rPr>
        <w:t xml:space="preserve">Ergebnis: </w:t>
      </w:r>
      <w:r>
        <w:t>Frailty war mit höherer Gesamtmortalität assoziiert (n=162; adjustierte HR 1,98; 95%-KI 1,85–2,09) sowie krebsspezifischer Mortalität (n=18; HR 1,84; 95%-KI 1,58–2,15). Diese Assoziation blieb konsistent über Subgruppen (Alter, Geschlecht, BMI, Tumorstadium, Therapiemodalität) hinweg. 83,8 % der Studien erreichten Newcastle-Ottawa-Scores von 9 Punkten.</w:t>
      </w:r>
    </w:p>
    <w:p>
      <w:r>
        <w:rPr>
          <w:b/>
          <w:sz w:val="19"/>
        </w:rPr>
        <w:t xml:space="preserve">Übertragbarkeit: </w:t>
      </w:r>
      <w:r>
        <w:rPr>
          <w:sz w:val="19"/>
        </w:rPr>
        <w:t>International Evidenz; Frailty-Assessment als routinenahes Screening in onkologischen Kliniken weltweit empfohlen, auf deutsche Onkologiestationen unmittelbar übertragbar.</w:t>
      </w:r>
    </w:p>
    <w:p>
      <w:r>
        <w:rPr>
          <w:color w:val="5A7D3A"/>
          <w:sz w:val="18"/>
        </w:rPr>
        <w:t>https://pubmed.ncbi.nlm.nih.gov/42731927/</w:t>
      </w:r>
    </w:p>
    <w:p>
      <w:pPr>
        <w:pStyle w:val="Heading1"/>
      </w:pPr>
      <w:r>
        <w:t>Aufgenommen am 28.10.2026</w:t>
      </w:r>
    </w:p>
    <w:p>
      <w:pPr>
        <w:pStyle w:val="Heading2"/>
      </w:pPr>
      <w:r>
        <w:t>Richtige Nährstoffverteilung beugt Frailty vor – aber nur bei ausreichender Energiezufuhr</w:t>
      </w:r>
    </w:p>
    <w:p>
      <w:r>
        <w:rPr>
          <w:i/>
          <w:color w:val="666666"/>
          <w:sz w:val="18"/>
        </w:rPr>
        <w:t>Seo YB et al.  ·  Nutrients  ·  16.10.2026  ·  PMID 42942964</w:t>
      </w:r>
    </w:p>
    <w:p>
      <w:r>
        <w:t>Querschnittstudie von 2.803 Koreanern ≥65 Jahren (KNHANES 2022/2024), Assoziationen zwischen Makronährstoff-Adherenz (AMDR) und Frailty, stratifiziert nach Energiesuffizenz (≥30 kcal/kg/Tag).</w:t>
      </w:r>
    </w:p>
    <w:p>
      <w:r>
        <w:rPr>
          <w:b/>
        </w:rPr>
        <w:t xml:space="preserve">Ergebnis: </w:t>
      </w:r>
      <w:r>
        <w:t>Bei Energie-suffizienten Teilnehmern (n=925): AMDR-Nicht-Adherenz mit Frailty assoziiert (OR 5,58; 95% KI 1,59–19,67). Nicht-Adherenz zu Protein (OR 2,63) und Fett (OR 2,38) signifikant; bei energie-insuffizienten keine signifikante Assoziation (OR 1,08; p=0,58).</w:t>
      </w:r>
    </w:p>
    <w:p>
      <w:r>
        <w:rPr>
          <w:b/>
          <w:sz w:val="19"/>
        </w:rPr>
        <w:t xml:space="preserve">Übertragbarkeit: </w:t>
      </w:r>
      <w:r>
        <w:rPr>
          <w:sz w:val="19"/>
        </w:rPr>
        <w:t>Südkorea; Ernährungsempfehlungen für Ältere gelten international, aber Energiebedarfsberechnung ist populationsspezifisch</w:t>
      </w:r>
    </w:p>
    <w:p>
      <w:r>
        <w:rPr>
          <w:color w:val="5A7D3A"/>
          <w:sz w:val="18"/>
        </w:rPr>
        <w:t>https://pubmed.ncbi.nlm.nih.gov/42942964/</w:t>
      </w:r>
    </w:p>
    <w:p>
      <w:pPr>
        <w:pStyle w:val="Heading2"/>
      </w:pPr>
      <w:r>
        <w:t>Frailty vorhersagt Mortalität bei akuter Herzinsuffizienz stärker als NT-proBNP</w:t>
      </w:r>
    </w:p>
    <w:p>
      <w:r>
        <w:rPr>
          <w:i/>
          <w:color w:val="666666"/>
          <w:sz w:val="18"/>
        </w:rPr>
        <w:t>Aletras G et al.  ·  Medicina (Kaunas)  ·  08.10.2026  ·  PMID 42942474</w:t>
      </w:r>
    </w:p>
    <w:p>
      <w:r>
        <w:t>Prospektive Single-Center-Registerstudie mit 530 hospitalisierten AHF-Patienten (Feb 2023–Juni 2025), Frailty nach Clinical Frailty Scale gegen kardiorenal-pathologische Variablen als Mortalitätsprädiktor.</w:t>
      </w:r>
    </w:p>
    <w:p>
      <w:r>
        <w:rPr>
          <w:b/>
        </w:rPr>
        <w:t xml:space="preserve">Ergebnis: </w:t>
      </w:r>
      <w:r>
        <w:t>Frailty stark mit 12-Monats-Mortalität assoziiert (HR 3,29 pro Stratum, 95% KI 2,43–4,45). Mortalität stieg: CFS 1–3: 4,5 %, CFS 4–5: 19,3 %, CFS 6–9: 49,7 %. Addition von CFS zum kardiorenal-Modell verbesserte C-Index von 0,701 auf 0,734 (optimism-korrigiert 0,694–0,726).</w:t>
      </w:r>
    </w:p>
    <w:p>
      <w:r>
        <w:rPr>
          <w:b/>
          <w:sz w:val="19"/>
        </w:rPr>
        <w:t xml:space="preserve">Übertragbarkeit: </w:t>
      </w:r>
      <w:r>
        <w:rPr>
          <w:sz w:val="19"/>
        </w:rPr>
        <w:t>Griechenland, Universitätsklinik; CFS-Messung in deutschen Kliniken praktikabel</w:t>
      </w:r>
    </w:p>
    <w:p>
      <w:r>
        <w:rPr>
          <w:color w:val="5A7D3A"/>
          <w:sz w:val="18"/>
        </w:rPr>
        <w:t>https://pubmed.ncbi.nlm.nih.gov/42942474/</w:t>
      </w:r>
    </w:p>
    <w:p>
      <w:pPr>
        <w:pStyle w:val="Heading2"/>
      </w:pPr>
      <w:r>
        <w:t>Intrinsic Capacity vorhersagt Erfolg kardiovaskulärer Rehabilitation bei Älteren</w:t>
      </w:r>
    </w:p>
    <w:p>
      <w:r>
        <w:rPr>
          <w:i/>
          <w:color w:val="666666"/>
          <w:sz w:val="18"/>
        </w:rPr>
        <w:t>Bencivenga L et al.  ·  J Nutr Health Aging  ·  26.09.2026  ·  PMID 42800461</w:t>
      </w:r>
    </w:p>
    <w:p>
      <w:r>
        <w:t>Prospektive Studie mit 551 italienischen Patienten ≥65 Jahren in kardialer Rehabilitation, vergleichend Intrinsic Capacity und Frailty Index als Prädiktoren für Gehstrecke nach Rehabilitation.</w:t>
      </w:r>
    </w:p>
    <w:p>
      <w:r>
        <w:rPr>
          <w:b/>
        </w:rPr>
        <w:t xml:space="preserve">Ergebnis: </w:t>
      </w:r>
      <w:r>
        <w:t>Intrinsic Capacity zeigte stärkere Assoziation mit Gehstreckengewinn (β=0,571; R²adj=0,362) als Frailty Index (β=-0,281; R²adj=0,235). Effektstärke für Intrinsic Capacity vs. Frailty: Differenz in R²adj von 0,127 Punkte (12,7 % besser erklärte Varianz).</w:t>
      </w:r>
    </w:p>
    <w:p>
      <w:r>
        <w:rPr>
          <w:b/>
          <w:sz w:val="19"/>
        </w:rPr>
        <w:t xml:space="preserve">Übertragbarkeit: </w:t>
      </w:r>
      <w:r>
        <w:rPr>
          <w:sz w:val="19"/>
        </w:rPr>
        <w:t>Italien, vergleichbares Sozialsystem; Comprehensive Geriatric Assessment etabliert in DACH-Ländern</w:t>
      </w:r>
    </w:p>
    <w:p>
      <w:r>
        <w:rPr>
          <w:color w:val="5A7D3A"/>
          <w:sz w:val="18"/>
        </w:rPr>
        <w:t>https://pubmed.ncbi.nlm.nih.gov/42800461/</w:t>
      </w:r>
    </w:p>
    <w:p>
      <w:pPr>
        <w:pStyle w:val="Heading2"/>
      </w:pPr>
      <w:r>
        <w:t>Bewegungsförderung älterer Menschen auf kommunaler Ebene: Strukturen, Barrieren, politische Strategien</w:t>
      </w:r>
    </w:p>
    <w:p>
      <w:r>
        <w:rPr>
          <w:i/>
          <w:color w:val="666666"/>
          <w:sz w:val="18"/>
        </w:rPr>
        <w:t>Aluttis C et al.  ·  Bundesgesundheitsblatt Gesundheitsforschung Gesundheitsschutz  ·  23.09.2026  ·  PMID 42776169</w:t>
      </w:r>
    </w:p>
    <w:p>
      <w:r>
        <w:t>Deutsche Qualitativ-Analyse zu Bewegungsförderung von über 65-Jährigen in Kommunen, untersucht Strukturen, Implementierungsbarrieren und Rolle von Narrativen in der Politikpriorisierung.</w:t>
      </w:r>
    </w:p>
    <w:p>
      <w:r>
        <w:rPr>
          <w:b/>
        </w:rPr>
        <w:t xml:space="preserve">Ergebnis: </w:t>
      </w:r>
      <w:r>
        <w:t>Mehrheit der 65+-Jährigen in Deutschland erfüllt Bewegungsempfehlungen nicht (Norm: Mangel statt Aktivität). Barrieren auf kommunaler Ebene: Fragmentierung, projektbezogene Ansätze, begrenzte Ressourcen. Lösungsfaktoren: aktivitätsfreundliche Strukturen (sichere Wege, erreichbare Ziele, öffentliche Räume); strategische Narrative können Priorisierung verschieben.</w:t>
      </w:r>
    </w:p>
    <w:p>
      <w:r>
        <w:rPr>
          <w:b/>
          <w:sz w:val="19"/>
        </w:rPr>
        <w:t xml:space="preserve">Übertragbarkeit: </w:t>
      </w:r>
      <w:r>
        <w:rPr>
          <w:sz w:val="19"/>
        </w:rPr>
        <w:t>Deutschland, direktes Erhebungsland; kommunale Ebene Schlüsselansatz im föderalen System</w:t>
      </w:r>
    </w:p>
    <w:p>
      <w:r>
        <w:rPr>
          <w:color w:val="5A7D3A"/>
          <w:sz w:val="18"/>
        </w:rPr>
        <w:t>https://pubmed.ncbi.nlm.nih.gov/42776169/</w:t>
      </w:r>
    </w:p>
    <w:p>
      <w:pPr>
        <w:pStyle w:val="Heading2"/>
      </w:pPr>
      <w:r>
        <w:t>Insulinresistenz-Surrogate vorhersagt Cardiometabolische Multimorbidität konsistent in China und England</w:t>
      </w:r>
    </w:p>
    <w:p>
      <w:r>
        <w:rPr>
          <w:i/>
          <w:color w:val="666666"/>
          <w:sz w:val="18"/>
        </w:rPr>
        <w:t>Wei J et al.  ·  Maturitas  ·  04.09.2026  ·  PMID 42721914</w:t>
      </w:r>
    </w:p>
    <w:p>
      <w:r>
        <w:t>Prospektive Kohortenstudie: China Health and Retirement Longitudinal Study + English Longitudinal Study of Ageing, harmonisierte Daten von älteren Teilnehmern, geschätzte Glukose-Disposal-Rate als Prädiktor für nicht-glykämische Herzerkrankung/-Schlaganfall und Multimorbidität-Progression.</w:t>
      </w:r>
    </w:p>
    <w:p>
      <w:r>
        <w:rPr>
          <w:b/>
        </w:rPr>
        <w:t xml:space="preserve">Ergebnis: </w:t>
      </w:r>
      <w:r>
        <w:t>Untere Glukose-Disposal-Rate mit Herzerkrankung/Schlaganfall-Inzidenz: HR 1,25 (KI 1,18–1,33) China, HR 1,23 (1,14–1,32) England; gepoolte HR 1,24 (1,19–1,30). External Concordance 0,66–0,68; Diskrimination besser als Hämoglobin A1c allein, aber nicht über Einzelkomponenten hinaus.</w:t>
      </w:r>
    </w:p>
    <w:p>
      <w:r>
        <w:rPr>
          <w:b/>
          <w:sz w:val="19"/>
        </w:rPr>
        <w:t xml:space="preserve">Übertragbarkeit: </w:t>
      </w:r>
      <w:r>
        <w:rPr>
          <w:sz w:val="19"/>
        </w:rPr>
        <w:t>China + England; Crossover-Validität, aber absolute Risikokalibrierung erfordert lokale Anpassung</w:t>
      </w:r>
    </w:p>
    <w:p>
      <w:r>
        <w:rPr>
          <w:color w:val="5A7D3A"/>
          <w:sz w:val="18"/>
        </w:rPr>
        <w:t>https://pubmed.ncbi.nlm.nih.gov/42721914/</w:t>
      </w:r>
    </w:p>
    <w:p>
      <w:pPr>
        <w:pStyle w:val="Heading2"/>
      </w:pPr>
      <w:r>
        <w:t>Frailty beschleunigt Multimorbiditätsaccumulation und kostet Jahre voller Gesundheit</w:t>
      </w:r>
    </w:p>
    <w:p>
      <w:r>
        <w:rPr>
          <w:i/>
          <w:color w:val="666666"/>
          <w:sz w:val="18"/>
        </w:rPr>
        <w:t>Xing X et al.  ·  J Nutr Health Aging  ·  04.09.2026  ·  PMID 42697174</w:t>
      </w:r>
    </w:p>
    <w:p>
      <w:r>
        <w:t>Multistate-Analyse von 276.696 UK-Biobank-Teilnehmern ohne Grunderkrankungen (mittleres Alter 55,3 Jahre), Frailty-Phänotyp als Prädiktor für Transition zu Erkrankung und Multimorbidität über 13 Jahre.</w:t>
      </w:r>
    </w:p>
    <w:p>
      <w:r>
        <w:rPr>
          <w:b/>
        </w:rPr>
        <w:t xml:space="preserve">Ergebnis: </w:t>
      </w:r>
      <w:r>
        <w:t>Frail-Gruppe verlor 2,72 Jahre (95% KI 2,64–2,81) multimorbidität-freies Überleben über 12 Jahre. Transition von gesund zu Erkrankung: HR 1,77 (1,72–1,83); von Erkrankung zu Multimorbidität: HR 1,73 (1,68–1,79). Eliminierung von Pre-Frailty/Frailty könnte 9,85 % der Inzidenzfälle verhindern.</w:t>
      </w:r>
    </w:p>
    <w:p>
      <w:r>
        <w:rPr>
          <w:b/>
          <w:sz w:val="19"/>
        </w:rPr>
        <w:t xml:space="preserve">Übertragbarkeit: </w:t>
      </w:r>
      <w:r>
        <w:rPr>
          <w:sz w:val="19"/>
        </w:rPr>
        <w:t>UK Biobank; Frailty-Screening in Prävention übertragbar auf deutsche Primärversorgung</w:t>
      </w:r>
    </w:p>
    <w:p>
      <w:r>
        <w:rPr>
          <w:color w:val="5A7D3A"/>
          <w:sz w:val="18"/>
        </w:rPr>
        <w:t>https://pubmed.ncbi.nlm.nih.gov/42697174/</w:t>
      </w:r>
    </w:p>
    <w:p>
      <w:pPr>
        <w:pStyle w:val="Heading1"/>
      </w:pPr>
      <w:r>
        <w:t>Aufgenommen am 27.10.2026</w:t>
      </w:r>
    </w:p>
    <w:p>
      <w:pPr>
        <w:pStyle w:val="Heading2"/>
      </w:pPr>
      <w:r>
        <w:t>Gefäßchirurgie: Geriatrisches Konsil senkt Sterblichkeit und Komplikationen bei älteren Patienten</w:t>
      </w:r>
    </w:p>
    <w:p>
      <w:r>
        <w:rPr>
          <w:i/>
          <w:color w:val="666666"/>
          <w:sz w:val="18"/>
        </w:rPr>
        <w:t>Power Foley M et al.  ·  Age Ageing  ·  03.08.2026  ·  PMID 42933995</w:t>
      </w:r>
    </w:p>
    <w:p>
      <w:r>
        <w:t>Systematische Übersicht von 8 Studien mit 2.441 Patienten, die formalisierte geriatrische Interventionen (präoperatives Comprehensive Assessment, Liaison-Service oder Co-Management) vor/während Gefäßchirurgie mit Standardversorgung verglich.</w:t>
      </w:r>
    </w:p>
    <w:p>
      <w:r>
        <w:rPr>
          <w:b/>
        </w:rPr>
        <w:t xml:space="preserve">Ergebnis: </w:t>
      </w:r>
      <w:r>
        <w:t>Geriatrische Modelle waren assoziiert mit reduziertem Risiko für Krankenhaussterblichkeit (RR 0,65; 95%-CI 0,46–0,90; p=0,010), kardiale Komplikationen (RR 0,35; p&lt;0,001) und Infektionen (RR 0,48; p&lt;0,001). Delirium-Risiko war nicht signifikant gesenkt. Verweildauer und Entlassungsort unterschieden sich nicht.</w:t>
      </w:r>
    </w:p>
    <w:p>
      <w:r>
        <w:rPr>
          <w:b/>
          <w:sz w:val="19"/>
        </w:rPr>
        <w:t xml:space="preserve">Übertragbarkeit: </w:t>
      </w:r>
      <w:r>
        <w:rPr>
          <w:sz w:val="19"/>
        </w:rPr>
        <w:t>Irland und Großbritannien; Befund übertragbar auf deutsches Gesundheitssystem mit ähnlichem Auftrag zur geriatrischen Ko-Versorgung.</w:t>
      </w:r>
    </w:p>
    <w:p>
      <w:r>
        <w:rPr>
          <w:color w:val="5A7D3A"/>
          <w:sz w:val="18"/>
        </w:rPr>
        <w:t>https://pubmed.ncbi.nlm.nih.gov/42933995/</w:t>
      </w:r>
    </w:p>
    <w:p>
      <w:pPr>
        <w:pStyle w:val="Heading2"/>
      </w:pPr>
      <w:r>
        <w:t>Depression und Frailty: Depressive Symptome verdoppeln Gebrechlichkeitsrisiko bei älteren Patienten mit Kardiometabolischer Erkrankung</w:t>
      </w:r>
    </w:p>
    <w:p>
      <w:r>
        <w:rPr>
          <w:i/>
          <w:color w:val="666666"/>
          <w:sz w:val="18"/>
        </w:rPr>
        <w:t>Kobayashi F et al.  ·  PLoS One  ·  26.10.2026  ·  PMID 42932359</w:t>
      </w:r>
    </w:p>
    <w:p>
      <w:r>
        <w:t>Längscohortenstudie von 431 Patienten ≥65 Jahren mit kardiometabolischen Erkrankungen (Nachbeobachtung Median 2,9 Jahre) zur Assoziation depressiver Symptome (GDS-15 ≥5) mit neu aufgetretener Frailty.</w:t>
      </w:r>
    </w:p>
    <w:p>
      <w:r>
        <w:rPr>
          <w:b/>
        </w:rPr>
        <w:t xml:space="preserve">Ergebnis: </w:t>
      </w:r>
      <w:r>
        <w:t>Depressive Symptome waren unabhängig assoziiert mit Frailty (adjustierte HR für mCHS-Definition 1,92; 95%-CI 1,60–2,31; für KCL-Definition 2,05; 95%-CI 1,70–2,48). Signifikante Interaktion zwischen Depression und Diabetes: Patienten mit beiden Merkmalen hatten markant erhöhtes Frailty-Risiko.</w:t>
      </w:r>
    </w:p>
    <w:p>
      <w:r>
        <w:rPr>
          <w:b/>
          <w:sz w:val="19"/>
        </w:rPr>
        <w:t xml:space="preserve">Übertragbarkeit: </w:t>
      </w:r>
      <w:r>
        <w:rPr>
          <w:sz w:val="19"/>
        </w:rPr>
        <w:t>Japan; Befund ist altersunabhängig übertragbar, aber Messinstrumente (mCHS, KCL) sind von regionaler Anwendbarkeit abhängig.</w:t>
      </w:r>
    </w:p>
    <w:p>
      <w:r>
        <w:rPr>
          <w:color w:val="5A7D3A"/>
          <w:sz w:val="18"/>
        </w:rPr>
        <w:t>https://pubmed.ncbi.nlm.nih.gov/42932359/</w:t>
      </w:r>
    </w:p>
    <w:p>
      <w:pPr>
        <w:pStyle w:val="Heading2"/>
      </w:pPr>
      <w:r>
        <w:t>Schlaganfall-Rehabilitation: Ältere Patienten über 80 Jahren profitieren weniger von koordinierter Langzeitintervention</w:t>
      </w:r>
    </w:p>
    <w:p>
      <w:r>
        <w:rPr>
          <w:i/>
          <w:color w:val="666666"/>
          <w:sz w:val="18"/>
        </w:rPr>
        <w:t>Ihle-Hansen H et al.  ·  J Rehabil Med  ·  26.10.2026  ·  PMID 42929098</w:t>
      </w:r>
    </w:p>
    <w:p>
      <w:r>
        <w:t>Randomisierte Studie an 301 norwegischen Patienten nach Schlaganfall (Durchschnittsalter 71 Jahre), die eine 18 Monate andauernde koordinierte Intervention mit monatlichen Treffen versus Standardversorgung verglich.</w:t>
      </w:r>
    </w:p>
    <w:p>
      <w:r>
        <w:rPr>
          <w:b/>
        </w:rPr>
        <w:t xml:space="preserve">Ergebnis: </w:t>
      </w:r>
      <w:r>
        <w:t>Bei Patienten ≥80 Jahren war die Wahrscheinlichkeit für günstige Funktionsergebnisse in der Interventionsgruppe signifikant niedriger als in der Kontrolle (23,4 % vs. 57,0 %; p=0,004). Bei jüngeren Patienten verbesserte die Intervention die kognitiven Testergebnisse (Trail Making Test B: −32,2 s; p=0,015). Frailty als solche modifizierte die Interventionswirkung nicht.</w:t>
      </w:r>
    </w:p>
    <w:p>
      <w:r>
        <w:rPr>
          <w:b/>
          <w:sz w:val="19"/>
        </w:rPr>
        <w:t xml:space="preserve">Übertragbarkeit: </w:t>
      </w:r>
      <w:r>
        <w:rPr>
          <w:sz w:val="19"/>
        </w:rPr>
        <w:t>Norwegen, vergleichbares europäisches Versicherungssystem; Befund zu Altersgrenze hat universelle Relevanz für Geriatrie.</w:t>
      </w:r>
    </w:p>
    <w:p>
      <w:r>
        <w:rPr>
          <w:color w:val="5A7D3A"/>
          <w:sz w:val="18"/>
        </w:rPr>
        <w:t>https://pubmed.ncbi.nlm.nih.gov/42929098/</w:t>
      </w:r>
    </w:p>
    <w:p>
      <w:pPr>
        <w:pStyle w:val="Heading2"/>
      </w:pPr>
      <w:r>
        <w:t>Umweltbelastung und Schilddrüse: Benzol-Exposition erhöht Dysfunktionsrisiko durch Beschleunigung biologischen Alterns</w:t>
      </w:r>
    </w:p>
    <w:p>
      <w:r>
        <w:rPr>
          <w:i/>
          <w:color w:val="666666"/>
          <w:sz w:val="18"/>
        </w:rPr>
        <w:t>Yu L et al.  ·  Front Public Health  ·  17.09.2026  ·  PMID 42823953</w:t>
      </w:r>
    </w:p>
    <w:p>
      <w:r>
        <w:t>Kohortenstudie von 385.130 UK-Biobank-Teilnehmern zur Assoziation chronischer Benzol-Exposition mit Hypothyreose und Hyperthyreose; Testung, ob biologisches Altern den Effekt mediiert.</w:t>
      </w:r>
    </w:p>
    <w:p>
      <w:r>
        <w:rPr>
          <w:b/>
        </w:rPr>
        <w:t xml:space="preserve">Ergebnis: </w:t>
      </w:r>
      <w:r>
        <w:t>Benzol-Exposition zeigte dosisabhängige Assoziation mit Hypothyreose (HR pro 1 μg/m³: 1,19; 95%-CI 1,16–1,21) und Hyperthyreose (HR 1,21; 95%-CI 1,18–1,25). Beschleunigte biologische Alterung mediierte 3,07 % des Benzol-Hyperthyreose-Effekts; additive Interaktion mit höherem biologischem Alter auf Hypothyreose.</w:t>
      </w:r>
    </w:p>
    <w:p>
      <w:r>
        <w:rPr>
          <w:b/>
          <w:sz w:val="19"/>
        </w:rPr>
        <w:t xml:space="preserve">Übertragbarkeit: </w:t>
      </w:r>
      <w:r>
        <w:rPr>
          <w:sz w:val="19"/>
        </w:rPr>
        <w:t>UK Biobank; Luftqualitätsdaten sind in Deutschland verfügbar; biologische Altersmarker sind populationsübergreifend einsetzbar.</w:t>
      </w:r>
    </w:p>
    <w:p>
      <w:r>
        <w:rPr>
          <w:color w:val="5A7D3A"/>
          <w:sz w:val="18"/>
        </w:rPr>
        <w:t>https://pubmed.ncbi.nlm.nih.gov/42823953/</w:t>
      </w:r>
    </w:p>
    <w:p>
      <w:pPr>
        <w:pStyle w:val="Heading2"/>
      </w:pPr>
      <w:r>
        <w:t>Beschleunigte biologische Alterung erhöht Gicht-Risiko und Sterblichkeit bei älteren Menschen</w:t>
      </w:r>
    </w:p>
    <w:p>
      <w:r>
        <w:rPr>
          <w:i/>
          <w:color w:val="666666"/>
          <w:sz w:val="18"/>
        </w:rPr>
        <w:t>Zhao H et al.  ·  Maturitas  ·  25.09.2026  ·  PMID 42815273</w:t>
      </w:r>
    </w:p>
    <w:p>
      <w:r>
        <w:t>Querschnitts- und Kohortenstudie mit 385.130 UK-Biobank-Teilnehmern und 5.228 NHANES-Erwachsenen zur Assoziation von biologischem Altern (KDMAge, PhenoAge) mit Gicht-Prävalenz, Gicht-Inzidenz und Mortalität.</w:t>
      </w:r>
    </w:p>
    <w:p>
      <w:r>
        <w:rPr>
          <w:b/>
        </w:rPr>
        <w:t xml:space="preserve">Ergebnis: </w:t>
      </w:r>
      <w:r>
        <w:t>In NHANES war jedes Jahr biologischer Alterungsbeschleunigung mit 4 % erhöhtem Gicht-Risiko verbunden (OR 1,04; 95%-CI 1,03–1,05). Im UK Biobank: HR für Gicht-Neuauftreten bei KDMAge-Beschleunigung 1,80 (95%-CI 1,71–1,90). Bei Gicht-Patienten: beschleunigte biologische Alterung war mit 21–134 % erhöhtem Sterberisiko assoziiert (HR 1,21–2,34).</w:t>
      </w:r>
    </w:p>
    <w:p>
      <w:r>
        <w:rPr>
          <w:b/>
          <w:sz w:val="19"/>
        </w:rPr>
        <w:t xml:space="preserve">Übertragbarkeit: </w:t>
      </w:r>
      <w:r>
        <w:rPr>
          <w:sz w:val="19"/>
        </w:rPr>
        <w:t>UK Biobank und NHANES; biologische Altersmarker sind populationsübergreifend relevant, aber absolute Risiken gelten nur lokal.</w:t>
      </w:r>
    </w:p>
    <w:p>
      <w:r>
        <w:rPr>
          <w:color w:val="5A7D3A"/>
          <w:sz w:val="18"/>
        </w:rPr>
        <w:t>https://pubmed.ncbi.nlm.nih.gov/42815273/</w:t>
      </w:r>
    </w:p>
    <w:p>
      <w:pPr>
        <w:pStyle w:val="Heading2"/>
      </w:pPr>
      <w:r>
        <w:t>Armmuskulatur und Frailty: Dysbalance zwischen Fett und Muskel als klinisches Marker für biologische Alterung</w:t>
      </w:r>
    </w:p>
    <w:p>
      <w:r>
        <w:rPr>
          <w:i/>
          <w:color w:val="666666"/>
          <w:sz w:val="18"/>
        </w:rPr>
        <w:t>Sun Z et al.  ·  Maturitas  ·  17.09.2026  ·  PMID 42777331</w:t>
      </w:r>
    </w:p>
    <w:p>
      <w:r>
        <w:t>Querschnittsanalyse von 445.317 UK-Biobank-Teilnehmern zur Assoziation von regionalem Fett-Muskel-Verhältnis (aus Bioimpedanz) mit Frailty-Status und proteingestütztem biologischem Altern.</w:t>
      </w:r>
    </w:p>
    <w:p>
      <w:r>
        <w:rPr>
          <w:b/>
        </w:rPr>
        <w:t xml:space="preserve">Ergebnis: </w:t>
      </w:r>
      <w:r>
        <w:t>Höhere Fett-Muskel-Quoten waren dosisabhängig assoziiert mit Pre-Frailty und Frailty; Arm-Verhältnis war stärkster regionaler Prädiktor (Frauen: OR 2,95 für Frailty; 95%-CI 2,75–3,18). Arm-Quote verbesserte die BMI-basierte Diskrimination um AUC 0,0068–0,0137. Konkordanz mit multi-organ proteingestütztem Alterungsmuster.</w:t>
      </w:r>
    </w:p>
    <w:p>
      <w:r>
        <w:rPr>
          <w:b/>
          <w:sz w:val="19"/>
        </w:rPr>
        <w:t xml:space="preserve">Übertragbarkeit: </w:t>
      </w:r>
      <w:r>
        <w:rPr>
          <w:sz w:val="19"/>
        </w:rPr>
        <w:t>UK Biobank; körperanalytische Methoden sind in Deutschland verfügbar; Befund erfordert Validierung an deutschen Kohorten.</w:t>
      </w:r>
    </w:p>
    <w:p>
      <w:r>
        <w:rPr>
          <w:color w:val="5A7D3A"/>
          <w:sz w:val="18"/>
        </w:rPr>
        <w:t>https://pubmed.ncbi.nlm.nih.gov/42777331/</w:t>
      </w:r>
    </w:p>
    <w:p>
      <w:pPr>
        <w:pStyle w:val="Heading1"/>
      </w:pPr>
      <w:r>
        <w:t>Aufgenommen am 26.10.2026</w:t>
      </w:r>
    </w:p>
    <w:p>
      <w:pPr>
        <w:pStyle w:val="Heading2"/>
      </w:pPr>
      <w:r>
        <w:t>Frailty-Assessments in präoperativer Geriatrie: systematische Übersicht von 35 Werkzeugen</w:t>
      </w:r>
    </w:p>
    <w:p>
      <w:r>
        <w:rPr>
          <w:i/>
          <w:color w:val="666666"/>
          <w:sz w:val="18"/>
        </w:rPr>
        <w:t>Chesney TR et al.  ·  BJS Open  ·  04.09.2026  ·  PMID 42925091</w:t>
      </w:r>
    </w:p>
    <w:p>
      <w:r>
        <w:t>Systematische Scoping Review von 160 Studien zu 35 Frailty-Messinstrumenten bei Personen ≥65 Jahren vor großen Operationen, untersucht anhand von 6 Performanzmetriken (Messeigenschaften, klinische Implikationen, praktische Faktoren).</w:t>
      </w:r>
    </w:p>
    <w:p>
      <w:r>
        <w:rPr>
          <w:b/>
        </w:rPr>
        <w:t xml:space="preserve">Ergebnis: </w:t>
      </w:r>
      <w:r>
        <w:t>Clinical Frailty Scale extensiv erforscht (4 von 6 Metriken), aber 40 % der Tools nur in einer Studie untersucht. Edmonton Frail Scale einziges Tool über alle 6 Metriken validiert. FRAIL scale, Geriatric 8 und Vulnerable Elders Survey-13 zeigen gute Balance zwischen Simplizität und Evidenzlage. Prädiktive Validität am meisten untersucht, während klinische Auswirkungen und Implementierungsfaktoren untererforscht.</w:t>
      </w:r>
    </w:p>
    <w:p>
      <w:r>
        <w:rPr>
          <w:b/>
          <w:sz w:val="19"/>
        </w:rPr>
        <w:t xml:space="preserve">Übertragbarkeit: </w:t>
      </w:r>
      <w:r>
        <w:rPr>
          <w:sz w:val="19"/>
        </w:rPr>
        <w:t>Kanada, Cochrane Review – internationale Standards; Auswahl übertragbar auf deutschsprachige Kliniken.</w:t>
      </w:r>
    </w:p>
    <w:p>
      <w:r>
        <w:rPr>
          <w:color w:val="5A7D3A"/>
          <w:sz w:val="18"/>
        </w:rPr>
        <w:t>https://pubmed.ncbi.nlm.nih.gov/42925091/</w:t>
      </w:r>
    </w:p>
    <w:p>
      <w:pPr>
        <w:pStyle w:val="Heading2"/>
      </w:pPr>
      <w:r>
        <w:t>Arbeitsplatzmaßnahmen für gesundes Altern: Verfügbarkeit und Effekt auf Arbeitsfähigkeit in Italien</w:t>
      </w:r>
    </w:p>
    <w:p>
      <w:r>
        <w:rPr>
          <w:i/>
          <w:color w:val="666666"/>
          <w:sz w:val="18"/>
        </w:rPr>
        <w:t>Dragano N et al.  ·  Med Lav  ·  23.10.2026  ·  PMID 42925044</w:t>
      </w:r>
    </w:p>
    <w:p>
      <w:r>
        <w:t>Querschnittstudie an 3.741 berufstätigen Personen im Alter 50–65 Jahren in Italien, die Verfügbarkeit von 20 Maßnahmen zur Förderung gesunden Alterns sowie deren Assoziationen mit dem Work Ability Index (WAI) untersuchte.</w:t>
      </w:r>
    </w:p>
    <w:p>
      <w:r>
        <w:rPr>
          <w:b/>
        </w:rPr>
        <w:t xml:space="preserve">Ergebnis: </w:t>
      </w:r>
      <w:r>
        <w:t>Durchschnittliche Verfügbarkeit von 5 von 20 Maßnahmen (viele unter 20 % der Arbeitnehmer); weniger verfügbar für Frauen, mit niedrigem Einkommen, in bestimmten Wirtschaftssektoren und bei befristeten Verträgen. Höhere Verfügbarkeit von Maßnahmen assoziiert mit besserem WAI (β = 0,107; 95%-KI 0,058–0,157). Implementierung bleibt noch deutlich ausbaubar, besonders für benachteiligte Arbeitnehmergruppen.</w:t>
      </w:r>
    </w:p>
    <w:p>
      <w:r>
        <w:rPr>
          <w:b/>
          <w:sz w:val="19"/>
        </w:rPr>
        <w:t xml:space="preserve">Übertragbarkeit: </w:t>
      </w:r>
      <w:r>
        <w:rPr>
          <w:sz w:val="19"/>
        </w:rPr>
        <w:t>Italien/DACH-Nachbar, vergleichbarer Arbeitsmarkt und Sozialversicherung.</w:t>
      </w:r>
    </w:p>
    <w:p>
      <w:r>
        <w:rPr>
          <w:color w:val="5A7D3A"/>
          <w:sz w:val="18"/>
        </w:rPr>
        <w:t>https://pubmed.ncbi.nlm.nih.gov/42925044/</w:t>
      </w:r>
    </w:p>
    <w:p>
      <w:pPr>
        <w:pStyle w:val="Heading2"/>
      </w:pPr>
      <w:r>
        <w:t>Digitale Teilhabe älterer Menschen mit Gebrechlichkeit: qualitative Analyse von fünf Nutzer-Profilen</w:t>
      </w:r>
    </w:p>
    <w:p>
      <w:r>
        <w:rPr>
          <w:i/>
          <w:color w:val="666666"/>
          <w:sz w:val="18"/>
        </w:rPr>
        <w:t>Ren K et al.  ·  Front Public Health  ·  08.10.2026  ·  PMID 42923139</w:t>
      </w:r>
    </w:p>
    <w:p>
      <w:r>
        <w:t>Qualitative Studie mit 24 älteren Erwachsenen mit Interneterfahrung, die Muster der Internetnutzung nach Gebrechlichkeit mittels semi-strukturierter Interviews und inductiver Inhaltsanalyse mit Entwicklung von fünf User-Personas analysierte.</w:t>
      </w:r>
    </w:p>
    <w:p>
      <w:r>
        <w:rPr>
          <w:b/>
        </w:rPr>
        <w:t xml:space="preserve">Ergebnis: </w:t>
      </w:r>
      <w:r>
        <w:t>Fünf Personas identifiziert: Health-Empowered Integrators, Basic-Function Adapters, Entertainment-Oriented Users, Resource-Limited Users, Health-Affected Users. Kernfindung: Gebrechlichkeit korreliert nicht direkt mit Internetnutzung; stattdessen bestimmen Gesundheitsfunktionsfähigkeit, digitale Kompetenzen, Bildungsressourcen und soziale Unterstützung gemeinsam die Muster. Gezielte Unterstützung nach Persona-Merkmalen könnte digitale Gerechtigkeit und Zugang zu Gesundheitsressourcen verbessern.</w:t>
      </w:r>
    </w:p>
    <w:p>
      <w:r>
        <w:rPr>
          <w:b/>
          <w:sz w:val="19"/>
        </w:rPr>
        <w:t xml:space="preserve">Übertragbarkeit: </w:t>
      </w:r>
      <w:r>
        <w:rPr>
          <w:sz w:val="19"/>
        </w:rPr>
        <w:t>China, qualitative Methode universell; Persona-Ansatz zur Gesundheitsdigitalisierung übertragbar.</w:t>
      </w:r>
    </w:p>
    <w:p>
      <w:r>
        <w:rPr>
          <w:color w:val="5A7D3A"/>
          <w:sz w:val="18"/>
        </w:rPr>
        <w:t>https://pubmed.ncbi.nlm.nih.gov/42923139/</w:t>
      </w:r>
    </w:p>
    <w:p>
      <w:pPr>
        <w:pStyle w:val="Heading2"/>
      </w:pPr>
      <w:r>
        <w:t>Integrierte Altenpolitik und Lebensqualität: Difference-in-Differences-Analyse über 24 Länder</w:t>
      </w:r>
    </w:p>
    <w:p>
      <w:r>
        <w:rPr>
          <w:i/>
          <w:color w:val="666666"/>
          <w:sz w:val="18"/>
        </w:rPr>
        <w:t>Tu Y et al.  ·  Front Public Health  ·  09.10.2026  ·  PMID 42920700</w:t>
      </w:r>
    </w:p>
    <w:p>
      <w:r>
        <w:t>Differenzen-in-Differenzen-Analyse mit Daten von 24 Ländern (2018–2025), vergleichend 11 Länder mit nationalen integrierten Altenpflegepolitiken (2021–2022 eingeführt) mit 13 Kontrollländern, Endpunkte Lebensqualitätsindex und Lebenserwartung mit 60 Jahren.</w:t>
      </w:r>
    </w:p>
    <w:p>
      <w:r>
        <w:rPr>
          <w:b/>
        </w:rPr>
        <w:t xml:space="preserve">Ergebnis: </w:t>
      </w:r>
      <w:r>
        <w:t>Politikadoption assoziiert mit +3,84 Punkten im Lebensqualitätsindex (95%-KI 2,39–5,30; p&lt;0,01; 0,33 SD) und +1,13 Jahren Lebenserwartung mit 60 Jahren (95%-KI 0,50–1,75; p&lt;0,01; 0,36 SD). Effekte stiegen von Jahr 1 (1,26 Punkte) auf Jahr 3 nach Einführung (3,84 Punkte). Mechanismen: Erhöhte universelle Krankenversicherung (+4,13), Ausweitung Sozialschutz (+5,28), reduzierte Selbstbeteiligung (−3,42). Effekte robuster in Ländern mit niedrigerem Einkommen.</w:t>
      </w:r>
    </w:p>
    <w:p>
      <w:r>
        <w:rPr>
          <w:b/>
          <w:sz w:val="19"/>
        </w:rPr>
        <w:t xml:space="preserve">Übertragbarkeit: </w:t>
      </w:r>
      <w:r>
        <w:rPr>
          <w:sz w:val="19"/>
        </w:rPr>
        <w:t>Globale Evidenz, DACH-orientiert; Ergebnis hängt an Finanzierungssystem – teilweise übertragbar auf deutsche Ländermodelle.</w:t>
      </w:r>
    </w:p>
    <w:p>
      <w:r>
        <w:rPr>
          <w:color w:val="5A7D3A"/>
          <w:sz w:val="18"/>
        </w:rPr>
        <w:t>https://pubmed.ncbi.nlm.nih.gov/42920700/</w:t>
      </w:r>
    </w:p>
    <w:p>
      <w:pPr>
        <w:pStyle w:val="Heading2"/>
      </w:pPr>
      <w:r>
        <w:t>Clinical Frailty Scale: Assoziationen mit Lebensqualität bei akut hospitalisierten Älteren</w:t>
      </w:r>
    </w:p>
    <w:p>
      <w:r>
        <w:rPr>
          <w:i/>
          <w:color w:val="666666"/>
          <w:sz w:val="18"/>
        </w:rPr>
        <w:t>Roa Santervas L et al.  ·  J Frailty Aging  ·  17.10.2026  ·  PMID 42891948</w:t>
      </w:r>
    </w:p>
    <w:p>
      <w:r>
        <w:t>Cross-sektonale Studie an 382 Patienten ≥70 Jahren in einer norwegischen Notfallaufnahme, die Zusammenhänge zwischen Clinical Frailty Scale und allgemeiner sowie oraler gesundheitsbezogener Lebensqualität untersuchte.</w:t>
      </w:r>
    </w:p>
    <w:p>
      <w:r>
        <w:rPr>
          <w:b/>
        </w:rPr>
        <w:t xml:space="preserve">Ergebnis: </w:t>
      </w:r>
      <w:r>
        <w:t>Zunehmende Gebrechlichkeit war signifikant mit niedrigeren 15D-Scores assoziiert (adjustiertes B −0,053; 95%-KI −0,061 bis −0,045), höheren Odds für niedrigere Lebenszufriedenheit (adjustierte OR 1,19; 95%-KI 1,02–1,39) und höheren Odds für negative Auswirkungen der Mundgesundheit (adjustierte OR 1,25; 95%-KI 1,05–1,48). Einfache Frailty-Bewertung bei akuter Aufnahme kann Patienten mit schlechterer Lebensqualität identifizieren.</w:t>
      </w:r>
    </w:p>
    <w:p>
      <w:r>
        <w:rPr>
          <w:b/>
          <w:sz w:val="19"/>
        </w:rPr>
        <w:t xml:space="preserve">Übertragbarkeit: </w:t>
      </w:r>
      <w:r>
        <w:rPr>
          <w:sz w:val="19"/>
        </w:rPr>
        <w:t>Norwegen, vergleichbares Versicherungssystem, ähnliche Notfallversorgungsstruktur.</w:t>
      </w:r>
    </w:p>
    <w:p>
      <w:r>
        <w:rPr>
          <w:color w:val="5A7D3A"/>
          <w:sz w:val="18"/>
        </w:rPr>
        <w:t>https://pubmed.ncbi.nlm.nih.gov/42891948/</w:t>
      </w:r>
    </w:p>
    <w:p>
      <w:pPr>
        <w:pStyle w:val="Heading2"/>
      </w:pPr>
      <w:r>
        <w:t>Gemeindeübungen und Funktionsbesserung bei älteren Menschen mit Gebrechlichkeit</w:t>
      </w:r>
    </w:p>
    <w:p>
      <w:r>
        <w:rPr>
          <w:i/>
          <w:color w:val="666666"/>
          <w:sz w:val="18"/>
        </w:rPr>
        <w:t>O'Shea M et al.  ·  J Frailty Aging  ·  05.10.2026  ·  PMID 42832337</w:t>
      </w:r>
    </w:p>
    <w:p>
      <w:r>
        <w:t>Prospektive Kohortenstudie mit 1.290 Teilnehmern (Durchschnittsalter 69 Jahre) in einem irischen, medizinisch betreuten Gruppentrainingsprogramm, stratifiziert nach Baseline-Gebrechlichkeit über 24 Wochen.</w:t>
      </w:r>
    </w:p>
    <w:p>
      <w:r>
        <w:rPr>
          <w:b/>
        </w:rPr>
        <w:t xml:space="preserve">Ergebnis: </w:t>
      </w:r>
      <w:r>
        <w:t>Bei Baseline 15 % fraile, 23 % präfraile, 62 % robuste Teilnehmer. Fraile Patienten zeigten Verbesserungen in Gehgeschwindigkeit, Timed Up and Go, sechsminütigem Gehtest und EQVAS zwischen Baseline und Woche 24; Präfraile in Sit-to-Stand, sechsminütigem Test und EQVAS; robuste in allen Maßnahmen. Programm war mit Funktionsverbesserungen über alle Frailty-Gruppen hinweg assoziiert.</w:t>
      </w:r>
    </w:p>
    <w:p>
      <w:r>
        <w:rPr>
          <w:b/>
          <w:sz w:val="19"/>
        </w:rPr>
        <w:t xml:space="preserve">Übertragbarkeit: </w:t>
      </w:r>
      <w:r>
        <w:rPr>
          <w:sz w:val="19"/>
        </w:rPr>
        <w:t>Irland, vergleichbares Primärversorgungssystem, Community-Setting übertragbar.</w:t>
      </w:r>
    </w:p>
    <w:p>
      <w:r>
        <w:rPr>
          <w:color w:val="5A7D3A"/>
          <w:sz w:val="18"/>
        </w:rPr>
        <w:t>https://pubmed.ncbi.nlm.nih.gov/42832337/</w:t>
      </w:r>
    </w:p>
    <w:p>
      <w:pPr>
        <w:pStyle w:val="Heading2"/>
      </w:pPr>
      <w:r>
        <w:t>Gebrechlichkeit und Palliativbedarf: Unterscheidung durch Fachleute – qualitative Fallstudiensynthese</w:t>
      </w:r>
    </w:p>
    <w:p>
      <w:r>
        <w:rPr>
          <w:i/>
          <w:color w:val="666666"/>
          <w:sz w:val="18"/>
        </w:rPr>
        <w:t>van der Ploeg T et al.  ·  J Frailty Aging  ·  05.09.2026  ·  PMID 42700391</w:t>
      </w:r>
    </w:p>
    <w:p>
      <w:r>
        <w:t>Qualitative Studie mit 15 Fallstudien, präsentiert an Fachleute in Niederlanden und Belgien (n=Respondenten mit Expertise), die Fähigkeit zur Unterscheidung zwischen Frailty-Komponenten und Palliativbedarf sowie Sicherheit dieser Urteile untersuchte.</w:t>
      </w:r>
    </w:p>
    <w:p>
      <w:r>
        <w:rPr>
          <w:b/>
        </w:rPr>
        <w:t xml:space="preserve">Ergebnis: </w:t>
      </w:r>
      <w:r>
        <w:t>Fachleute nutzen unterschiedliche Komponenten zur Klassifikation: In den meisten Fällen unterscheiden sich Frailty- und Palliativbewertungen signifikant (p&lt;0,05). Fachleute sind sicherer in der Erkennung von Frailty-Komponenten als Palliativbedarf. Erkenntnis: Patienten können Frailty-Komponenten haben ohne Palliativbedarf, aber nicht umgekehrt erkannt. Besseres Verständnis für Progression von Frailty zu Palliativbedarf könnte patientenzentrierte Versorgung und Lebensqualität verbessern.</w:t>
      </w:r>
    </w:p>
    <w:p>
      <w:r>
        <w:rPr>
          <w:b/>
          <w:sz w:val="19"/>
        </w:rPr>
        <w:t xml:space="preserve">Übertragbarkeit: </w:t>
      </w:r>
      <w:r>
        <w:rPr>
          <w:sz w:val="19"/>
        </w:rPr>
        <w:t>Niederlande/Belgien, deutschsprachige Gesundheitssysteme ähnlich; Befunde zur Versorgungsüberleitung anwendbar.</w:t>
      </w:r>
    </w:p>
    <w:p>
      <w:r>
        <w:rPr>
          <w:color w:val="5A7D3A"/>
          <w:sz w:val="18"/>
        </w:rPr>
        <w:t>https://pubmed.ncbi.nlm.nih.gov/42700391/</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2026-10-31T06:00:00Z</dcterms:created>
  <dcterms:modified xsi:type="dcterms:W3CDTF">2026-10-31T06:00:00Z</dcterms:modified>
  <cp:category/>
</cp:coreProperties>
</file>