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Gesundes Altern und Longevity</w:t>
      </w:r>
    </w:p>
    <w:p>
      <w:r>
        <w:rPr>
          <w:i/>
          <w:color w:val="666666"/>
          <w:sz w:val="18"/>
        </w:rPr>
        <w:t>Stand: 11.10.2026  |  304 Studien  |  longevity.m-vf.de</w:t>
      </w:r>
    </w:p>
    <w:p>
      <w:pPr>
        <w:pStyle w:val="Heading1"/>
      </w:pPr>
      <w:r>
        <w:t>Aufgenommen am 11.10.2026</w:t>
      </w:r>
    </w:p>
    <w:p>
      <w:pPr>
        <w:pStyle w:val="Heading2"/>
      </w:pPr>
      <w:r>
        <w:t>Frailty-Assessment verbessert Risikostratifizierung bei rekonstruktiver Kopf-Hals-Chirurgie</w:t>
      </w:r>
    </w:p>
    <w:p>
      <w:r>
        <w:rPr>
          <w:i/>
          <w:color w:val="666666"/>
          <w:sz w:val="18"/>
        </w:rPr>
        <w:t>Tee JW et al.  ·  Microsurgery  ·  Okt. 2026  ·  PMID 42855949</w:t>
      </w:r>
    </w:p>
    <w:p>
      <w:r>
        <w:t>Retrospektive Kohortenstudie mit 406 Patienten, die sich einer Fibula-Free-Flap-Rekonstruktion unterzogen, untersuchte den Wert des modifizierten Frailty-Index (mFI-5) zur Vorhersage perioperativer Komplikationen.</w:t>
      </w:r>
    </w:p>
    <w:p>
      <w:r>
        <w:rPr>
          <w:b/>
        </w:rPr>
        <w:t xml:space="preserve">Ergebnis: </w:t>
      </w:r>
      <w:r>
        <w:t>Der mFI-5 war ein stärkerer Prädiktor für Morbidität als das chronologische Alter. Patienten mit mFI-5=1 (adjustierte Odds Ratio 1,84; 95%-KI 1,01–3,47) und mFI-5=2 (aOR 3,45; 95%-KI 1,38–8,57) zeigten signifikant erhöhtes Risiko für medizinische Komplikationen. Ein mFI-5=2 war auch unabhängiger Prädiktor für chirurgische Komplikationen (aOR 2,27; 95%-KI 1,00–5,43).</w:t>
      </w:r>
    </w:p>
    <w:p>
      <w:r>
        <w:rPr>
          <w:b/>
          <w:sz w:val="19"/>
        </w:rPr>
        <w:t xml:space="preserve">Übertragbarkeit: </w:t>
      </w:r>
      <w:r>
        <w:rPr>
          <w:sz w:val="19"/>
        </w:rPr>
        <w:t>Deutschland – Klinikdaten (ACS-NSQIP), Frailty-Assessment etabliert im deutschsprachigen Raum.</w:t>
      </w:r>
    </w:p>
    <w:p>
      <w:r>
        <w:rPr>
          <w:color w:val="5A7D3A"/>
          <w:sz w:val="18"/>
        </w:rPr>
        <w:t>https://pubmed.ncbi.nlm.nih.gov/42855949/</w:t>
      </w:r>
    </w:p>
    <w:p>
      <w:pPr>
        <w:pStyle w:val="Heading2"/>
      </w:pPr>
      <w:r>
        <w:t>Gesundheitskompetenz fördert erfolgreiches Altern bei älteren Ägyptern</w:t>
      </w:r>
    </w:p>
    <w:p>
      <w:r>
        <w:rPr>
          <w:i/>
          <w:color w:val="666666"/>
          <w:sz w:val="18"/>
        </w:rPr>
        <w:t>Ibrahim HS et al.  ·  BMC Public Health  ·  09.10.2026  ·  PMID 42855688</w:t>
      </w:r>
    </w:p>
    <w:p>
      <w:r>
        <w:t>Querschnittvergleichsstudie mit 246 Teilnehmern (123 mit chronischen Erkrankungen, 123 gesund), alle ≥65 Jahre, untersuchte den Zusammenhang zwischen Gesundheitskompetenz (Health Literacy) und erfolgreichem Altern (Successful Aging).</w:t>
      </w:r>
    </w:p>
    <w:p>
      <w:r>
        <w:rPr>
          <w:b/>
        </w:rPr>
        <w:t xml:space="preserve">Ergebnis: </w:t>
      </w:r>
      <w:r>
        <w:t>Patienten zeigten signifikant niedrigere Gesundheitskompetenz- und Erfolgreiches-Altern-Scores als Kontrollen (p&lt;0,001). Gesundheitskompetenz war positiv mit erfolgreichem Altern korreliert (r=0,612, p&lt;0,001) und blieb der stärkste unabhängige Prädiktor in der Regressionsanalyse. Höhere Bildung und Einkommen verbesserten erfolgreiches Altern; Alter, ländliche Wohnorte und Rauchen beeinträchtigten es.</w:t>
      </w:r>
    </w:p>
    <w:p>
      <w:r>
        <w:rPr>
          <w:b/>
          <w:sz w:val="19"/>
        </w:rPr>
        <w:t xml:space="preserve">Übertragbarkeit: </w:t>
      </w:r>
      <w:r>
        <w:rPr>
          <w:sz w:val="19"/>
        </w:rPr>
        <w:t>Ägypten – Übertragbarkeit begrenzt durch unterschiedliche Gesundheitssysteme und Sozialversicherung.</w:t>
      </w:r>
    </w:p>
    <w:p>
      <w:r>
        <w:rPr>
          <w:color w:val="5A7D3A"/>
          <w:sz w:val="18"/>
        </w:rPr>
        <w:t>https://pubmed.ncbi.nlm.nih.gov/42855688/</w:t>
      </w:r>
    </w:p>
    <w:p>
      <w:pPr>
        <w:pStyle w:val="Heading2"/>
      </w:pPr>
      <w:r>
        <w:t>Altersgerechte Versorgung und Wellness in Zhejiang: räumlich-zeitliche Entwicklung</w:t>
      </w:r>
    </w:p>
    <w:p>
      <w:r>
        <w:rPr>
          <w:i/>
          <w:color w:val="666666"/>
          <w:sz w:val="18"/>
        </w:rPr>
        <w:t>Qin S et al.  ·  Inquiry  ·  09.10.2026  ·  PMID 42853239</w:t>
      </w:r>
    </w:p>
    <w:p>
      <w:r>
        <w:t>Bewertungsstudie mit Entropie-Gewichtungsmethode analysierte räumlich-zeitliche Muster der Eignung älterenbezogener Versorgung und Wellness (SECW) in 11 Präfekturen Zhejangs 2014–2023 anhand von natürlichen Ressourcen, sozialen Ressourcen und sozialem Unterstützungsindex.</w:t>
      </w:r>
    </w:p>
    <w:p>
      <w:r>
        <w:rPr>
          <w:b/>
        </w:rPr>
        <w:t xml:space="preserve">Ergebnis: </w:t>
      </w:r>
      <w:r>
        <w:t>Gesamttrend der SECW in Zhejiang war aufsteigend, regionale Disparitäten bestanden fort. Ein Drei-Ebenen-Muster entstand: Hangzhou und Ningbo als Hochwertzentren; Küsten- und Zentralstädte als dynamische mittlere Ebene; Südwestregionen als relativ rückständige dritte Ebene. Moran's I-Analysen offenbarten negative räumliche Autokorrelation, dominiert von "High-Low"- und "Low-High"-Mustern; keine signifikanten Hochwertagglomerationen.</w:t>
      </w:r>
    </w:p>
    <w:p>
      <w:r>
        <w:rPr>
          <w:b/>
          <w:sz w:val="19"/>
        </w:rPr>
        <w:t xml:space="preserve">Übertragbarkeit: </w:t>
      </w:r>
      <w:r>
        <w:rPr>
          <w:sz w:val="19"/>
        </w:rPr>
        <w:t>China – Gesundheitssystem und Regionalstruktur unterscheiden sich von Deutschland; Konzept der Versorgungsgerechtigkeit aber relevant.</w:t>
      </w:r>
    </w:p>
    <w:p>
      <w:r>
        <w:rPr>
          <w:color w:val="5A7D3A"/>
          <w:sz w:val="18"/>
        </w:rPr>
        <w:t>https://pubmed.ncbi.nlm.nih.gov/42853239/</w:t>
      </w:r>
    </w:p>
    <w:p>
      <w:pPr>
        <w:pStyle w:val="Heading2"/>
      </w:pPr>
      <w:r>
        <w:t>Grünflächen schützen vor beschleunigter biologischer Alterung trotz Luftverschmutzung</w:t>
      </w:r>
    </w:p>
    <w:p>
      <w:r>
        <w:rPr>
          <w:i/>
          <w:color w:val="666666"/>
          <w:sz w:val="18"/>
        </w:rPr>
        <w:t>Ma G et al.  ·  Environ Health Perspect  ·  06.10.2026  ·  PMID 42852352</w:t>
      </w:r>
    </w:p>
    <w:p>
      <w:r>
        <w:t>Längsschnittstudie mit 11.760 Erwachsenen (20–65 Jahre) in chinesischer Hochverschmutzungsstadt untersuchte die Auswirkungen von Grünflächen und Luftschadstoffmischung auf biologische Alterungsmuster mittels Klemera-Doubal-Methode.</w:t>
      </w:r>
    </w:p>
    <w:p>
      <w:r>
        <w:rPr>
          <w:b/>
        </w:rPr>
        <w:t xml:space="preserve">Ergebnis: </w:t>
      </w:r>
      <w:r>
        <w:t>Höhere Grünflächenexposition (NDVI 500 m) war mit niedrigeren Chancen für Zugehörigkeit zur beschleunigten Alterungstrajektorie verbunden (OR 0,84; 95%-KI 0,75–0,95). Höhere PM₂,₅-, PM₁₀-, SO₂- und O₃-Expositionen waren mit höheren Chancen für beschleunigte Alterung assoziiert. Die Schadstoffmischung zeigte konsistente positive Assoziation (OR 1,16; 95%-KI 1,08–1,24), dominiert durch O₃ und PM₁₀. Grünflächen-Schutzeffekt wurde zu 25% durch reduzierte Schadstoffexposition vermittelt.</w:t>
      </w:r>
    </w:p>
    <w:p>
      <w:r>
        <w:rPr>
          <w:b/>
          <w:sz w:val="19"/>
        </w:rPr>
        <w:t xml:space="preserve">Übertragbarkeit: </w:t>
      </w:r>
      <w:r>
        <w:rPr>
          <w:sz w:val="19"/>
        </w:rPr>
        <w:t>China – Luftqualität und Grünflächenverfügbarkeit unterscheiden sich von Deutschland; Konzept aber auf deutsche Städte übertragbar.</w:t>
      </w:r>
    </w:p>
    <w:p>
      <w:r>
        <w:rPr>
          <w:color w:val="5A7D3A"/>
          <w:sz w:val="18"/>
        </w:rPr>
        <w:t>https://pubmed.ncbi.nlm.nih.gov/42852352/</w:t>
      </w:r>
    </w:p>
    <w:p>
      <w:pPr>
        <w:pStyle w:val="Heading2"/>
      </w:pPr>
      <w:r>
        <w:t>Regionale Disparitäten zwischen Bevölkerungsalterung und Gesundheitsressourcen in China</w:t>
      </w:r>
    </w:p>
    <w:p>
      <w:r>
        <w:rPr>
          <w:i/>
          <w:color w:val="666666"/>
          <w:sz w:val="18"/>
        </w:rPr>
        <w:t>Liu Q et al.  ·  Front Public Health  ·  23.09.2026  ·  PMID 42845648</w:t>
      </w:r>
    </w:p>
    <w:p>
      <w:r>
        <w:t>Provinziale Analyse (31 Regionen, 2000–2023) untersuchte die zeitlich-räumliche Koordination zwischen Alterungscharakteristiken der Bevölkerung und Kapazität des Gesundheitswesens mittels gekoppelter Koordinationsgradmodelle.</w:t>
      </w:r>
    </w:p>
    <w:p>
      <w:r>
        <w:rPr>
          <w:b/>
        </w:rPr>
        <w:t xml:space="preserve">Ergebnis: </w:t>
      </w:r>
      <w:r>
        <w:t>Chinas Alterungskoeffizient stieg von 7,0% (2000) auf 14,9% (2023). Die nationale Koordination verbesserte sich über den Zeitraum. Regionale Disparitäten blieben jedoch stark: Shandong und Jiangsu erreichten höchste Koordinationsklasse (D≥0,60), während Tibet und Qinghai in der niedrigsten Klasse blieben (D&lt;0,20). Der Variationskoeffizient der provinzialen Alterungskoeffizienten sank nur von 0,41 auf 0,38.</w:t>
      </w:r>
    </w:p>
    <w:p>
      <w:r>
        <w:rPr>
          <w:b/>
          <w:sz w:val="19"/>
        </w:rPr>
        <w:t xml:space="preserve">Übertragbarkeit: </w:t>
      </w:r>
      <w:r>
        <w:rPr>
          <w:sz w:val="19"/>
        </w:rPr>
        <w:t>China – Systeme und Ressourcenlage unterscheiden sich erheblich von Deutschland, Einsichten für Versorgungsplanung begrenzt übertragbar.</w:t>
      </w:r>
    </w:p>
    <w:p>
      <w:r>
        <w:rPr>
          <w:color w:val="5A7D3A"/>
          <w:sz w:val="18"/>
        </w:rPr>
        <w:t>https://pubmed.ncbi.nlm.nih.gov/42845648/</w:t>
      </w:r>
    </w:p>
    <w:p>
      <w:pPr>
        <w:pStyle w:val="Heading2"/>
      </w:pPr>
      <w:r>
        <w:t>Add CAPS-Protokoll: kognitives, physisches und Hörvermögen in der Midlife-Phase</w:t>
      </w:r>
    </w:p>
    <w:p>
      <w:r>
        <w:rPr>
          <w:i/>
          <w:color w:val="666666"/>
          <w:sz w:val="18"/>
        </w:rPr>
        <w:t>Aiello AE et al.  ·  J Gerontol B Psychol Sci Soc Sci  ·  01.10.2026  ·  PMID 42837504</w:t>
      </w:r>
    </w:p>
    <w:p>
      <w:r>
        <w:t>Methodenstudie zur Implementierung umfassender kognitiver, physischer und sensorischer Funktionstests (Add CAPS) bei 6.073 Personen durchschnittlich 44 Jahre alt in der Wave VI der Add Health Longitudinalstudie.</w:t>
      </w:r>
    </w:p>
    <w:p>
      <w:r>
        <w:rPr>
          <w:b/>
        </w:rPr>
        <w:t xml:space="preserve">Ergebnis: </w:t>
      </w:r>
      <w:r>
        <w:t>Antwortquoten betrugen ~85% für digitale kognitive Tests und ~94% für persönlich durchgeführte Tests. Jüngere Teilnehmende und solche mit höherer Bildung zeigten bessere kognitive Leistung. Männliche, ältere und weniger gebildete Teilnehmende hatten schlechteres Hörvermögen. Keine Altersunterschiede in der Handgriffstärke, aber Variation nach Bildung. Selbstberichtete kognitive und physische Schwierigkeiten waren häufig.</w:t>
      </w:r>
    </w:p>
    <w:p>
      <w:r>
        <w:rPr>
          <w:b/>
          <w:sz w:val="19"/>
        </w:rPr>
        <w:t xml:space="preserve">Übertragbarkeit: </w:t>
      </w:r>
      <w:r>
        <w:rPr>
          <w:sz w:val="19"/>
        </w:rPr>
        <w:t>USA – Add Health ist US-Kohortenstudie; Übertragung auf Deutschland eingeschränkt durch andere Altersstruktur und Versicherungssystem.</w:t>
      </w:r>
    </w:p>
    <w:p>
      <w:r>
        <w:rPr>
          <w:color w:val="5A7D3A"/>
          <w:sz w:val="18"/>
        </w:rPr>
        <w:t>https://pubmed.ncbi.nlm.nih.gov/42837504/</w:t>
      </w:r>
    </w:p>
    <w:p>
      <w:pPr>
        <w:pStyle w:val="Heading1"/>
      </w:pPr>
      <w:r>
        <w:t>Aufgenommen am 10.10.2026</w:t>
      </w:r>
    </w:p>
    <w:p>
      <w:pPr>
        <w:pStyle w:val="Heading2"/>
      </w:pPr>
      <w:r>
        <w:t>Aufwärts-Mobilität verzögert funktionalen Decline im Alter</w:t>
      </w:r>
    </w:p>
    <w:p>
      <w:r>
        <w:rPr>
          <w:i/>
          <w:color w:val="666666"/>
          <w:sz w:val="18"/>
        </w:rPr>
        <w:t>Guo L et al.  ·  J Glob Health  ·  09.10.2026  ·  PMID 42852608</w:t>
      </w:r>
    </w:p>
    <w:p>
      <w:r>
        <w:t>Harmonisierte Analyse von 100.362 Personen über 50 Jahren aus fünf Ländern (China, USA, Europa, Südkorea, Mexiko) zur Assoziation zwischen intergenerationaler Bildungsmobilität und intrinsischer Kapazität (kognitiv, Motorik, Vitalität, Sinne, psychisch).</w:t>
      </w:r>
    </w:p>
    <w:p>
      <w:r>
        <w:rPr>
          <w:b/>
        </w:rPr>
        <w:t xml:space="preserve">Ergebnis: </w:t>
      </w:r>
      <w:r>
        <w:t>Aufwärts-Mobilität korreliert mit höherer intrinsischer Kapazität (gepooltes β = 0,25; 95%-KI 0,24–0,26; p &lt; 0,001) und verzögert den altersbedingten Funktionsverlust in China, Europa, Südkorea und Mexiko signifikant. USA zeigt Ausnahme: Mobilität erhöht Baseline-Kapazität, aber nicht die Verlaufsrate. Befund unterstreicht Kontext-Abhängigkeit sozialer Determinanten.</w:t>
      </w:r>
    </w:p>
    <w:p>
      <w:r>
        <w:rPr>
          <w:b/>
          <w:sz w:val="19"/>
        </w:rPr>
        <w:t xml:space="preserve">Übertragbarkeit: </w:t>
      </w:r>
      <w:r>
        <w:rPr>
          <w:sz w:val="19"/>
        </w:rPr>
        <w:t>Europäische Länder inkludiert, aber Transferbarkeit auf Deutschland durch unterschiedliche Bildungs- und Sozialsysteme begrenzt.</w:t>
      </w:r>
    </w:p>
    <w:p>
      <w:r>
        <w:rPr>
          <w:color w:val="5A7D3A"/>
          <w:sz w:val="18"/>
        </w:rPr>
        <w:t>https://pubmed.ncbi.nlm.nih.gov/42852608/</w:t>
      </w:r>
    </w:p>
    <w:p>
      <w:pPr>
        <w:pStyle w:val="Heading2"/>
      </w:pPr>
      <w:r>
        <w:t>Zahnpflege-Inanspruchnahme und kognitiver Decline im Alter: 14-Jahr-Längsschnitt</w:t>
      </w:r>
    </w:p>
    <w:p>
      <w:r>
        <w:rPr>
          <w:i/>
          <w:color w:val="666666"/>
          <w:sz w:val="18"/>
        </w:rPr>
        <w:t>Jung YS et al.  ·  Front Public Health  ·  24.09.2026  ·  PMID 42851369</w:t>
      </w:r>
    </w:p>
    <w:p>
      <w:r>
        <w:t>Trajektorien-Analyse zahnärztlicher Inanspruchnahme über 14 Jahre (Health and Retirement Study, n = 14.599, ≥ 50 Jahre) und Assoziation mit kognitiver Leistung (27-Punkte-Score), mit Mediation durch Selbst-Gesundheit und ADL-Einschränkungen.</w:t>
      </w:r>
    </w:p>
    <w:p>
      <w:r>
        <w:rPr>
          <w:b/>
        </w:rPr>
        <w:t xml:space="preserve">Ergebnis: </w:t>
      </w:r>
      <w:r>
        <w:t>Drei Trajektorien identifiziert: Persistently High (53,3%), Decreasing (14,5%), Persistent Low (32,2%). Vs. Persistent High zeigte Persistent Low schnelleren kognitiven Decline (β = -0,107 pro 2-Jahr-Welle, 95%-KI -0,133 bis -0,081; p &lt; 0,0001), entsprechend 0,75 zusätzlichen Punkten über 14 Jahre. ADL-Verschlechterung mediiert 9,3–11,6% der Assoziation. Kausale Inferenz nicht möglich.</w:t>
      </w:r>
    </w:p>
    <w:p>
      <w:r>
        <w:rPr>
          <w:b/>
          <w:sz w:val="19"/>
        </w:rPr>
        <w:t xml:space="preserve">Übertragbarkeit: </w:t>
      </w:r>
      <w:r>
        <w:rPr>
          <w:sz w:val="19"/>
        </w:rPr>
        <w:t>US-Kohorte (Health and Retirement Study), Funktionsverschlechterung als Endpunkt systemunabhängig relevant; deutsche Übertragung mit Vorbehalten zur Gesundheitssystem-spezifität.</w:t>
      </w:r>
    </w:p>
    <w:p>
      <w:r>
        <w:rPr>
          <w:color w:val="5A7D3A"/>
          <w:sz w:val="18"/>
        </w:rPr>
        <w:t>https://pubmed.ncbi.nlm.nih.gov/42851369/</w:t>
      </w:r>
    </w:p>
    <w:p>
      <w:pPr>
        <w:pStyle w:val="Heading2"/>
      </w:pPr>
      <w:r>
        <w:t>Fettmasse-zu-Magermasse-Verhältnis im Alter: Perzentil-Kurven aus kanadischer Längsschnittstudie</w:t>
      </w:r>
    </w:p>
    <w:p>
      <w:r>
        <w:rPr>
          <w:i/>
          <w:color w:val="666666"/>
          <w:sz w:val="18"/>
        </w:rPr>
        <w:t>Kim C et al.  ·  J Cachexia Sarcopenia Muscle  ·  Okt. 2026  ·  PMID 42850807</w:t>
      </w:r>
    </w:p>
    <w:p>
      <w:r>
        <w:t>Entwicklung alters- und geschlechtsspezifischer FM/FFM-Perzentil-Kurven (1. bis 99. Perzentil) aus 28.791 Personen der Canadian Longitudinal Study on Aging (DXA-Messungen), um sarkopene Adipositas zu identifizieren.</w:t>
      </w:r>
    </w:p>
    <w:p>
      <w:r>
        <w:rPr>
          <w:b/>
        </w:rPr>
        <w:t xml:space="preserve">Ergebnis: </w:t>
      </w:r>
      <w:r>
        <w:t>Bei Männern steigen FM/FFM-Perzentile langsam mit Alter bis 70 Jahre, dann Stabilisierung; bei Frauen höhere Ausgangswerte, schnellerer Anstieg bis 68 Jahre (50. Perzentil: 0,71), dann Rückgang. Männer zeigen 50. Perzentil von 0,42 im Alter 86 Jahren. Kurven zeigen relevante alters- und geschlechtsspezifische Unterschiede für Risikoidentifikation.</w:t>
      </w:r>
    </w:p>
    <w:p>
      <w:r>
        <w:rPr>
          <w:b/>
          <w:sz w:val="19"/>
        </w:rPr>
        <w:t xml:space="preserve">Übertragbarkeit: </w:t>
      </w:r>
      <w:r>
        <w:rPr>
          <w:sz w:val="19"/>
        </w:rPr>
        <w:t>Kanadische Kohorte, ähnliches Gesundheitssystem; Daten direkt auf Deutschland übertragbar.</w:t>
      </w:r>
    </w:p>
    <w:p>
      <w:r>
        <w:rPr>
          <w:color w:val="5A7D3A"/>
          <w:sz w:val="18"/>
        </w:rPr>
        <w:t>https://pubmed.ncbi.nlm.nih.gov/42850807/</w:t>
      </w:r>
    </w:p>
    <w:p>
      <w:pPr>
        <w:pStyle w:val="Heading2"/>
      </w:pPr>
      <w:r>
        <w:t>Vitamin-D-Mangel und Sterblichkeit im Alter: Kohorten-Follow-up und Supplementierungseffekt</w:t>
      </w:r>
    </w:p>
    <w:p>
      <w:r>
        <w:rPr>
          <w:i/>
          <w:color w:val="666666"/>
          <w:sz w:val="18"/>
        </w:rPr>
        <w:t>Israel A et al.  ·  Aging Cell  ·  Okt. 2026  ·  PMID 42850752</w:t>
      </w:r>
    </w:p>
    <w:p>
      <w:r>
        <w:t>Longitudinale Analyse von über 468.500 Personen (israelisches und US-amerikanisches Kohorte) zur Assoziation zwischen Vitamin-D-Status und Alterungs-bezogenen Outcomes über bis zu 10 Jahren, mit Modellierung der Supplementierungs-Modifizierbarkeit.</w:t>
      </w:r>
    </w:p>
    <w:p>
      <w:r>
        <w:rPr>
          <w:b/>
        </w:rPr>
        <w:t xml:space="preserve">Ergebnis: </w:t>
      </w:r>
      <w:r>
        <w:t>Schwerer Vitamin-D-Mangel (&lt; 10 ng/mL vs. &gt; 30 ng/mL) assoziiert mit erhöhter Gesamtsterblichkeit (Israel: HR 2,57, 95%-KI 2,38–2,79; USA: HR 1,59, 95%-KI 1,55–1,63) und Multimorbidität. Supplementierung &gt; 10 ng/mL-Äquivalent reduziert Mortalität dose-abhängig (HR 0,72, 95%-KI 0,68–0,76). Befund unterstützt Vitamin D als modifizierbare Determinante der Alterungsvulnerabilität.</w:t>
      </w:r>
    </w:p>
    <w:p>
      <w:r>
        <w:rPr>
          <w:b/>
          <w:sz w:val="19"/>
        </w:rPr>
        <w:t xml:space="preserve">Übertragbarkeit: </w:t>
      </w:r>
      <w:r>
        <w:rPr>
          <w:sz w:val="19"/>
        </w:rPr>
        <w:t>Israelische Daten vergleichbar mit Deutschland (Gesundheitssystem); US-Ergebnisse mit Vorbehalten; klinische Modifizierbarkeit ist systemunabhängig.</w:t>
      </w:r>
    </w:p>
    <w:p>
      <w:r>
        <w:rPr>
          <w:color w:val="5A7D3A"/>
          <w:sz w:val="18"/>
        </w:rPr>
        <w:t>https://pubmed.ncbi.nlm.nih.gov/42850752/</w:t>
      </w:r>
    </w:p>
    <w:p>
      <w:pPr>
        <w:pStyle w:val="Heading2"/>
      </w:pPr>
      <w:r>
        <w:t>Ernährungsdiversität und Depression bei älteren Landbewohnern in China: dynamische Assoziationen</w:t>
      </w:r>
    </w:p>
    <w:p>
      <w:r>
        <w:rPr>
          <w:i/>
          <w:color w:val="666666"/>
          <w:sz w:val="18"/>
        </w:rPr>
        <w:t>Luohong et al.  ·  BMC Public Health  ·  24.07.2026  ·  PMID 42850599</w:t>
      </w:r>
    </w:p>
    <w:p>
      <w:r>
        <w:t>Latent Class Growth Analysis mit Netzwerk-Analyse (n = 899 ländliche Personen ≥ 60 Jahre, China, 2011–2018) zur Assoziation zwischen Ernährungsdiversitäts-Trajektorien und depressiven Symptomen (CESD-10).</w:t>
      </w:r>
    </w:p>
    <w:p>
      <w:r>
        <w:rPr>
          <w:b/>
        </w:rPr>
        <w:t xml:space="preserve">Ergebnis: </w:t>
      </w:r>
      <w:r>
        <w:t>Zwei Trajektorien: hoch und graduell steigend vs. persistently low. Persistently low-Gruppe zeigte höheres Depressionsrisiko (OR = 0,54, 95%-KI 0,396–0,736), d.h. 46% niedrigeres Risiko bei hoher Diversität. Netzwerk-Intensität unterschied sich signifikant (S = 0,98, p = 0,002). Kernale Symptome variierten zwischen Gruppen. Intervention auf Kernale Symptome empfohlen.</w:t>
      </w:r>
    </w:p>
    <w:p>
      <w:r>
        <w:rPr>
          <w:b/>
          <w:sz w:val="19"/>
        </w:rPr>
        <w:t xml:space="preserve">Übertragbarkeit: </w:t>
      </w:r>
      <w:r>
        <w:rPr>
          <w:sz w:val="19"/>
        </w:rPr>
        <w:t>China; Mechanism (Ernährung–Psyche) ist aber kulturunabhängig; moderate Übertragbarkeit auf Deutschland wegen anderer Ernährungskulturen und Lebensmittel-Verfügbarkeit.</w:t>
      </w:r>
    </w:p>
    <w:p>
      <w:r>
        <w:rPr>
          <w:color w:val="5A7D3A"/>
          <w:sz w:val="18"/>
        </w:rPr>
        <w:t>https://pubmed.ncbi.nlm.nih.gov/42850599/</w:t>
      </w:r>
    </w:p>
    <w:p>
      <w:pPr>
        <w:pStyle w:val="Heading2"/>
      </w:pPr>
      <w:r>
        <w:t>Neurologische Krankheitslast in Italien: Trends 1990–2023</w:t>
      </w:r>
    </w:p>
    <w:p>
      <w:r>
        <w:rPr>
          <w:i/>
          <w:color w:val="666666"/>
          <w:sz w:val="18"/>
        </w:rPr>
        <w:t>Brigo F et al.  ·  Neurol Sci  ·  09.10.2026  ·  PMID 42850460</w:t>
      </w:r>
    </w:p>
    <w:p>
      <w:r>
        <w:t>Analyse der Krankheitslast ausgewählter neurologischer Erkrankungen in Italien über 33 Jahre mittels Global Burden of Disease 2023-Daten (DALY, YLL, YLD).</w:t>
      </w:r>
    </w:p>
    <w:p>
      <w:r>
        <w:rPr>
          <w:b/>
        </w:rPr>
        <w:t xml:space="preserve">Ergebnis: </w:t>
      </w:r>
      <w:r>
        <w:t>Gesamte altersstandardisierte DALY-Raten sanken (EAPC -1,01%, 95%-KI -1,13 bis -0,89). Zerebrovaskuläre und ZNS-Infektionen zeigten größte Reduktionen; Multiple Sklerose, Parkinson, Epilepsie und Motoneuronerkrankung nahmen zu. Geschlechtsspezifische Unterschiede: Migräne, MS, Demenz stärker bei Frauen; Schlaganfall, Parkinson, Hirntumoren bei Männern.</w:t>
      </w:r>
    </w:p>
    <w:p>
      <w:r>
        <w:rPr>
          <w:b/>
          <w:sz w:val="19"/>
        </w:rPr>
        <w:t xml:space="preserve">Übertragbarkeit: </w:t>
      </w:r>
      <w:r>
        <w:rPr>
          <w:sz w:val="19"/>
        </w:rPr>
        <w:t>Italien, europäisches Gesundheitssystem mit vergleichbarer Datenerfassung; Ergebnisse auf Deutschland gut übertragbar.</w:t>
      </w:r>
    </w:p>
    <w:p>
      <w:r>
        <w:rPr>
          <w:color w:val="5A7D3A"/>
          <w:sz w:val="18"/>
        </w:rPr>
        <w:t>https://pubmed.ncbi.nlm.nih.gov/42850460/</w:t>
      </w:r>
    </w:p>
    <w:p>
      <w:pPr>
        <w:pStyle w:val="Heading1"/>
      </w:pPr>
      <w:r>
        <w:t>Aufgenommen am 09.10.2026</w:t>
      </w:r>
    </w:p>
    <w:p>
      <w:pPr>
        <w:pStyle w:val="Heading2"/>
      </w:pPr>
      <w:r>
        <w:t>Pflege-gestützte Intervention für aktives Altern bei migrierten älteren Menschen: Cluster-RCT-Protokoll</w:t>
      </w:r>
    </w:p>
    <w:p>
      <w:r>
        <w:rPr>
          <w:i/>
          <w:color w:val="666666"/>
          <w:sz w:val="18"/>
        </w:rPr>
        <w:t>Chen Z et al.  ·  J Eval Clin Pract  ·  Okt. 2026  ·  PMID 42848871</w:t>
      </w:r>
    </w:p>
    <w:p>
      <w:r>
        <w:t>Cluster-randomisierte Kontrollierte Studie plant Evaluation einer 22-Tage-Pflegeleiter-Intervention (TSAAIP-MOA) bei älteren Migranten mit Kindern in China zur Förderung aktiven Alterns.</w:t>
      </w:r>
    </w:p>
    <w:p>
      <w:r>
        <w:rPr>
          <w:b/>
        </w:rPr>
        <w:t xml:space="preserve">Ergebnis: </w:t>
      </w:r>
      <w:r>
        <w:t>Studienprotokoll: Primäroutcome ist Level aktiven Alterns; Sekundäroutcomes sind Änderungen in intrinsischer Kapazität, Gesundheitskompetenz und sozialer Teilhabe. Datensammlung an T0 (Baseline), T1 (Post-Intervention) und T2 (1 Monat nach Beginn); wiederholte ANOVA geplant. Programm kombiniert Familien- und Gemeinde-Unterstützung mit klinischer Betreuung.</w:t>
      </w:r>
    </w:p>
    <w:p>
      <w:r>
        <w:rPr>
          <w:b/>
          <w:sz w:val="19"/>
        </w:rPr>
        <w:t xml:space="preserve">Übertragbarkeit: </w:t>
      </w:r>
      <w:r>
        <w:rPr>
          <w:sz w:val="19"/>
        </w:rPr>
        <w:t>China-Studie, Protokoll noch nicht abgeschlossen; Konzept sozialer Integration und intrinsischer Kapazität in Versorgung relevant.</w:t>
      </w:r>
    </w:p>
    <w:p>
      <w:r>
        <w:rPr>
          <w:color w:val="5A7D3A"/>
          <w:sz w:val="18"/>
        </w:rPr>
        <w:t>https://pubmed.ncbi.nlm.nih.gov/42848871/</w:t>
      </w:r>
    </w:p>
    <w:p>
      <w:pPr>
        <w:pStyle w:val="Heading2"/>
      </w:pPr>
      <w:r>
        <w:t>Hypertonie-Verlaufsmuster und Gebrechlichkeit: Progressive Hypertonie verstärkt Frailty</w:t>
      </w:r>
    </w:p>
    <w:p>
      <w:r>
        <w:rPr>
          <w:i/>
          <w:color w:val="666666"/>
          <w:sz w:val="18"/>
        </w:rPr>
        <w:t>Pi Y et al.  ·  Geriatr Gerontol Int  ·  Okt. 2026  ·  PMID 42844672</w:t>
      </w:r>
    </w:p>
    <w:p>
      <w:r>
        <w:t>Longitudinale Kohortenstudie an 6.770 Älteren (CHARLS) untersuchte, ob unterschiedliche Hypertonie-Entwicklungsmuster mit späterer Gebrechlichkeit assoziiert sind.</w:t>
      </w:r>
    </w:p>
    <w:p>
      <w:r>
        <w:rPr>
          <w:b/>
        </w:rPr>
        <w:t xml:space="preserve">Ergebnis: </w:t>
      </w:r>
      <w:r>
        <w:t>Gegenüber anhaltend normaler Blutdruck zeigten progressive Hypertonie (β = 0,013; 95 %-KI: 0,006–0,020), remittierende/fluktuierende Hypertonie (β = 0,009; 95 %-KI: 0,003–0,015) und anhaltende Hypertonie (β = 0,008; 95 %-KI: 0,002–0,014) höhere Frailty-Indizes. Systolischer Druck zeigte nichtlineare Assoziation. Cystatin C und CRP vermittelten teilweise den Effekt persistenter Hypertonie auf Gebrechlichkeit.</w:t>
      </w:r>
    </w:p>
    <w:p>
      <w:r>
        <w:rPr>
          <w:b/>
          <w:sz w:val="19"/>
        </w:rPr>
        <w:t xml:space="preserve">Übertragbarkeit: </w:t>
      </w:r>
      <w:r>
        <w:rPr>
          <w:sz w:val="19"/>
        </w:rPr>
        <w:t>Chinesische Kohortenstudie, aber Hypertonie-Gebrechlichkeit-Assoziation mechanistisch universell.</w:t>
      </w:r>
    </w:p>
    <w:p>
      <w:r>
        <w:rPr>
          <w:color w:val="5A7D3A"/>
          <w:sz w:val="18"/>
        </w:rPr>
        <w:t>https://pubmed.ncbi.nlm.nih.gov/42844672/</w:t>
      </w:r>
    </w:p>
    <w:p>
      <w:pPr>
        <w:pStyle w:val="Heading2"/>
      </w:pPr>
      <w:r>
        <w:t>Mikrobiota-Zusammensetzung vorhersagt Entzündung besser als chronologisches Alter</w:t>
      </w:r>
    </w:p>
    <w:p>
      <w:r>
        <w:rPr>
          <w:i/>
          <w:color w:val="666666"/>
          <w:sz w:val="18"/>
        </w:rPr>
        <w:t>Eriksen C et al.  ·  Nat Commun  ·  08.09.2026  ·  PMID 42844264</w:t>
      </w:r>
    </w:p>
    <w:p>
      <w:r>
        <w:t>Analyse von 1.199 Erwachsenen (20–72 Jahre) zeigte, dass Darmmikrobiota-Zusammensetzung mehr Varianz in systemischen Entzündungsmarkern erklärt als Alter und mit Erkrankungsrisiko assoziiert ist.</w:t>
      </w:r>
    </w:p>
    <w:p>
      <w:r>
        <w:rPr>
          <w:b/>
        </w:rPr>
        <w:t xml:space="preserve">Ergebnis: </w:t>
      </w:r>
      <w:r>
        <w:t>Mikrobiota erklärte mehr Varianz als Alter für 97 % der Zytokine und 84 % der physiologischen Variablen. Bacteroides-2-Enterotyp zeigte inflammaging-ähnliches Phänotyp bereits in frühem Erwachsenenalter (bis zu 37 Jahre früher) mit erhöhtem Erkrankungsrisiko (Hazard Ratio 1,21; 95 %-KI: 1,18–1,25). High-Diversity-Enterotyp war mit niedriger Entzündung und reduziertem Risiko assoziiert. Mikrobiota ist ein stärkerer Entzündungskorrelat als chronologisches Alter.</w:t>
      </w:r>
    </w:p>
    <w:p>
      <w:r>
        <w:rPr>
          <w:b/>
          <w:sz w:val="19"/>
        </w:rPr>
        <w:t xml:space="preserve">Übertragbarkeit: </w:t>
      </w:r>
      <w:r>
        <w:rPr>
          <w:sz w:val="19"/>
        </w:rPr>
        <w:t>Dänische Bevölkerungsstudie, Mechanismus altersunabhängig, auf Deutschland übertragbar.</w:t>
      </w:r>
    </w:p>
    <w:p>
      <w:r>
        <w:rPr>
          <w:color w:val="5A7D3A"/>
          <w:sz w:val="18"/>
        </w:rPr>
        <w:t>https://pubmed.ncbi.nlm.nih.gov/42844264/</w:t>
      </w:r>
    </w:p>
    <w:p>
      <w:pPr>
        <w:pStyle w:val="Heading2"/>
      </w:pPr>
      <w:r>
        <w:t>Gebrechlichkeit bei älteren COPD-Patienten vorhersagt Exazerbationen und Klinikaufenthalte</w:t>
      </w:r>
    </w:p>
    <w:p>
      <w:r>
        <w:rPr>
          <w:i/>
          <w:color w:val="666666"/>
          <w:sz w:val="18"/>
        </w:rPr>
        <w:t>Bardakci MI et al.  ·  Colomb Med (Cali)  ·  30.03.2026  ·  PMID 42840874</w:t>
      </w:r>
    </w:p>
    <w:p>
      <w:r>
        <w:t>Querschnittstudie an 112 älteren COPD-Patienten (≥65 Jahre) prüfte, ob Gebrechlichkeit mit Krankheitsschwere, Exazerbationen und Hospitalisierungen korreliert.</w:t>
      </w:r>
    </w:p>
    <w:p>
      <w:r>
        <w:rPr>
          <w:b/>
        </w:rPr>
        <w:t xml:space="preserve">Ergebnis: </w:t>
      </w:r>
      <w:r>
        <w:t>Gebrechlichkeit-Prävalenz 49,1 % (55/112). Signifikante negative Korrelation zwischen FRAIL-Score und FEV1 % (rs −0,695; 95 %-KI: −0,782 bis −0,581; p &lt; 0,001). Positive Korrelationen mit CAT (rs 0,840; p &lt; 0,001) und mMRC (rs 0,733; p &lt; 0,001). Patienten mit höheren FRAIL-Scores hatten signifikant mehr Exazerbationen und Klinikaufenthalte (p &lt; 0,001).</w:t>
      </w:r>
    </w:p>
    <w:p>
      <w:r>
        <w:rPr>
          <w:b/>
          <w:sz w:val="19"/>
        </w:rPr>
        <w:t xml:space="preserve">Übertragbarkeit: </w:t>
      </w:r>
      <w:r>
        <w:rPr>
          <w:sz w:val="19"/>
        </w:rPr>
        <w:t>Türkische Studie, aber FRAIL-Score und COPD-Ergebnis international etabliert.</w:t>
      </w:r>
    </w:p>
    <w:p>
      <w:r>
        <w:rPr>
          <w:color w:val="5A7D3A"/>
          <w:sz w:val="18"/>
        </w:rPr>
        <w:t>https://pubmed.ncbi.nlm.nih.gov/42840874/</w:t>
      </w:r>
    </w:p>
    <w:p>
      <w:pPr>
        <w:pStyle w:val="Heading2"/>
      </w:pPr>
      <w:r>
        <w:t>CKM-spezifischer Aging-Index vorhersagt Mortalität besser als universelle biologische Alter</w:t>
      </w:r>
    </w:p>
    <w:p>
      <w:r>
        <w:rPr>
          <w:i/>
          <w:color w:val="666666"/>
          <w:sz w:val="18"/>
        </w:rPr>
        <w:t>Zhu Z et al.  ·  PLoS Med  ·  06.10.2026  ·  PMID 42837317</w:t>
      </w:r>
    </w:p>
    <w:p>
      <w:r>
        <w:t>Maschinelles Lernen an 6.896 NHANES-Teilnehmern entwickelte einen Cardiovascular-Kidney-Metabolic-spezifischen Aging-Index (CKMAI) zur Risikostratifizierung und Mortalitätsprognose.</w:t>
      </w:r>
    </w:p>
    <w:p>
      <w:r>
        <w:rPr>
          <w:b/>
        </w:rPr>
        <w:t xml:space="preserve">Ergebnis: </w:t>
      </w:r>
      <w:r>
        <w:t>CKMAI übertraf PhenoAge, KDM und CMI in allen Outcomes. Zeit-abhängige AUC für Gesamtmortalität: 0,893 (95 %-KI: 0,851–0,925) nach 3 Jahren, 0,907 (95 %-KI: 0,884–0,927) nach 5 Jahren, 0,890 (95 %-KI: 0,868–0,910) nach 10 Jahren. Schwellwertanalyse identifizierte Inflexionspunkte mit steileren Risikoerhöhungen darunter. Sechs Phänotypen-Cluster; Frailty-Cluster zeigte höchstes Mortalitätsrisiko (HR 11,74; 95 %-KI: 7,85–17,57).</w:t>
      </w:r>
    </w:p>
    <w:p>
      <w:r>
        <w:rPr>
          <w:b/>
          <w:sz w:val="19"/>
        </w:rPr>
        <w:t xml:space="preserve">Übertragbarkeit: </w:t>
      </w:r>
      <w:r>
        <w:rPr>
          <w:sz w:val="19"/>
        </w:rPr>
        <w:t>USA-Daten (NHANES), aber metabolische Pathophysiologie universell, externe Validierung in China.</w:t>
      </w:r>
    </w:p>
    <w:p>
      <w:r>
        <w:rPr>
          <w:color w:val="5A7D3A"/>
          <w:sz w:val="18"/>
        </w:rPr>
        <w:t>https://pubmed.ncbi.nlm.nih.gov/42837317/</w:t>
      </w:r>
    </w:p>
    <w:p>
      <w:pPr>
        <w:pStyle w:val="Heading2"/>
      </w:pPr>
      <w:r>
        <w:t>Chronische Krisen und biologisches Altern: Stress beschleunigt Frailty und funktionalen Verfall</w:t>
      </w:r>
    </w:p>
    <w:p>
      <w:r>
        <w:rPr>
          <w:i/>
          <w:color w:val="666666"/>
          <w:sz w:val="18"/>
        </w:rPr>
        <w:t>Lushchak O et al.  ·  Biogerontology  ·  03.09.2026  ·  PMID 42690451</w:t>
      </w:r>
    </w:p>
    <w:p>
      <w:r>
        <w:t>Perspektivarbeit argumentiert, dass prolongierte Krisen (beispielsweise Krieg) chronische biologische Alterungsprozesse durch Stressachsen-Überaktivierung, Schlafstörung, Entzündung und Sarkopenie beschleunigen.</w:t>
      </w:r>
    </w:p>
    <w:p>
      <w:r>
        <w:rPr>
          <w:b/>
        </w:rPr>
        <w:t xml:space="preserve">Ergebnis: </w:t>
      </w:r>
      <w:r>
        <w:t>Konzeptrahmen verbindet HPA-Achsen-Aktivierung, Glukokortikoid-Dysregulation, ROS-Produktion, zelluläre Seneszenz und Mitochondrien-Dysfunktion mit abdominalem Übergewicht, sarkopener Adipositas, Frailty und funktionalem Verfall unter Krisenbedingungen. Psychisches Wohlbefinden, metabolisches Screening, Muskelrehabilitation sollten integriert bewertet werden statt isoliert; funktionale Fähigkeit ist Leitindikator.</w:t>
      </w:r>
    </w:p>
    <w:p>
      <w:r>
        <w:rPr>
          <w:b/>
          <w:sz w:val="19"/>
        </w:rPr>
        <w:t xml:space="preserve">Übertragbarkeit: </w:t>
      </w:r>
      <w:r>
        <w:rPr>
          <w:sz w:val="19"/>
        </w:rPr>
        <w:t>Ukraine-Fallbeispiel; biologische Mechanismen krisen- und kontextabhängig, aber Prinzipien für Vulnerabilität älterer Menschen universal.</w:t>
      </w:r>
    </w:p>
    <w:p>
      <w:r>
        <w:rPr>
          <w:color w:val="5A7D3A"/>
          <w:sz w:val="18"/>
        </w:rPr>
        <w:t>https://pubmed.ncbi.nlm.nih.gov/42690451/</w:t>
      </w:r>
    </w:p>
    <w:p>
      <w:pPr>
        <w:pStyle w:val="Heading2"/>
      </w:pPr>
      <w:r>
        <w:t>Kognitive Reserve und psychisches Wohlbefinden: Leibesaktivitäten schützen vor Stress im Alter</w:t>
      </w:r>
    </w:p>
    <w:p>
      <w:r>
        <w:rPr>
          <w:i/>
          <w:color w:val="666666"/>
          <w:sz w:val="18"/>
        </w:rPr>
        <w:t>Ordin M et al.  ·  Brain Behav  ·  Sept. 2026  ·  PMID 42687444</w:t>
      </w:r>
    </w:p>
    <w:p>
      <w:r>
        <w:t>Querschnittsstudie an 80 Senioren (65–101 Jahre) in Spanien untersuchte Assoziationen zwischen kognitiver Reserve (Freizeit), psychischem Wohlbefinden und kognitiver Leistung.</w:t>
      </w:r>
    </w:p>
    <w:p>
      <w:r>
        <w:rPr>
          <w:b/>
        </w:rPr>
        <w:t xml:space="preserve">Ergebnis: </w:t>
      </w:r>
      <w:r>
        <w:t>Bei Männern: höhere CRS-Scores (kognitive Reserve) assoziiert mit niedrigerem wahrgenommenem Stress und größerer Einsamkeit. CRS-Scores korreliert mit ausgewählten Aufmerksamkeitsmaßen. Keine signifikante Assoziation zwischen CRS und Gedächtnisspanne. Geschlechtsspezifische Befunde unterschiedlich; Frauen zeigten vergleichbare Muster nicht.</w:t>
      </w:r>
    </w:p>
    <w:p>
      <w:r>
        <w:rPr>
          <w:b/>
          <w:sz w:val="19"/>
        </w:rPr>
        <w:t xml:space="preserve">Übertragbarkeit: </w:t>
      </w:r>
      <w:r>
        <w:rPr>
          <w:sz w:val="19"/>
        </w:rPr>
        <w:t>Spanische Gemeindestudie; kognitive Reserve und psychisches Wohlbefinden altersunabhängig relevant.</w:t>
      </w:r>
    </w:p>
    <w:p>
      <w:r>
        <w:rPr>
          <w:color w:val="5A7D3A"/>
          <w:sz w:val="18"/>
        </w:rPr>
        <w:t>https://pubmed.ncbi.nlm.nih.gov/42687444/</w:t>
      </w:r>
    </w:p>
    <w:p>
      <w:pPr>
        <w:pStyle w:val="Heading1"/>
      </w:pPr>
      <w:r>
        <w:t>Aufgenommen am 08.10.2026</w:t>
      </w:r>
    </w:p>
    <w:p>
      <w:pPr>
        <w:pStyle w:val="Heading2"/>
      </w:pPr>
      <w:r>
        <w:t>Hitzewellen gefährden geriatrische Versorgungspfade – Stresstest zeigt Systemfragmentierung</w:t>
      </w:r>
    </w:p>
    <w:p>
      <w:r>
        <w:rPr>
          <w:i/>
          <w:color w:val="666666"/>
          <w:sz w:val="18"/>
        </w:rPr>
        <w:t>Annweiler C et al.  ·  Geriatr Psychol Neuropsychiatr Vieil  ·  01.09.2026  ·  PMID 42842818</w:t>
      </w:r>
    </w:p>
    <w:p>
      <w:r>
        <w:t>Beobachtungsstudie zu Auswirkungen der Hitzewelle Juni/Juli 2026 auf akute geriatrische Stationen und Rehabilitationseinheiten in Frankreich mit Erfassung von Raumtemperaturen, Kapazitätsbelastung und organisatorischen Anpassungen.</w:t>
      </w:r>
    </w:p>
    <w:p>
      <w:r>
        <w:rPr>
          <w:b/>
        </w:rPr>
        <w:t xml:space="preserve">Ergebnis: </w:t>
      </w:r>
      <w:r>
        <w:t>45,5 % der Stationen meldeten zunächst unerträgliche Patientenzimmertemperaturen, 88,4 % Personalermüdung. Eine Woche später besserten sich die Akutsymptome (tolerable Temperaturen 53,6 % → 100 %, p&lt;0,001; Notaufnahmebelastung 91,1 % → 63,3 %, p&lt;0,001), doch die Downstream-Kapazität blieb kritisch: 87,5 % der Stationen meldeten unzureichende Rehabilitationskapazität, die sich nicht verbesserte (86,7 %, p=0,903). Gekürzte Räume und Geräte reduzierten Hitzekomplikationen. Das Hitzeereignis offenbarte ein bereits fragiles System mit persistenter Versorgungsfragmentierung.</w:t>
      </w:r>
    </w:p>
    <w:p>
      <w:r>
        <w:rPr>
          <w:b/>
          <w:sz w:val="19"/>
        </w:rPr>
        <w:t xml:space="preserve">Übertragbarkeit: </w:t>
      </w:r>
      <w:r>
        <w:rPr>
          <w:sz w:val="19"/>
        </w:rPr>
        <w:t>Frankreich, deutsche Versorgung vergleichbar gefährdet; Klimaresilenz Gesundheitswesen zentrale Strategie</w:t>
      </w:r>
    </w:p>
    <w:p>
      <w:r>
        <w:rPr>
          <w:color w:val="5A7D3A"/>
          <w:sz w:val="18"/>
        </w:rPr>
        <w:t>https://pubmed.ncbi.nlm.nih.gov/42842818/</w:t>
      </w:r>
    </w:p>
    <w:p>
      <w:pPr>
        <w:pStyle w:val="Heading2"/>
      </w:pPr>
      <w:r>
        <w:t>Kohlenhydrat-Fett-Verhältnis positiv mit Gebrechlichkeit assoziiert – Ernährungsempfehlung für Ältere</w:t>
      </w:r>
    </w:p>
    <w:p>
      <w:r>
        <w:rPr>
          <w:i/>
          <w:color w:val="666666"/>
          <w:sz w:val="18"/>
        </w:rPr>
        <w:t>Nanri H et al.  ·  Eur J Nutr  ·  07.10.2026  ·  PMID 42841976</w:t>
      </w:r>
    </w:p>
    <w:p>
      <w:r>
        <w:t>Querschnittstudie an 5.679 älteren Japanern (≥65 Jahre) zur Assoziation des Kohlenhydrat-zu-Fett-Energieverh ältnisses (CFr) mit umfassender Gebrechlichkeit (Kihon-Checklist-Score ≥7) über multivariable logistische Regression mit Stratifizierung nach Proteinzufuhr.</w:t>
      </w:r>
    </w:p>
    <w:p>
      <w:r>
        <w:rPr>
          <w:b/>
        </w:rPr>
        <w:t xml:space="preserve">Ergebnis: </w:t>
      </w:r>
      <w:r>
        <w:t>30,0 % (1.705/5.679) zeigten umfassende Gebrechlichkeit. Adjustierte Odds-Ratios für höchstes CFr-Quartil vs. niedrigstes: 1,92 (95%-KI 1,55–2,38, p&lt;0,001). Dose-Wirkung-Beziehung linear über alle Geschlechter und Proteinzufuhr-Tertile, ohne Effektmodifikation. Höhere Kohlenhydrate bei moderater Fettreduktion assoziiert mit erhöhter Gebrechlichkeitsprä valenz, unabhängig von Proteinmenge.</w:t>
      </w:r>
    </w:p>
    <w:p>
      <w:r>
        <w:rPr>
          <w:b/>
          <w:sz w:val="19"/>
        </w:rPr>
        <w:t xml:space="preserve">Übertragbarkeit: </w:t>
      </w:r>
      <w:r>
        <w:rPr>
          <w:sz w:val="19"/>
        </w:rPr>
        <w:t>Japan, Ernährungsepidemiologie; Qualität beschränkt auf Querschnitt ohne Kausalität</w:t>
      </w:r>
    </w:p>
    <w:p>
      <w:r>
        <w:rPr>
          <w:color w:val="5A7D3A"/>
          <w:sz w:val="18"/>
        </w:rPr>
        <w:t>https://pubmed.ncbi.nlm.nih.gov/42841976/</w:t>
      </w:r>
    </w:p>
    <w:p>
      <w:pPr>
        <w:pStyle w:val="Heading2"/>
      </w:pPr>
      <w:r>
        <w:t>Gebrechlichkeit vorhersagt prolongierte Hospitalisierung und schlechtere Outcomes nach Quadrizeps-Sehnenriss</w:t>
      </w:r>
    </w:p>
    <w:p>
      <w:r>
        <w:rPr>
          <w:i/>
          <w:color w:val="666666"/>
          <w:sz w:val="18"/>
        </w:rPr>
        <w:t>Ozdemir E et al.  ·  Ulus Travma Acil Cerrahi Derg  ·  Okt. 2026  ·  PMID 42841891</w:t>
      </w:r>
    </w:p>
    <w:p>
      <w:r>
        <w:t>Retrospektive multizentrische Kohortenstudie an 67 älteren Patienten (Mittelwert 57,5 Jahre) mit akutem Quadrizeps-Sehnenriss, bewertet mit modifiziertem Frailty Index (mFI-5) und Clinical Frailty Scale (CFS) zur Vorhersage von Aufenthaltsdauer und funktionaler Erholung (Lysholm-Score ≥12 Monate).</w:t>
      </w:r>
    </w:p>
    <w:p>
      <w:r>
        <w:rPr>
          <w:b/>
        </w:rPr>
        <w:t xml:space="preserve">Ergebnis: </w:t>
      </w:r>
      <w:r>
        <w:t>Höhere mFI-5-Scores waren mit prolongierter Hospitalisierungsdauer assoziiert (r=0,404, p&lt;0,001); jeder 1-Punkt-Anstieg sagte 1,26 Tage längeren Aufenthalt voraus (95%-KI 0,61–1,90; R²=0,337). CFS war unabhängig mit schlechterer Erholung verbunden: jeder 1-Punkt-Anstieg entsprach 4,32-Punkt-Reduktion im Lysholm-Score (95%-KI –6,98 bis –1,67; R²=0,163). Höchstes Risiko-Quartil zeigte 16,7× erhöhtes Mortalitätsrisiko.</w:t>
      </w:r>
    </w:p>
    <w:p>
      <w:r>
        <w:rPr>
          <w:b/>
          <w:sz w:val="19"/>
        </w:rPr>
        <w:t xml:space="preserve">Übertragbarkeit: </w:t>
      </w:r>
      <w:r>
        <w:rPr>
          <w:sz w:val="19"/>
        </w:rPr>
        <w:t>Türkei, Orthopädie-Versorgung vergleichbar; geriatrisches Assessment umsetzbar</w:t>
      </w:r>
    </w:p>
    <w:p>
      <w:r>
        <w:rPr>
          <w:color w:val="5A7D3A"/>
          <w:sz w:val="18"/>
        </w:rPr>
        <w:t>https://pubmed.ncbi.nlm.nih.gov/42841891/</w:t>
      </w:r>
    </w:p>
    <w:p>
      <w:pPr>
        <w:pStyle w:val="Heading2"/>
      </w:pPr>
      <w:r>
        <w:t>Biofeedback reduziert Schwindel-Beeinträchtigung im Alltag älterer Menschen</w:t>
      </w:r>
    </w:p>
    <w:p>
      <w:r>
        <w:rPr>
          <w:i/>
          <w:color w:val="666666"/>
          <w:sz w:val="18"/>
        </w:rPr>
        <w:t>Chiara B et al.  ·  Curr Aging Sci  ·  2026  ·  PMID 42841459</w:t>
      </w:r>
    </w:p>
    <w:p>
      <w:r>
        <w:t>Randomisierte kontrollierte Studie zur Wirksamkeit von Biofeedback-Training (Procomp Infinity) bei 190 älteren Ambulanzpatienten (&gt;65 Jahre) mit Schwindel über 3 Monate ohne Auffrischungssitzungen.</w:t>
      </w:r>
    </w:p>
    <w:p>
      <w:r>
        <w:rPr>
          <w:b/>
        </w:rPr>
        <w:t xml:space="preserve">Ergebnis: </w:t>
      </w:r>
      <w:r>
        <w:t>Repeated-ANOVA zeigte signifikante Reduktion der Dizziness-Handicap-Inventory(DHI)-Scores nach 3 Monaten in der Biofeedback-Gruppe; Patienten lernten durch Muskelentspannung und Atemkontrolle, die Symptome zu bewältigen und erlangten Selbstwirksamkeit. Die Intervention reduzierte die funktionalen Auswirkungen von Schwindel und Instabilität im alltäglichen Leben substanziell.</w:t>
      </w:r>
    </w:p>
    <w:p>
      <w:r>
        <w:rPr>
          <w:b/>
          <w:sz w:val="19"/>
        </w:rPr>
        <w:t xml:space="preserve">Übertragbarkeit: </w:t>
      </w:r>
      <w:r>
        <w:rPr>
          <w:sz w:val="19"/>
        </w:rPr>
        <w:t>Italien, Methode kulturübergreifend übertragbar; Effektgröße in Abstract nicht quantifiziert</w:t>
      </w:r>
    </w:p>
    <w:p>
      <w:r>
        <w:rPr>
          <w:color w:val="5A7D3A"/>
          <w:sz w:val="18"/>
        </w:rPr>
        <w:t>https://pubmed.ncbi.nlm.nih.gov/42841459/</w:t>
      </w:r>
    </w:p>
    <w:p>
      <w:pPr>
        <w:pStyle w:val="Heading2"/>
      </w:pPr>
      <w:r>
        <w:t>Beschleunigtes Hirnaltern bei psychiatrischen und neurodegenerativen Störungen quantifiziert</w:t>
      </w:r>
    </w:p>
    <w:p>
      <w:r>
        <w:rPr>
          <w:i/>
          <w:color w:val="666666"/>
          <w:sz w:val="18"/>
        </w:rPr>
        <w:t>Gupta Y et al.  ·  Psychol Med  ·  07.10.2026  ·  PMID 42839301</w:t>
      </w:r>
    </w:p>
    <w:p>
      <w:r>
        <w:t>Lifespan-MRT-Studie an 25.425 Gesunden (Alter 2–95 Jahre) und 3.530 Patienten mit Schizophrenie, Depression, bipolarer Störung, ADHS, Substanzabhängigkeit, Alzheimer und FTD zur Bestimmung eines Brain-Predicted-Age-Difference (brain-PAD).</w:t>
      </w:r>
    </w:p>
    <w:p>
      <w:r>
        <w:rPr>
          <w:b/>
        </w:rPr>
        <w:t xml:space="preserve">Ergebnis: </w:t>
      </w:r>
      <w:r>
        <w:t>Modell erreichte mittleren absoluten Fehler von 5–7 Jahren. Signifikante Erhöhung von Δbrain-PAD bei Schizophrenie (+7,64 Jahre), FTD (+7,61), Alzheimer (+3,24), bipolarer Störung (+2,08), Depression (+2,76) und CSUD (+2,91 Jahre), nicht bei ADHS. Regionale Analysen zeigten gemeinsame und störungsspezifische morphometrische Alterationen. Effekt: Quantitativer Rahmen für Hirnaltern über Störungen hinweg, aber mechanistischer Versorgungsbezug fehlt.</w:t>
      </w:r>
    </w:p>
    <w:p>
      <w:r>
        <w:rPr>
          <w:b/>
          <w:sz w:val="19"/>
        </w:rPr>
        <w:t xml:space="preserve">Übertragbarkeit: </w:t>
      </w:r>
      <w:r>
        <w:rPr>
          <w:sz w:val="19"/>
        </w:rPr>
        <w:t>Deutschland, Forschung; Mechanismus-Biomarker ohne Behandlungsendpunkt – begrenzte geriatrische Relevanz</w:t>
      </w:r>
    </w:p>
    <w:p>
      <w:r>
        <w:rPr>
          <w:color w:val="5A7D3A"/>
          <w:sz w:val="18"/>
        </w:rPr>
        <w:t>https://pubmed.ncbi.nlm.nih.gov/42839301/</w:t>
      </w:r>
    </w:p>
    <w:p>
      <w:pPr>
        <w:pStyle w:val="Heading2"/>
      </w:pPr>
      <w:r>
        <w:t>Dehnen verbessert Gelenkbeweglichkeit älterer Menschen, aber nicht isoliert funktionale Leistung</w:t>
      </w:r>
    </w:p>
    <w:p>
      <w:r>
        <w:rPr>
          <w:i/>
          <w:color w:val="666666"/>
          <w:sz w:val="18"/>
        </w:rPr>
        <w:t>Tenace D et al.  ·  Recenti Prog Med  ·  Okt. 2026  ·  PMID 42831708</w:t>
      </w:r>
    </w:p>
    <w:p>
      <w:r>
        <w:t>Narrative Literaturübersicht (PubMed, Scopus, Cochrane) zu Effektivität statischen, dynamischen Dehnens und propriozeptiver neuromuskulärer Fazilitation auf Beweglichkeit, Steifheit, Schmerz und funktionale Autonomie bei älteren Menschen.</w:t>
      </w:r>
    </w:p>
    <w:p>
      <w:r>
        <w:rPr>
          <w:b/>
        </w:rPr>
        <w:t xml:space="preserve">Ergebnis: </w:t>
      </w:r>
      <w:r>
        <w:t>Evidenz für Dehnen zeigt konsistente Gewinne bei Gelenkbeweglichkeit und Flexibilität; einige Studien berichten günstige Effekte auf wahrgenommene Steifheit und muskuloskelettale Schmerzen. Verbesserungen der Gesamtfunktion, Balance und Sturzprävention sind jedoch weniger konsistent. Fazit: Dehnen ist kein Monotherapie-Ansatz, sondern komplementäre Komponente in Multikomponenten-Programmen, am wirksamsten für Mobilitätsgewinne bei Menschen mit Ausgangsfunktionsverlust.</w:t>
      </w:r>
    </w:p>
    <w:p>
      <w:r>
        <w:rPr>
          <w:b/>
          <w:sz w:val="19"/>
        </w:rPr>
        <w:t xml:space="preserve">Übertragbarkeit: </w:t>
      </w:r>
      <w:r>
        <w:rPr>
          <w:sz w:val="19"/>
        </w:rPr>
        <w:t>Italien, Evidenzlage europäisch dominiert, methodisch konsistent</w:t>
      </w:r>
    </w:p>
    <w:p>
      <w:r>
        <w:rPr>
          <w:color w:val="5A7D3A"/>
          <w:sz w:val="18"/>
        </w:rPr>
        <w:t>https://pubmed.ncbi.nlm.nih.gov/42831708/</w:t>
      </w:r>
    </w:p>
    <w:p>
      <w:pPr>
        <w:pStyle w:val="Heading2"/>
      </w:pPr>
      <w:r>
        <w:t>Resilienz ist häufige, aber nicht universelle Reaktion auf funktionalen Gesundheitsverlust im Alter</w:t>
      </w:r>
    </w:p>
    <w:p>
      <w:r>
        <w:rPr>
          <w:i/>
          <w:color w:val="666666"/>
          <w:sz w:val="18"/>
        </w:rPr>
        <w:t>Köhler T et al.  ·  Soc Sci Med  ·  29.08.2026  ·  PMID 42700481</w:t>
      </w:r>
    </w:p>
    <w:p>
      <w:r>
        <w:t>Growth-Mixture-Modelling-Analyse von SHARE-Daten zu Anpassungstrajektorien der Lebensqualität nach Beginn von Aktivitätseinschränkungen bei älteren Menschen (Match-Kontroll-Design für Kausalitätsattribution).</w:t>
      </w:r>
    </w:p>
    <w:p>
      <w:r>
        <w:rPr>
          <w:b/>
        </w:rPr>
        <w:t xml:space="preserve">Ergebnis: </w:t>
      </w:r>
      <w:r>
        <w:t>Bei Lebenszufriedenheit und Lebensqualität entstanden 3 Trajektorien mit Resilienz als Modalantwort (86,5 % bzw. 78,7 %); bei depressiven Symptomen 4 Trajektorien mit gleichen Anteilen resilient und chronisch (je 43,4 %). Stärkere Behinderung sagte Erholungstrajektorie voraus, vorbestehende Limitations und sozioökonomische Benachteiligung waren mit chronischen Pfaden assoziiert. Befund: Resilienz ist verbreitet, aber nicht uniform; multidimensionale Outcomes essentiell.</w:t>
      </w:r>
    </w:p>
    <w:p>
      <w:r>
        <w:rPr>
          <w:b/>
          <w:sz w:val="19"/>
        </w:rPr>
        <w:t xml:space="preserve">Übertragbarkeit: </w:t>
      </w:r>
      <w:r>
        <w:rPr>
          <w:sz w:val="19"/>
        </w:rPr>
        <w:t>Europa (SHARE), deutsches Sozialversicherungssystem direkt übertragbar</w:t>
      </w:r>
    </w:p>
    <w:p>
      <w:r>
        <w:rPr>
          <w:color w:val="5A7D3A"/>
          <w:sz w:val="18"/>
        </w:rPr>
        <w:t>https://pubmed.ncbi.nlm.nih.gov/42700481/</w:t>
      </w:r>
    </w:p>
    <w:p>
      <w:pPr>
        <w:pStyle w:val="Heading1"/>
      </w:pPr>
      <w:r>
        <w:t>Aufgenommen am 07.10.2026</w:t>
      </w:r>
    </w:p>
    <w:p>
      <w:pPr>
        <w:pStyle w:val="Heading2"/>
      </w:pPr>
      <w:r>
        <w:t>Kohorte der Altern-Studie Add Health in mittlerem Alter mit schlechterer Gesundheit als Vorgängergenerationen</w:t>
      </w:r>
    </w:p>
    <w:p>
      <w:r>
        <w:rPr>
          <w:i/>
          <w:color w:val="666666"/>
          <w:sz w:val="18"/>
        </w:rPr>
        <w:t>Gaydosh L et al.  ·  J Gerontol B Psychol Sci Soc Sci  ·  01.10.2026  ·  PMID 42837509</w:t>
      </w:r>
    </w:p>
    <w:p>
      <w:r>
        <w:t>Add Health Welle VI (Durchschnittsalter 44 Jahre, n=11.979) und Vergleich mit NHANES-Kohorten: Analyse von Altersmustern in Allgemeingesundheit, psychischer Gesundheit, Gesundheitsverhalten und chronischen Erkrankungen über Lebensabschnitte.</w:t>
      </w:r>
    </w:p>
    <w:p>
      <w:r>
        <w:rPr>
          <w:b/>
        </w:rPr>
        <w:t xml:space="preserve">Ergebnis: </w:t>
      </w:r>
      <w:r>
        <w:t>Add Health zeigte beim Alterungsübergang in Mittelalter Verschlechterung in Allgemeingesundheit, psychischer Gesundheit und chronischen Erkrankungen, während Gesundheitsverhalten sich verbesserte. Im Vergleich zu NHANES-Kohorten: Add Health-Kohorte hat schlechtere Gesundheit als ältere Kohorten und teilweise schlechter als eigene Geburtskohorte zu früheren Zeitpunkten. Bildungsgradienten sind relativ stabil, mit einigen Anzeichen von Zunahme über Zeit.</w:t>
      </w:r>
    </w:p>
    <w:p>
      <w:r>
        <w:rPr>
          <w:b/>
          <w:sz w:val="19"/>
        </w:rPr>
        <w:t xml:space="preserve">Übertragbarkeit: </w:t>
      </w:r>
      <w:r>
        <w:rPr>
          <w:sz w:val="19"/>
        </w:rPr>
        <w:t>USA, begrenzt auf US-Versorgungskontext; Trends sozioökonomischer Disparitäten aber universal relevant</w:t>
      </w:r>
    </w:p>
    <w:p>
      <w:r>
        <w:rPr>
          <w:color w:val="5A7D3A"/>
          <w:sz w:val="18"/>
        </w:rPr>
        <w:t>https://pubmed.ncbi.nlm.nih.gov/42837509/</w:t>
      </w:r>
    </w:p>
    <w:p>
      <w:pPr>
        <w:pStyle w:val="Heading2"/>
      </w:pPr>
      <w:r>
        <w:t>Soziale Isolation und Einsamkeit vorhersagend für kognitive Verschlechterung von Jugend bis Alter</w:t>
      </w:r>
    </w:p>
    <w:p>
      <w:r>
        <w:rPr>
          <w:i/>
          <w:color w:val="666666"/>
          <w:sz w:val="18"/>
        </w:rPr>
        <w:t>Yang YC et al.  ·  J Gerontol B Psychol Sci Soc Sci  ·  01.10.2026  ·  PMID 42837505</w:t>
      </w:r>
    </w:p>
    <w:p>
      <w:r>
        <w:t>Koordinierte Längsschnittanalyse von drei großen US-Kohorten (Add Health, MIDUS, HRS; n=18.553, Alter 11+), um Zusammenhang zwischen Isolations-/Einsamkeitsmuster und Gedächtnisschwund über Lebensverlauf zu prüfen.</w:t>
      </w:r>
    </w:p>
    <w:p>
      <w:r>
        <w:rPr>
          <w:b/>
        </w:rPr>
        <w:t xml:space="preserve">Ergebnis: </w:t>
      </w:r>
      <w:r>
        <w:t>Starke negative Effekte sozialer Isolation in jungem und älterem Erwachsenenalter, Einsamkeit besonders im Alter auf Gedächtnisfunktion. Persistente (nicht nur transiente) Isolation und Einsamkeit waren mit schlechteren Merkfähigkeitswerten verbunden (p&lt;0,05 nach Adjustierung). Effekte blieben signifikant auch nach Anpassung für soziodemografische und Verhaltensfaktoren, zeigten sich aber weniger konsistent als Niveau-Effekte.</w:t>
      </w:r>
    </w:p>
    <w:p>
      <w:r>
        <w:rPr>
          <w:b/>
          <w:sz w:val="19"/>
        </w:rPr>
        <w:t xml:space="preserve">Übertragbarkeit: </w:t>
      </w:r>
      <w:r>
        <w:rPr>
          <w:sz w:val="19"/>
        </w:rPr>
        <w:t>USA-Kohorten, Mechanismen wahrscheinlich übertragbar; Ausmaß hängt von Sozialstruktur ab</w:t>
      </w:r>
    </w:p>
    <w:p>
      <w:r>
        <w:rPr>
          <w:color w:val="5A7D3A"/>
          <w:sz w:val="18"/>
        </w:rPr>
        <w:t>https://pubmed.ncbi.nlm.nih.gov/42837505/</w:t>
      </w:r>
    </w:p>
    <w:p>
      <w:pPr>
        <w:pStyle w:val="Heading2"/>
      </w:pPr>
      <w:r>
        <w:t>Soziale Teilhabe vor Schlaganfall assoziiert mit physischer Resilienz nach Schlaganfall</w:t>
      </w:r>
    </w:p>
    <w:p>
      <w:r>
        <w:rPr>
          <w:i/>
          <w:color w:val="666666"/>
          <w:sz w:val="18"/>
        </w:rPr>
        <w:t>Zhang Y et al.  ·  PLoS One  ·  06.10.2026  ·  PMID 42837339</w:t>
      </w:r>
    </w:p>
    <w:p>
      <w:r>
        <w:t>Querschnittsstudie an 314 Schlaganfallpatienten (≥45 Jahre) in China, die retrospektive soziale Partizipation vor dem Ereignis mit aktueller physischer Resilienz verknüpfte.</w:t>
      </w:r>
    </w:p>
    <w:p>
      <w:r>
        <w:rPr>
          <w:b/>
        </w:rPr>
        <w:t xml:space="preserve">Ergebnis: </w:t>
      </w:r>
      <w:r>
        <w:t>Schwache positive Korrelation zwischen sozialer Teilhabe und physischer Resilienz (r=0,295, p&lt;0,001). Pro Punkt höherer sozialer Partizipationsscore war physische Resilienz um 0,725 Punkte höher (95%-KI 0,405–1,044, p&lt;0,001), Effekt über alle Frailty-Level konsistent. Belastende retrospektive Erhebung schließt aber kausale Aussagen aus.</w:t>
      </w:r>
    </w:p>
    <w:p>
      <w:r>
        <w:rPr>
          <w:b/>
          <w:sz w:val="19"/>
        </w:rPr>
        <w:t xml:space="preserve">Übertragbarkeit: </w:t>
      </w:r>
      <w:r>
        <w:rPr>
          <w:sz w:val="19"/>
        </w:rPr>
        <w:t>China, begrenzt übertragbar; Mechanismus unterscheidet sich von Deutschland</w:t>
      </w:r>
    </w:p>
    <w:p>
      <w:r>
        <w:rPr>
          <w:color w:val="5A7D3A"/>
          <w:sz w:val="18"/>
        </w:rPr>
        <w:t>https://pubmed.ncbi.nlm.nih.gov/42837339/</w:t>
      </w:r>
    </w:p>
    <w:p>
      <w:pPr>
        <w:pStyle w:val="Heading2"/>
      </w:pPr>
      <w:r>
        <w:t>Gemeinschaftsgaststätten für Senioren fördern Nutzung durch Awareness-Partizipation-Kaufverhalten-Weitersagen-Sequenz</w:t>
      </w:r>
    </w:p>
    <w:p>
      <w:r>
        <w:rPr>
          <w:i/>
          <w:color w:val="666666"/>
          <w:sz w:val="18"/>
        </w:rPr>
        <w:t>Wang S et al.  ·  Front Public Health  ·  21.09.2026  ·  PMID 42836140</w:t>
      </w:r>
    </w:p>
    <w:p>
      <w:r>
        <w:t>Querschnittsstudie in Nanjing (China) mit 1.568 älteren Erwachsenen (≥60 Jahre) zur Nutzung von Seniorengaststätten, strukturelle Gleichungsmodellierung zur Assoziation von Bewusstsein, Interaktion, Kauf und Weitergabe.</w:t>
      </w:r>
    </w:p>
    <w:p>
      <w:r>
        <w:rPr>
          <w:b/>
        </w:rPr>
        <w:t xml:space="preserve">Ergebnis: </w:t>
      </w:r>
      <w:r>
        <w:t>Strukturmodell zeigte signifikante sequenziell positive Assoziationen: Awareness→Interaction (p&lt;0,001), Interaction→Purchase (p&lt;0,001), Purchase→Sharing (p&lt;0,001). Alle Pfade statistisch signifikant, gutes Modellfit. Querschnittdesign erlaubt aber keine Kausalaussagen – hilfreich aber für Serviceoptimierung.</w:t>
      </w:r>
    </w:p>
    <w:p>
      <w:r>
        <w:rPr>
          <w:b/>
          <w:sz w:val="19"/>
        </w:rPr>
        <w:t xml:space="preserve">Übertragbarkeit: </w:t>
      </w:r>
      <w:r>
        <w:rPr>
          <w:sz w:val="19"/>
        </w:rPr>
        <w:t>China, teilweise übertragbar; Versorgungskontext unterscheidet sich von Deutschland</w:t>
      </w:r>
    </w:p>
    <w:p>
      <w:r>
        <w:rPr>
          <w:color w:val="5A7D3A"/>
          <w:sz w:val="18"/>
        </w:rPr>
        <w:t>https://pubmed.ncbi.nlm.nih.gov/42836140/</w:t>
      </w:r>
    </w:p>
    <w:p>
      <w:pPr>
        <w:pStyle w:val="Heading2"/>
      </w:pPr>
      <w:r>
        <w:t>Nierentransplantation verbessert Gebrechlichkeit und kognitive Funktion über zwei Jahre</w:t>
      </w:r>
    </w:p>
    <w:p>
      <w:r>
        <w:rPr>
          <w:i/>
          <w:color w:val="666666"/>
          <w:sz w:val="18"/>
        </w:rPr>
        <w:t>Beerli N et al.  ·  Transpl Int  ·  21.09.2026  ·  PMID 42835482</w:t>
      </w:r>
    </w:p>
    <w:p>
      <w:r>
        <w:t>Prospektive multizentrische Schweizer Kohortenstudie mit 230 Nierentransplantatierten, die Frailty und milde kognitive Beeinträchtigung (MCI) vor und nach Transplantation über bis zu zwei Jahre verfolgten.</w:t>
      </w:r>
    </w:p>
    <w:p>
      <w:r>
        <w:rPr>
          <w:b/>
        </w:rPr>
        <w:t xml:space="preserve">Ergebnis: </w:t>
      </w:r>
      <w:r>
        <w:t>Frailty sank von 8,3% vor Transplantation auf unter 2% im Follow-up, Präfrailty von 54,3% auf 27,6% nach zwei Jahren; MCI-Prävalenz fiel von 42,6% auf 31,3%. Bessere kognitive Funktion vorhersagte niedrigere nachfolgende Frailty, aber nicht umgekehrt. Das Ergebnis zeigt, dass Nierenverpflanzung funktionelle Gebrechlichkeit deutlich reduziert.</w:t>
      </w:r>
    </w:p>
    <w:p>
      <w:r>
        <w:rPr>
          <w:b/>
          <w:sz w:val="19"/>
        </w:rPr>
        <w:t xml:space="preserve">Übertragbarkeit: </w:t>
      </w:r>
      <w:r>
        <w:rPr>
          <w:sz w:val="19"/>
        </w:rPr>
        <w:t>Schweizer Universitätskliniken, vergleichbares deutschsprachiges Versorgungssystem</w:t>
      </w:r>
    </w:p>
    <w:p>
      <w:r>
        <w:rPr>
          <w:color w:val="5A7D3A"/>
          <w:sz w:val="18"/>
        </w:rPr>
        <w:t>https://pubmed.ncbi.nlm.nih.gov/42835482/</w:t>
      </w:r>
    </w:p>
    <w:p>
      <w:pPr>
        <w:pStyle w:val="Heading1"/>
      </w:pPr>
      <w:r>
        <w:t>Aufgenommen am 06.10.2026</w:t>
      </w:r>
    </w:p>
    <w:p>
      <w:pPr>
        <w:pStyle w:val="Heading2"/>
      </w:pPr>
      <w:r>
        <w:t>Frailty als multidimensionales biopsychosoziales Syndrom: Update zu Konzepten und Versorgung</w:t>
      </w:r>
    </w:p>
    <w:p>
      <w:r>
        <w:rPr>
          <w:i/>
          <w:color w:val="666666"/>
          <w:sz w:val="18"/>
        </w:rPr>
        <w:t>Cohen CI et al.  ·  Clin Geriatr Med  ·  Nov. 2026  ·  PMID 42833807</w:t>
      </w:r>
    </w:p>
    <w:p>
      <w:r>
        <w:t>Übersichtsartikel fasst die Entwicklung von Frailty-Konzeptualisierung von primär physisch zu einem komplexen, multidimensionalen biopsychosozialen Syndrom zusammen, unter Einbeziehung von Definition, Diagnose-Tools, Epidemiologie, Pathogenese und Versorgungsansätze.</w:t>
      </w:r>
    </w:p>
    <w:p>
      <w:r>
        <w:rPr>
          <w:b/>
        </w:rPr>
        <w:t xml:space="preserve">Ergebnis: </w:t>
      </w:r>
      <w:r>
        <w:t>Frailty erweitert von physischer zu physischer, kognitiver, sozialer und psychologischer Frailty. Tools und Assessment-Domains aufgelistet; Epidemiologie, Risikofaktoren, Pathogenese, Prävention und Behandlungs-Frameworks skizziert. Ungelöste Versorgungsfragen benannt. Keine spezifischen Zahlenergebnisse, sondern konzeptueller Überblick über den Wandel im Feld.</w:t>
      </w:r>
    </w:p>
    <w:p>
      <w:r>
        <w:rPr>
          <w:b/>
          <w:sz w:val="19"/>
        </w:rPr>
        <w:t xml:space="preserve">Übertragbarkeit: </w:t>
      </w:r>
      <w:r>
        <w:rPr>
          <w:sz w:val="19"/>
        </w:rPr>
        <w:t>US-amerikanisches Review; biopsychosoziales Frailty-Modell international etabliert, auf deutsches System direkt anwendbar.</w:t>
      </w:r>
    </w:p>
    <w:p>
      <w:r>
        <w:rPr>
          <w:color w:val="5A7D3A"/>
          <w:sz w:val="18"/>
        </w:rPr>
        <w:t>https://pubmed.ncbi.nlm.nih.gov/42833807/</w:t>
      </w:r>
    </w:p>
    <w:p>
      <w:pPr>
        <w:pStyle w:val="Heading2"/>
      </w:pPr>
      <w:r>
        <w:t>Altersfeindlichkeit als upstream-Determinante: Sturzverhütung durch multilevel Reframing</w:t>
      </w:r>
    </w:p>
    <w:p>
      <w:r>
        <w:rPr>
          <w:i/>
          <w:color w:val="666666"/>
          <w:sz w:val="18"/>
        </w:rPr>
        <w:t>McMahon SK et al.  ·  Clin Geriatr Med  ·  03.09.2026  ·  PMID 42833800</w:t>
      </w:r>
    </w:p>
    <w:p>
      <w:r>
        <w:t>Konzeptuelle Analyse aus USA untersucht, wie strukturelle, interpersonelle und individuelle Ebenen von Altersdiskriminierung die Implementierung, Akzeptanz und Wirksamkeit von Sturz-Prävention bei älteren Menschen beeinträchtigen.</w:t>
      </w:r>
    </w:p>
    <w:p>
      <w:r>
        <w:rPr>
          <w:b/>
        </w:rPr>
        <w:t xml:space="preserve">Ergebnis: </w:t>
      </w:r>
      <w:r>
        <w:t>Lücke zwischen Evidenz (starke Maßnahmen-Effektivität) und Implementierung getrieben durch Ageismus: Untererfassung, Umweltbarrieren, internalisierte Stigma. Empfehlung für ganzheitlichen, mehrebenenigen Ansatz, der soziale Determinanten (besonders Ageismus) integriert; Systemische, klinische und Kommunikations-Änderungen für bessere Prävention, Engagement, sichere Mobilität. Framework ‚Reframing Aging' zitiert.</w:t>
      </w:r>
    </w:p>
    <w:p>
      <w:r>
        <w:rPr>
          <w:b/>
          <w:sz w:val="19"/>
        </w:rPr>
        <w:t xml:space="preserve">Übertragbarkeit: </w:t>
      </w:r>
      <w:r>
        <w:rPr>
          <w:sz w:val="19"/>
        </w:rPr>
        <w:t>USA-Perspektive; konzeptueller Rahmen zur Sturzverhütung durch Anti-Ageismus-Ansätze prinzipiell auf deutsches System übertragbar, erfordert aber Systemanpassung.</w:t>
      </w:r>
    </w:p>
    <w:p>
      <w:r>
        <w:rPr>
          <w:color w:val="5A7D3A"/>
          <w:sz w:val="18"/>
        </w:rPr>
        <w:t>https://pubmed.ncbi.nlm.nih.gov/42833800/</w:t>
      </w:r>
    </w:p>
    <w:p>
      <w:pPr>
        <w:pStyle w:val="Heading2"/>
      </w:pPr>
      <w:r>
        <w:t>Aortenstenose im Alter: Weshalb Lebenserwartung keine Indikation zum Verzicht auf Klappenersatz ist</w:t>
      </w:r>
    </w:p>
    <w:p>
      <w:r>
        <w:rPr>
          <w:i/>
          <w:color w:val="666666"/>
          <w:sz w:val="18"/>
        </w:rPr>
        <w:t>Demir OM et al.  ·  Open Heart  ·  05.10.2026  ·  PMID 42833700</w:t>
      </w:r>
    </w:p>
    <w:p>
      <w:r>
        <w:t>Konzeptuelles Argument zur Fehlinterpretation von Lebenserwartung bei älteren Patienten mit symptomatischer schwerer Aortenstenose und der Frage, wann Ventilintervention gerechtfertigt ist.</w:t>
      </w:r>
    </w:p>
    <w:p>
      <w:r>
        <w:rPr>
          <w:b/>
        </w:rPr>
        <w:t xml:space="preserve">Ergebnis: </w:t>
      </w:r>
      <w:r>
        <w:t>Nationale Sterbe- und Überlebenstafeln: 90-Jähriger in England/Wales hat noch 3,9 Jahre Lebenserwartung; 82-Jähriger lebt länger als 72-Jähriger. 'Schlagrisiko ist kardial, nicht chronologisch' — korreliert mit extravalvulärer Herzschädigung, Frailty und konkurrierenden Erkrankungen, nicht mit Kalenderalter. Stadium, nicht Alter, diskriminiert Outcome. Empfehlung: conditional, komorbidität-adjustierte Prognose statt Alters-Nihilismus.</w:t>
      </w:r>
    </w:p>
    <w:p>
      <w:r>
        <w:rPr>
          <w:b/>
          <w:sz w:val="19"/>
        </w:rPr>
        <w:t xml:space="preserve">Übertragbarkeit: </w:t>
      </w:r>
      <w:r>
        <w:rPr>
          <w:sz w:val="19"/>
        </w:rPr>
        <w:t>Britisches System; medizinisches Konzept zur Patientenauswahl übertragbar auf deutsches Altensystem.</w:t>
      </w:r>
    </w:p>
    <w:p>
      <w:r>
        <w:rPr>
          <w:color w:val="5A7D3A"/>
          <w:sz w:val="18"/>
        </w:rPr>
        <w:t>https://pubmed.ncbi.nlm.nih.gov/42833700/</w:t>
      </w:r>
    </w:p>
    <w:p>
      <w:pPr>
        <w:pStyle w:val="Heading2"/>
      </w:pPr>
      <w:r>
        <w:t>Körperliche Leistung puffert Alterseffekt auf Exekutivfunktion bei Demenzrisiko</w:t>
      </w:r>
    </w:p>
    <w:p>
      <w:r>
        <w:rPr>
          <w:i/>
          <w:color w:val="666666"/>
          <w:sz w:val="18"/>
        </w:rPr>
        <w:t>Reparaz-Escudero I et al.  ·  J Cachexia Sarcopenia Muscle  ·  Okt. 2026  ·  PMID 42833623</w:t>
      </w:r>
    </w:p>
    <w:p>
      <w:r>
        <w:t>Querschnittsstudie an 920 älteren Spaniern (60–85 Jahre) mit erhöhtem Demenzrisiko untersuchte, ob Ganggeschwindigkeit, Handgriffkraft und Beinmuskelpower den Zusammenhang zwischen Alter und Exekutivfunktion moderieren.</w:t>
      </w:r>
    </w:p>
    <w:p>
      <w:r>
        <w:rPr>
          <w:b/>
        </w:rPr>
        <w:t xml:space="preserve">Ergebnis: </w:t>
      </w:r>
      <w:r>
        <w:t>Höhere körperliche Leistung schwächte die Alters-Exekutivfunktion-Assoziation ab. Ganggeschwindigkeit moderierte die Beziehung am konsistentesten; Johnson-Neyman-Analyse zeigte: Alters-Exekutivfunktion-Effekt nur bei Ganggeschwindigkeiten unter 1,68–1,83 m/s messbar (1,0–15,9 % der Teilnehmer). Sex-spezifische Muster: Ganggeschwindigkeit bei TMT-B bei Männern, Stroop-Interferenz bei Frauen moderat.</w:t>
      </w:r>
    </w:p>
    <w:p>
      <w:r>
        <w:rPr>
          <w:b/>
          <w:sz w:val="19"/>
        </w:rPr>
        <w:t xml:space="preserve">Übertragbarkeit: </w:t>
      </w:r>
      <w:r>
        <w:rPr>
          <w:sz w:val="19"/>
        </w:rPr>
        <w:t>Spanische Demenzrisiko-Kohorte; körperliches Training zur Exekutivschutzung übertragbar auf deutsche Altenpopulation.</w:t>
      </w:r>
    </w:p>
    <w:p>
      <w:r>
        <w:rPr>
          <w:color w:val="5A7D3A"/>
          <w:sz w:val="18"/>
        </w:rPr>
        <w:t>https://pubmed.ncbi.nlm.nih.gov/42833623/</w:t>
      </w:r>
    </w:p>
    <w:p>
      <w:pPr>
        <w:pStyle w:val="Heading2"/>
      </w:pPr>
      <w:r>
        <w:t>Elektromyographie beim Gehen identifiziert Gebrechlichkeit bei älteren Patienten mit Herzkrankheit</w:t>
      </w:r>
    </w:p>
    <w:p>
      <w:r>
        <w:rPr>
          <w:i/>
          <w:color w:val="666666"/>
          <w:sz w:val="18"/>
        </w:rPr>
        <w:t>Huang P et al.  ·  J Cachexia Sarcopenia Muscle  ·  Okt. 2026  ·  PMID 42830734</w:t>
      </w:r>
    </w:p>
    <w:p>
      <w:r>
        <w:t>Fall-Kontroll-Studie mit 150 älteren Patienten mit Herzkrankheit (75 gebrechlich, 75 nicht-gebrechlich) verglich oberflächliche Elektromyographie (sEMG) der Unterschenkelmuskeln beim Gehen und testete deren Diskriminativwert für Frailty.</w:t>
      </w:r>
    </w:p>
    <w:p>
      <w:r>
        <w:rPr>
          <w:b/>
        </w:rPr>
        <w:t xml:space="preserve">Ergebnis: </w:t>
      </w:r>
      <w:r>
        <w:t>Gebrechliche waren älter (76,04 vs. 68,55 Jahre), benötigten länger für 10-m-Gang (13,34 vs. 9,44 s), niedrigere POMA-Scores (21,51 vs. 27,59). Gebrechliche zeigten höhere integrierte EMG des linken Semitendinosus (534,4 vs. 455,5 μV·s, p=0,0084) und höhere Aktivierungssequenz-Rang des linken Rectus femoris (p=0,0404). Im Frequenzbereich höhere Medianfrequenz (MF) in 6 Muskeln. Multivariates Modell: MF Rectus femoris rechts (OR 1,067, p=0,038), MF Gastrocnemius rechts (OR 1,054, p=0,019), Aktivierungsrang TA rechts (OR 0,640, p=0,014) unabhängig assoziiert. sEMG+Alter-Modell: AUC 0,8418 (Sensitivität 0,8933, Spezifität 0,6400), Vollmodell mit POMA: AUC 0,8740.</w:t>
      </w:r>
    </w:p>
    <w:p>
      <w:r>
        <w:rPr>
          <w:b/>
          <w:sz w:val="19"/>
        </w:rPr>
        <w:t xml:space="preserve">Übertragbarkeit: </w:t>
      </w:r>
      <w:r>
        <w:rPr>
          <w:sz w:val="19"/>
        </w:rPr>
        <w:t>Chinesische Klinik-Kohorte; sEMG-Methode und Frailty-Assessments international vergleichbar.</w:t>
      </w:r>
    </w:p>
    <w:p>
      <w:r>
        <w:rPr>
          <w:color w:val="5A7D3A"/>
          <w:sz w:val="18"/>
        </w:rPr>
        <w:t>https://pubmed.ncbi.nlm.nih.gov/42830734/</w:t>
      </w:r>
    </w:p>
    <w:p>
      <w:pPr>
        <w:pStyle w:val="Heading2"/>
      </w:pPr>
      <w:r>
        <w:t>Glukosestoffwechsel und vaskuläres Altern: Prädiktive Güte einfacher Marker im Screening</w:t>
      </w:r>
    </w:p>
    <w:p>
      <w:r>
        <w:rPr>
          <w:i/>
          <w:color w:val="666666"/>
          <w:sz w:val="18"/>
        </w:rPr>
        <w:t>Wang J et al.  ·  Front Endocrinol (Lausanne)  ·  18.09.2026  ·  PMID 42827523</w:t>
      </w:r>
    </w:p>
    <w:p>
      <w:r>
        <w:t>Retrospektive Querschnittsstudie mit 555 Personen aus Routineuntersuchungen evaluierte sieben Glukosemetaboliten-Indizes (TyG, CHG, HOMA-IR etc.) und deren Assoziationen mit frühem vaskulärem Altern (EVA, baPWV).</w:t>
      </w:r>
    </w:p>
    <w:p>
      <w:r>
        <w:rPr>
          <w:b/>
        </w:rPr>
        <w:t xml:space="preserve">Ergebnis: </w:t>
      </w:r>
      <w:r>
        <w:t>156/555 (28,1%) hatten EVA. Alle sieben Marker unabhängig mit EVA assoziiert nach Confounding-Kontrolle. CHG-Index stärkste Korrelation mit baPWV-Mittelwert (r=0,402, p&lt;0,001). ROC-Analysen: HbA1c höchste AUC (0,690), TyG-Index höchste Sensitivität (70,51%). Bescheidene Diskriminanzleistung über alle Marker. Schluss: TyG und HbA1c als potenzielle kostengünstige Hilfsmarker für EVA-Screening; interne Bootstrap- und externe prospektive Validierung erforderlich.</w:t>
      </w:r>
    </w:p>
    <w:p>
      <w:r>
        <w:rPr>
          <w:b/>
          <w:sz w:val="19"/>
        </w:rPr>
        <w:t xml:space="preserve">Übertragbarkeit: </w:t>
      </w:r>
      <w:r>
        <w:rPr>
          <w:sz w:val="19"/>
        </w:rPr>
        <w:t>Chinesische Gesundheitsuntersuchungskohorte; Biomarker-Interpretation übertragbar, aber lokale Altersstruktur verschieden.</w:t>
      </w:r>
    </w:p>
    <w:p>
      <w:r>
        <w:rPr>
          <w:color w:val="5A7D3A"/>
          <w:sz w:val="18"/>
        </w:rPr>
        <w:t>https://pubmed.ncbi.nlm.nih.gov/42827523/</w:t>
      </w:r>
    </w:p>
    <w:p>
      <w:pPr>
        <w:pStyle w:val="Heading2"/>
      </w:pPr>
      <w:r>
        <w:t>Arteriosklerose und Sarkopenie: biologisches Alter als Mediator, Gebrechlichkeit als Modifikator</w:t>
      </w:r>
    </w:p>
    <w:p>
      <w:r>
        <w:rPr>
          <w:i/>
          <w:color w:val="666666"/>
          <w:sz w:val="18"/>
        </w:rPr>
        <w:t>Sun A et al.  ·  Front Public Health  ·  14.09.2026  ·  PMID 42807006</w:t>
      </w:r>
    </w:p>
    <w:p>
      <w:r>
        <w:t>Prospektive UK-Biobank-Kohortenstudie mit 32.451 Teilnehmern untersuchte, ob Arteriensteifigkeit (ASI) mit Sarkopenie-Risiko assoziiert ist und welche Rolle biologisches Alter und Frailty spielen.</w:t>
      </w:r>
    </w:p>
    <w:p>
      <w:r>
        <w:rPr>
          <w:b/>
        </w:rPr>
        <w:t xml:space="preserve">Ergebnis: </w:t>
      </w:r>
      <w:r>
        <w:t>Höchstes vs. niedriges ASI-Tertil: HR 1,38 (95%-KI 1,22–1,55) für wahrscheinliche Sarkopenie, HR 1,56 (95%-KI 1,11–2,18) für Sarkopenie. Biologisches Alter mediierte 8,66 % und 18,85 % dieser Assoziationen. Frailty modifizierte die Magnitude erheblich; Assoziationen überwiegend bei nicht-Gebrechlichen. Erkannter nichtlinearer Zusammenhang bei wahrscheinlicher Sarkopenie, linear bei manifester Sarkopenie.</w:t>
      </w:r>
    </w:p>
    <w:p>
      <w:r>
        <w:rPr>
          <w:b/>
          <w:sz w:val="19"/>
        </w:rPr>
        <w:t xml:space="preserve">Übertragbarkeit: </w:t>
      </w:r>
      <w:r>
        <w:rPr>
          <w:sz w:val="19"/>
        </w:rPr>
        <w:t>UK Biobank; methodische Validierbarkeit aber Altersdurchschnitt und Sozialstruktur unterscheiden sich von Deutschland.</w:t>
      </w:r>
    </w:p>
    <w:p>
      <w:r>
        <w:rPr>
          <w:color w:val="5A7D3A"/>
          <w:sz w:val="18"/>
        </w:rPr>
        <w:t>https://pubmed.ncbi.nlm.nih.gov/42807006/</w:t>
      </w:r>
    </w:p>
    <w:p>
      <w:pPr>
        <w:pStyle w:val="Heading1"/>
      </w:pPr>
      <w:r>
        <w:t>Aufgenommen am 05.10.2026</w:t>
      </w:r>
    </w:p>
    <w:p>
      <w:pPr>
        <w:pStyle w:val="Heading2"/>
      </w:pPr>
      <w:r>
        <w:t>Prävention durch Hausbesuche erfordert sektorenübergreifende Partnerschaften und Unterstützung durch Führungspersonen</w:t>
      </w:r>
    </w:p>
    <w:p>
      <w:r>
        <w:rPr>
          <w:i/>
          <w:color w:val="666666"/>
          <w:sz w:val="18"/>
        </w:rPr>
        <w:t>Nivestam A et al.  ·  Scand J Caring Sci  ·  Dez. 2026  ·  PMID 42828510</w:t>
      </w:r>
    </w:p>
    <w:p>
      <w:r>
        <w:t>Qualitative Studie (Fokusgruppen mit 16 Fachpersonen aus 5 schwedischen Gemeinden) identifiziert, welche Kooperationspartner Hausbesucher für erfolgreiche Prävention und gesundes Altern mobilisieren.</w:t>
      </w:r>
    </w:p>
    <w:p>
      <w:r>
        <w:rPr>
          <w:b/>
        </w:rPr>
        <w:t xml:space="preserve">Ergebnis: </w:t>
      </w:r>
      <w:r>
        <w:t>Hausbesucher arbeiten mit breitem Spektrum von Partnern zusammen: kritisch sind Politiker und Medien; wichtig sind Akteure für sinnvolle Freizeit, Partizipation, lebenslanges Lernen und Gesundheits-/Sozialsektoren. Unterstützung durch Führungspersonen in Schlüsselpositionen steigert Effektivität. Kernempfehlung: gesamtgesellschaftlicher (whole-of-society) Ansatz zur Planung von Präventionsbesuchen.</w:t>
      </w:r>
    </w:p>
    <w:p>
      <w:r>
        <w:rPr>
          <w:b/>
          <w:sz w:val="19"/>
        </w:rPr>
        <w:t xml:space="preserve">Übertragbarkeit: </w:t>
      </w:r>
      <w:r>
        <w:rPr>
          <w:sz w:val="19"/>
        </w:rPr>
        <w:t>Skandinavien vergleichbar, universelles Gesundheitssystem, übertragbar auf Deutschland.</w:t>
      </w:r>
    </w:p>
    <w:p>
      <w:r>
        <w:rPr>
          <w:color w:val="5A7D3A"/>
          <w:sz w:val="18"/>
        </w:rPr>
        <w:t>https://pubmed.ncbi.nlm.nih.gov/42828510/</w:t>
      </w:r>
    </w:p>
    <w:p>
      <w:pPr>
        <w:pStyle w:val="Heading2"/>
      </w:pPr>
      <w:r>
        <w:t>Krankenversicherung für Ernährungstherapie älterer Krebspatienten determiniert Funktionsfähigkeit</w:t>
      </w:r>
    </w:p>
    <w:p>
      <w:r>
        <w:rPr>
          <w:i/>
          <w:color w:val="666666"/>
          <w:sz w:val="18"/>
        </w:rPr>
        <w:t>Yang J  ·  Front Public Health  ·  18.09.2026  ·  PMID 42827769</w:t>
      </w:r>
    </w:p>
    <w:p>
      <w:r>
        <w:t>Narratives Mini-Review analysiert Versicherungsdeckung für medizinische Ernährungstherapie (Medical Nutrition Therapy, MNT) bei älteren Frauen mit Krebs als Politikfrage für Langzeitpflege und Frailty-Equity in USA, Australien und UK.</w:t>
      </w:r>
    </w:p>
    <w:p>
      <w:r>
        <w:rPr>
          <w:b/>
        </w:rPr>
        <w:t xml:space="preserve">Ergebnis: </w:t>
      </w:r>
      <w:r>
        <w:t>Untersucht, wie Versicherungsdesign – Leistungsbeschränkungen, Kostenbeteiligung, fragmentierte Autorisierung – den Zugang zu MNT und damit Risiken für Mangelernährung, Sarkopenie und funktionalen Niedergang lenkt. Empfiehlt MNT als essenzielle, risikostratifizierte Komponente von Onkologie und Langzeitpflege, nicht als optionales Wellness-Angebot, mit kontinuierlichen Übergängen zwischen Klinik, Heimat und Pflege.</w:t>
      </w:r>
    </w:p>
    <w:p>
      <w:r>
        <w:rPr>
          <w:b/>
          <w:sz w:val="19"/>
        </w:rPr>
        <w:t xml:space="preserve">Übertragbarkeit: </w:t>
      </w:r>
      <w:r>
        <w:rPr>
          <w:sz w:val="19"/>
        </w:rPr>
        <w:t>UK-System vergleichbar; Kernaussage zur Finanzierungspolitik auch auf deutsches System übertragbar.</w:t>
      </w:r>
    </w:p>
    <w:p>
      <w:r>
        <w:rPr>
          <w:color w:val="5A7D3A"/>
          <w:sz w:val="18"/>
        </w:rPr>
        <w:t>https://pubmed.ncbi.nlm.nih.gov/42827769/</w:t>
      </w:r>
    </w:p>
    <w:p>
      <w:pPr>
        <w:pStyle w:val="Heading2"/>
      </w:pPr>
      <w:r>
        <w:t>Biologische Organaltern und Proteinprofile vorhersagen Mortalitätsrisiko besser als Standard-Biomarker</w:t>
      </w:r>
    </w:p>
    <w:p>
      <w:r>
        <w:rPr>
          <w:i/>
          <w:color w:val="666666"/>
          <w:sz w:val="18"/>
        </w:rPr>
        <w:t>Pyrgioti M et al.  ·  Aging Cell  ·  Okt. 2026  ·  PMID 42823846</w:t>
      </w:r>
    </w:p>
    <w:p>
      <w:r>
        <w:t>Benchmarking von 11 proteomic organ clocks gegen etablierte Altersmarker (epigenetisches Alter, Telomerlänge, Lungenfunktion, Kognition, Neuroimaging) für 16-Jahres-Gesamtmortalität in einer schottischen Kohorte (n=861; 444 Todesfälle).</w:t>
      </w:r>
    </w:p>
    <w:p>
      <w:r>
        <w:rPr>
          <w:b/>
        </w:rPr>
        <w:t xml:space="preserve">Ergebnis: </w:t>
      </w:r>
      <w:r>
        <w:t>Unter proteomic clocks: beschleunigte Leber-(HR=1,43), Immun-(HR=1,42) und Herzalterung (HR=1,38) waren stärkste Prädiktor:innen. Aber älteres epigenetisches Alter, kleineres Hirnvolumen, reduzierte Atemfunktion und schlechtere Kognition zeigten stärkere Assoziationen (HR=1,44–1,62). Von 9703 Plasma-Proteinen: GDF15 (HR=1,56), WFDC2 (HR=1,47) und TIMP1 (HR=1,45) führend mit Mortalität assoziiert.</w:t>
      </w:r>
    </w:p>
    <w:p>
      <w:r>
        <w:rPr>
          <w:b/>
          <w:sz w:val="19"/>
        </w:rPr>
        <w:t xml:space="preserve">Übertragbarkeit: </w:t>
      </w:r>
      <w:r>
        <w:rPr>
          <w:sz w:val="19"/>
        </w:rPr>
        <w:t>UK-Biobank-Kohorte, europäische Altersstruktur, direkt auf Deutschland übertragbar.</w:t>
      </w:r>
    </w:p>
    <w:p>
      <w:r>
        <w:rPr>
          <w:color w:val="5A7D3A"/>
          <w:sz w:val="18"/>
        </w:rPr>
        <w:t>https://pubmed.ncbi.nlm.nih.gov/42823846/</w:t>
      </w:r>
    </w:p>
    <w:p>
      <w:pPr>
        <w:pStyle w:val="Heading2"/>
      </w:pPr>
      <w:r>
        <w:t>Gesunde Altersverläufe senken kardiovaskuläres Erkrankungsrisiko</w:t>
      </w:r>
    </w:p>
    <w:p>
      <w:r>
        <w:rPr>
          <w:i/>
          <w:color w:val="666666"/>
          <w:sz w:val="18"/>
        </w:rPr>
        <w:t>Du R et al.  ·  J Nutr Health Aging  ·  04.09.2026  ·  PMID 42697165</w:t>
      </w:r>
    </w:p>
    <w:p>
      <w:r>
        <w:t>Studie untersucht die Assoziation zwischen Mustern gesunder Alterung (gemessen mit ATHLOS-Score) und dem Auftreten kardiovaskulärer Erkrankungen in drei europäischen und chinesischen Kohorten.</w:t>
      </w:r>
    </w:p>
    <w:p>
      <w:r>
        <w:rPr>
          <w:b/>
        </w:rPr>
        <w:t xml:space="preserve">Ergebnis: </w:t>
      </w:r>
      <w:r>
        <w:t>Verglichen mit der niedrigsten Altersverlauf-Gruppe zeigte die mittlere Gruppe reduziertes CVD-Risiko (SHARE HR=0,89; ELSA HR=0,66; CHARLS HR=0,67), die höchste Gruppe sogar deutlich gesenkt (SHARE HR=0,61; ELSA HR=0,36; CHARLS HR=0,39). Assoziation war konsistent über SES- und Lebensstil-Schichten. Hochwertige Altersverläufe sind kardioprotektiv.</w:t>
      </w:r>
    </w:p>
    <w:p>
      <w:r>
        <w:rPr>
          <w:b/>
          <w:sz w:val="19"/>
        </w:rPr>
        <w:t xml:space="preserve">Übertragbarkeit: </w:t>
      </w:r>
      <w:r>
        <w:rPr>
          <w:sz w:val="19"/>
        </w:rPr>
        <w:t>SHARE und ELSA europäisch vergleichbar, CHARLS repräsentiert alternatives System.</w:t>
      </w:r>
    </w:p>
    <w:p>
      <w:r>
        <w:rPr>
          <w:color w:val="5A7D3A"/>
          <w:sz w:val="18"/>
        </w:rPr>
        <w:t>https://pubmed.ncbi.nlm.nih.gov/42697165/</w:t>
      </w:r>
    </w:p>
    <w:p>
      <w:pPr>
        <w:pStyle w:val="Heading2"/>
      </w:pPr>
      <w:r>
        <w:t>Spezialisierte Versorgung fragiler Chirurgiepatienten senkt Morbidität und erhält Lebensqualität</w:t>
      </w:r>
    </w:p>
    <w:p>
      <w:r>
        <w:rPr>
          <w:i/>
          <w:color w:val="666666"/>
          <w:sz w:val="18"/>
        </w:rPr>
        <w:t>Castellví Valls J et al.  ·  Cir Esp (Engl Ed)  ·  01.09.2026  ·  PMID 42680087</w:t>
      </w:r>
    </w:p>
    <w:p>
      <w:r>
        <w:t>Evaluiert Effektivität eines integrierten geriatrischen Versorgungsbereichs für fragile Patienten, die operativ behandelt wurden, mit Fokus auf perioperative Morbidität, Mortalität und Funktionsfähigkeit.</w:t>
      </w:r>
    </w:p>
    <w:p>
      <w:r>
        <w:rPr>
          <w:b/>
        </w:rPr>
        <w:t xml:space="preserve">Ergebnis: </w:t>
      </w:r>
      <w:r>
        <w:t>Von 413 Patienten (Alter 80 J., 91,8% ASA III-IV) wurden 288 operiert. Perioperative Komplikationen Clavien-Dindo III-V: 9,7%, 30-Tage-Mortalität 3,1%, Wiederaufnahmen 13,2%. Nach 3 Monaten und 1 Jahr waren 82,5% der operierten Patienten in Funktion gleich oder besser als präoperativ. Von 125 nicht operierten Patienten starben 48,3% im 1. Jahr.</w:t>
      </w:r>
    </w:p>
    <w:p>
      <w:r>
        <w:rPr>
          <w:b/>
          <w:sz w:val="19"/>
        </w:rPr>
        <w:t xml:space="preserve">Übertragbarkeit: </w:t>
      </w:r>
      <w:r>
        <w:rPr>
          <w:sz w:val="19"/>
        </w:rPr>
        <w:t>Spanisch-katalanisches Krankenhaus-System, deutsche Geriatrien vergleichbar organisiert.</w:t>
      </w:r>
    </w:p>
    <w:p>
      <w:r>
        <w:rPr>
          <w:color w:val="5A7D3A"/>
          <w:sz w:val="18"/>
        </w:rPr>
        <w:t>https://pubmed.ncbi.nlm.nih.gov/42680087/</w:t>
      </w:r>
    </w:p>
    <w:p>
      <w:pPr>
        <w:pStyle w:val="Heading2"/>
      </w:pPr>
      <w:r>
        <w:t>Schlaf-Mikrostruktur in der Älterung vorhersagt kognitive Trajektorie über 10 Jahre</w:t>
      </w:r>
    </w:p>
    <w:p>
      <w:r>
        <w:rPr>
          <w:i/>
          <w:color w:val="666666"/>
          <w:sz w:val="18"/>
        </w:rPr>
        <w:t>Urdanibia-Centelles O et al.  ·  Sleep Med  ·  20.08.2026  ·  PMID 42628340</w:t>
      </w:r>
    </w:p>
    <w:p>
      <w:r>
        <w:t>Prospektive Kohortenstudie (n=82 mit ausreichend NREM-Schlaf, Polysomnografie und kognitive Tests 10 Jahre auseinander) untersucht, ob Schlafmerkmale (Spindel, Slow Waves, EEG-Kohärenz) kognitive Alterung und Verfall vorhersagen.</w:t>
      </w:r>
    </w:p>
    <w:p>
      <w:r>
        <w:rPr>
          <w:b/>
        </w:rPr>
        <w:t xml:space="preserve">Ergebnis: </w:t>
      </w:r>
      <w:r>
        <w:t>Über 10 Jahre: Verarbeitungsgeschwindigkeit nahm um 6,1 s zu, symbolische Konversion um 2,3 ab. Höhere Schlafeffizienz → besseres kognitives Halten. Erhöhte Wachphase und erhöhtes Arousal → schlechtere Gedächtnis- und Lernleistung. Höhere Fast-Spindle-Amplitude und -Frequenz, Slow-Wave-Charakteristika und N2/REM-Kohärenz korrelierten mit Verarbeitungsgeschwindigkeit, Aufmerksamkeit und globaler Kognition.</w:t>
      </w:r>
    </w:p>
    <w:p>
      <w:r>
        <w:rPr>
          <w:b/>
          <w:sz w:val="19"/>
        </w:rPr>
        <w:t xml:space="preserve">Übertragbarkeit: </w:t>
      </w:r>
      <w:r>
        <w:rPr>
          <w:sz w:val="19"/>
        </w:rPr>
        <w:t>Dänische Geburtskohorte, nordeuropäisches System vergleichbar.</w:t>
      </w:r>
    </w:p>
    <w:p>
      <w:r>
        <w:rPr>
          <w:color w:val="5A7D3A"/>
          <w:sz w:val="18"/>
        </w:rPr>
        <w:t>https://pubmed.ncbi.nlm.nih.gov/42628340/</w:t>
      </w:r>
    </w:p>
    <w:p>
      <w:pPr>
        <w:pStyle w:val="Heading1"/>
      </w:pPr>
      <w:r>
        <w:t>Aufgenommen am 04.10.2026</w:t>
      </w:r>
    </w:p>
    <w:p>
      <w:pPr>
        <w:pStyle w:val="Heading2"/>
      </w:pPr>
      <w:r>
        <w:t>Ernährungsscreening und Vorrehabilitation reduzieren Komplikationen bei älteren Frauen in der Krebschirurgie</w:t>
      </w:r>
    </w:p>
    <w:p>
      <w:r>
        <w:rPr>
          <w:i/>
          <w:color w:val="666666"/>
          <w:sz w:val="18"/>
        </w:rPr>
        <w:t>Feng Y et al.  ·  Front Public Health  ·  17.09.2026  ·  PMID 42824555</w:t>
      </w:r>
    </w:p>
    <w:p>
      <w:r>
        <w:t>Narrative Review zu Pflegeintervention bei älteren Frauen mit Krebs vor Operation: Frailty- und Ernährungsscreening, Dietitian-Referral, multimodale Prehabilitation und Enhanced Recovery.</w:t>
      </w:r>
    </w:p>
    <w:p>
      <w:r>
        <w:rPr>
          <w:b/>
        </w:rPr>
        <w:t xml:space="preserve">Ergebnis: </w:t>
      </w:r>
      <w:r>
        <w:t>Integrierten zwei-Schritt-Ansatz mit Frailty/Ernährungsscreening plus Multidimensionalem Assessment, Protein-Energie-Support und Mobilisierung in Enhanced-Recovery-Pathways wird empfohlen. Begründung: Ältere Frauen erleben Frailty-Malnutrition-Stress-Achse; Mangelernährung und Muskelabbau persistieren über Adjuvanztherapie hinaus. Wirkevidenz begrenzt auf funktionelle und ernährungsbezogene Outcomes, nicht nur Liegedauer.</w:t>
      </w:r>
    </w:p>
    <w:p>
      <w:r>
        <w:rPr>
          <w:b/>
          <w:sz w:val="19"/>
        </w:rPr>
        <w:t xml:space="preserve">Übertragbarkeit: </w:t>
      </w:r>
      <w:r>
        <w:rPr>
          <w:sz w:val="19"/>
        </w:rPr>
        <w:t>Deutschland: Geriatrisches Assessments- und Ernährungskonzept ist in deutschen Kliniken strukturell etablierbar.</w:t>
      </w:r>
    </w:p>
    <w:p>
      <w:r>
        <w:rPr>
          <w:color w:val="5A7D3A"/>
          <w:sz w:val="18"/>
        </w:rPr>
        <w:t>https://pubmed.ncbi.nlm.nih.gov/42824555/</w:t>
      </w:r>
    </w:p>
    <w:p>
      <w:pPr>
        <w:pStyle w:val="Heading2"/>
      </w:pPr>
      <w:r>
        <w:t>Hitzebelastung verschlechtert funktionale Kapazität bei älteren Erwachsenen in China</w:t>
      </w:r>
    </w:p>
    <w:p>
      <w:r>
        <w:rPr>
          <w:i/>
          <w:color w:val="666666"/>
          <w:sz w:val="18"/>
        </w:rPr>
        <w:t>Huang L et al.  ·  BMC Public Health  ·  26.09.2026  ·  PMID 42823677</w:t>
      </w:r>
    </w:p>
    <w:p>
      <w:r>
        <w:t>Longitudinale Studie an 1.393 Chinesen (45–80 Jahre) über drei Wellen (2011–2015) zur Assoziation von Hitzewellentagen mit Trajektorien der intrinsischen Kapazität (WHO-Indikator für gesundes Altern).</w:t>
      </w:r>
    </w:p>
    <w:p>
      <w:r>
        <w:rPr>
          <w:b/>
        </w:rPr>
        <w:t xml:space="preserve">Ergebnis: </w:t>
      </w:r>
      <w:r>
        <w:t>Jeder zusätzliche Hitzewellentag erhöhte das Risiko der Low-declining-Trajektorie um 3,5 % (adjustierte RRR = 1,035; 95 % KI: 1,012–1,058; p = 0,003). Effekt war ausgeprägter bei geringerer Schulbildung (RRR = 1,07) und in ländlichen Regionen (RRR = 1,05). Kältespells zeigten keinen signifikanten Effekt. Klimawandel gefährdet funktionale Gesundheit sozioökonomisch benachteiligter älterer Menschen.</w:t>
      </w:r>
    </w:p>
    <w:p>
      <w:r>
        <w:rPr>
          <w:b/>
          <w:sz w:val="19"/>
        </w:rPr>
        <w:t xml:space="preserve">Übertragbarkeit: </w:t>
      </w:r>
      <w:r>
        <w:rPr>
          <w:sz w:val="19"/>
        </w:rPr>
        <w:t>China, aber Funktionsfähigkeit als universales Konzept; Effektmodifikation durch Bildung und Wohnort relevant für alle Länder.</w:t>
      </w:r>
    </w:p>
    <w:p>
      <w:r>
        <w:rPr>
          <w:color w:val="5A7D3A"/>
          <w:sz w:val="18"/>
        </w:rPr>
        <w:t>https://pubmed.ncbi.nlm.nih.gov/42823677/</w:t>
      </w:r>
    </w:p>
    <w:p>
      <w:pPr>
        <w:pStyle w:val="Heading2"/>
      </w:pPr>
      <w:r>
        <w:t>Institutionelle Fragmentierung verstärkt Ungleichheit in der Langzeitpflege im asiatisch-pazifischen Raum</w:t>
      </w:r>
    </w:p>
    <w:p>
      <w:r>
        <w:rPr>
          <w:i/>
          <w:color w:val="666666"/>
          <w:sz w:val="18"/>
        </w:rPr>
        <w:t>Bhula-Or R et al.  ·  Australas J Ageing  ·  Dez. 2026  ·  PMID 42820354</w:t>
      </w:r>
    </w:p>
    <w:p>
      <w:r>
        <w:t>Qualitative Partizipative-Beobachtungs-Studie mit reflexiver Thematic Analysis über 107 Stakeholder (Policy, Wissenschaft, Zivilgesellschaft, Anbieter) aus ASEAN-Plus-Three während regionaler Politikdialogs 2025.</w:t>
      </w:r>
    </w:p>
    <w:p>
      <w:r>
        <w:rPr>
          <w:b/>
        </w:rPr>
        <w:t xml:space="preserve">Ergebnis: </w:t>
      </w:r>
      <w:r>
        <w:t>Drei zentrale Befunde: (1) institutionelle Fragmentierung wandelt frühere Benachteiligung in ungleiche Zugänge um; (2) Gemeinschaften fangen Lücken in formaler Pflege auf, verschieben aber nicht öffentliche Verantwortung; (3) Equity hängt von Neuverteilung von Mitsprache und sektorenübergreifender Koordination ab. Kosten fallen disproportional auf Frauen, ländliche und niedrigeinkommens-Ältere. Autorenvorschlag: nationale Koordinierungshubs als Lösungsarchitektur.</w:t>
      </w:r>
    </w:p>
    <w:p>
      <w:r>
        <w:rPr>
          <w:b/>
          <w:sz w:val="19"/>
        </w:rPr>
        <w:t xml:space="preserve">Übertragbarkeit: </w:t>
      </w:r>
      <w:r>
        <w:rPr>
          <w:sz w:val="19"/>
        </w:rPr>
        <w:t>ASEAN-Region: Transferierbar für vergleichbare föderalistische/föderative Systeme; Koordinierungslücke relevant auch für Deutschland.</w:t>
      </w:r>
    </w:p>
    <w:p>
      <w:r>
        <w:rPr>
          <w:color w:val="5A7D3A"/>
          <w:sz w:val="18"/>
        </w:rPr>
        <w:t>https://pubmed.ncbi.nlm.nih.gov/42820354/</w:t>
      </w:r>
    </w:p>
    <w:p>
      <w:pPr>
        <w:pStyle w:val="Heading2"/>
      </w:pPr>
      <w:r>
        <w:t>Zervikale Atrophie übersteigt Alterseffekt bei Multiple Sklerose – besonders in 50ern und 60ern</w:t>
      </w:r>
    </w:p>
    <w:p>
      <w:r>
        <w:rPr>
          <w:i/>
          <w:color w:val="666666"/>
          <w:sz w:val="18"/>
        </w:rPr>
        <w:t>Jain K et al.  ·  Neurology  ·  27.10.2026  ·  PMID 42814910</w:t>
      </w:r>
    </w:p>
    <w:p>
      <w:r>
        <w:t>Cross-sectional Multizenterstudie (3 italienische Zentren) mit 480 gesunden Kontrollen und 1.295 MS-Patienten (18–70 Jahre): Untersuchung, ob MS eine krankheitsspezifische Reduktion der mittleren oberen zervikalen Rückenmarksarea (MUCCA) über Altern hinaus bewirkt, und ob diese durch Geschlecht und Erkrankungsbeginn moduliert wird.</w:t>
      </w:r>
    </w:p>
    <w:p>
      <w:r>
        <w:rPr>
          <w:b/>
        </w:rPr>
        <w:t xml:space="preserve">Ergebnis: </w:t>
      </w:r>
      <w:r>
        <w:t>Bei Kontrollen: MUCCA stieg bis späte 30er Jahre (p ≤ 0,033), sank nach 50 Jahren (p ≤ 0,008). MS-Patienten zeigten Z-Scores &lt; 0 ab 30 Jahren (p ≤ 0,039), besonders in 50ern und 60ern. Markanter früh-erwachsener Decline bis späte 40er, danach Abschwächung. Geschlechtsunterschiede nicht signifikant. Höhere Atrophie korreliert mit stärkerer Behinderung (ρ = 0,196–0,392, alle p &lt; 0,001). Rückenmarksatrophie ist sensitiver MS-Biomarker für Neurodegeneration jenseits reinen Alterns.</w:t>
      </w:r>
    </w:p>
    <w:p>
      <w:r>
        <w:rPr>
          <w:b/>
          <w:sz w:val="19"/>
        </w:rPr>
        <w:t xml:space="preserve">Übertragbarkeit: </w:t>
      </w:r>
      <w:r>
        <w:rPr>
          <w:sz w:val="19"/>
        </w:rPr>
        <w:t>Italien, Deutschland: Neuroimaging-Daten aus europäischen Zentren mit vergleichbarer MS-Diagnostik; Transfer auf deutsche MS-Kohorten möglich.</w:t>
      </w:r>
    </w:p>
    <w:p>
      <w:r>
        <w:rPr>
          <w:color w:val="5A7D3A"/>
          <w:sz w:val="18"/>
        </w:rPr>
        <w:t>https://pubmed.ncbi.nlm.nih.gov/42814910/</w:t>
      </w:r>
    </w:p>
    <w:p>
      <w:pPr>
        <w:pStyle w:val="Heading2"/>
      </w:pPr>
      <w:r>
        <w:t>Kombinierte Bewegungs- und Ernährungsinterventionen beugen Frailty vor</w:t>
      </w:r>
    </w:p>
    <w:p>
      <w:r>
        <w:rPr>
          <w:i/>
          <w:color w:val="666666"/>
          <w:sz w:val="18"/>
        </w:rPr>
        <w:t>Aydin N et al.  ·  Orthop Nurs  ·  22.09.2026  ·  PMID 42809602</w:t>
      </w:r>
    </w:p>
    <w:p>
      <w:r>
        <w:t>Systematischer Review und Metaanalyse von 16 randomisierten Studien zu Frailty-Prävention bei Erwachsenen ab 65 Jahren.</w:t>
      </w:r>
    </w:p>
    <w:p>
      <w:r>
        <w:rPr>
          <w:b/>
        </w:rPr>
        <w:t xml:space="preserve">Ergebnis: </w:t>
      </w:r>
      <w:r>
        <w:t>Gesamteffektgröße: Hedges' g = –0,799 (95 % KI: –1,420 bis 0,179); Heterogenität hoch (I² = 97,32 %). Kombinierte Interventionen (Bewegung + Ernährung + integrierte Versorgung) zeigten größeren Effekt (g = 2,843; 95 % KI: 0,376–6,062) als einzelne Ansätze. Subgruppenunterschiede nicht signifikant (p = 0,080). Dauer und Frequenz von Bewegung sowie nutrizionale Unterstützung entscheidend.</w:t>
      </w:r>
    </w:p>
    <w:p>
      <w:r>
        <w:rPr>
          <w:b/>
          <w:sz w:val="19"/>
        </w:rPr>
        <w:t xml:space="preserve">Übertragbarkeit: </w:t>
      </w:r>
      <w:r>
        <w:rPr>
          <w:sz w:val="19"/>
        </w:rPr>
        <w:t>Deutschland: Multimodale Prävention ist Standard; Metaanalyse belegt Notwendigkeit kombinierter Ansätze.</w:t>
      </w:r>
    </w:p>
    <w:p>
      <w:r>
        <w:rPr>
          <w:color w:val="5A7D3A"/>
          <w:sz w:val="18"/>
        </w:rPr>
        <w:t>https://pubmed.ncbi.nlm.nih.gov/42809602/</w:t>
      </w:r>
    </w:p>
    <w:p>
      <w:pPr>
        <w:pStyle w:val="Heading2"/>
      </w:pPr>
      <w:r>
        <w:t>Enactment-Kodierung verbessert prospektives Gedächtnis über alle Altersgruppen</w:t>
      </w:r>
    </w:p>
    <w:p>
      <w:r>
        <w:rPr>
          <w:i/>
          <w:color w:val="666666"/>
          <w:sz w:val="18"/>
        </w:rPr>
        <w:t>Stelz S et al.  ·  Memory  ·  21.08.2026  ·  PMID 42627881</w:t>
      </w:r>
    </w:p>
    <w:p>
      <w:r>
        <w:t>Randomisierte Studie an 373 Personen (Kinder bis Mittelalter) mit drei Kodierungsbedingungen (episodic future thinking, enactment encoding, Standard) und computerisierter prospektiver Gedächtnisaufgabe.</w:t>
      </w:r>
    </w:p>
    <w:p>
      <w:r>
        <w:rPr>
          <w:b/>
        </w:rPr>
        <w:t xml:space="preserve">Ergebnis: </w:t>
      </w:r>
      <w:r>
        <w:t>Enactment encoding führte zu signifikant besserer Leistung als episodic future thinking und Standard (Haupteffekt p &lt; 0,05). Vorteil war unabhängig von Altersgruppe – kein Alters-mal-Bedingung-Effekt (Erwartung widerlegt). Immediate Memory und Attention waren beste RBANS-Prädiktoren für alltägliche Funktionalität.</w:t>
      </w:r>
    </w:p>
    <w:p>
      <w:r>
        <w:rPr>
          <w:b/>
          <w:sz w:val="19"/>
        </w:rPr>
        <w:t xml:space="preserve">Übertragbarkeit: </w:t>
      </w:r>
      <w:r>
        <w:rPr>
          <w:sz w:val="19"/>
        </w:rPr>
        <w:t>Deutschland: Universelle Kodierungsmethode, unabhängig von kognitiven Ressourcen im Alter anwendbar.</w:t>
      </w:r>
    </w:p>
    <w:p>
      <w:r>
        <w:rPr>
          <w:color w:val="5A7D3A"/>
          <w:sz w:val="18"/>
        </w:rPr>
        <w:t>https://pubmed.ncbi.nlm.nih.gov/42627881/</w:t>
      </w:r>
    </w:p>
    <w:p>
      <w:pPr>
        <w:pStyle w:val="Heading1"/>
      </w:pPr>
      <w:r>
        <w:t>Aufgenommen am 03.10.2026</w:t>
      </w:r>
    </w:p>
    <w:p>
      <w:pPr>
        <w:pStyle w:val="Heading2"/>
      </w:pPr>
      <w:r>
        <w:t>Multimorbiditäts-Effekte auf erhaltene Funktionsfähigkeit: Heterogenität nach Krankheitstyp und sozioökonomischem Status</w:t>
      </w:r>
    </w:p>
    <w:p>
      <w:r>
        <w:rPr>
          <w:i/>
          <w:color w:val="666666"/>
          <w:sz w:val="18"/>
        </w:rPr>
        <w:t>Zeng Z et al.  ·  Medicine (Baltimore)  ·  02.10.2026  ·  PMID 42826326</w:t>
      </w:r>
    </w:p>
    <w:p>
      <w:r>
        <w:t>Querschnittsstudie mit wiederholten Beobachtungen aus China (2011, 2015, 2018) zu Assoziationen zwischen Multimorbiditäten und Intrinsic Capacity (selbstständiges Leben) mit Subgruppenanalysen nach Erkrankungstyp, Region und Einkommen.</w:t>
      </w:r>
    </w:p>
    <w:p>
      <w:r>
        <w:rPr>
          <w:b/>
        </w:rPr>
        <w:t xml:space="preserve">Ergebnis: </w:t>
      </w:r>
      <w:r>
        <w:t>Multimorbiditäten waren signifikant mit niedriger Intrinsic Capacity assoziiert (β=−0,076, p&lt;0,01). Neurodegenerative Erkrankungen zeigten die stärkste negative Assoziation (β=−0,587), gefolgt von kardiovaskulären Erkrankungen (β=−0,135). Negative Assoziationen waren stärker in ländlichen Gebieten, westlichen Regionen und bei niedrigerem Einkommen/Bildung.</w:t>
      </w:r>
    </w:p>
    <w:p>
      <w:r>
        <w:rPr>
          <w:b/>
          <w:sz w:val="19"/>
        </w:rPr>
        <w:t xml:space="preserve">Übertragbarkeit: </w:t>
      </w:r>
      <w:r>
        <w:rPr>
          <w:sz w:val="19"/>
        </w:rPr>
        <w:t>China, andere Ausgangslage; Befunde zu Multimorbiditäts-Burden in alternder Bevölkerung relevant für globale Perspektive</w:t>
      </w:r>
    </w:p>
    <w:p>
      <w:r>
        <w:rPr>
          <w:color w:val="5A7D3A"/>
          <w:sz w:val="18"/>
        </w:rPr>
        <w:t>https://pubmed.ncbi.nlm.nih.gov/42826326/</w:t>
      </w:r>
    </w:p>
    <w:p>
      <w:pPr>
        <w:pStyle w:val="Heading2"/>
      </w:pPr>
      <w:r>
        <w:t>Kompetenzdefizite von Pflegefachpersonen bei Frailty-Management: Praxis schwächer als Wissen</w:t>
      </w:r>
    </w:p>
    <w:p>
      <w:r>
        <w:rPr>
          <w:i/>
          <w:color w:val="666666"/>
          <w:sz w:val="18"/>
        </w:rPr>
        <w:t>Lyu J et al.  ·  Front Public Health  ·  17.09.2026  ·  PMID 42824785</w:t>
      </w:r>
    </w:p>
    <w:p>
      <w:r>
        <w:t>Querschnittsbefragung von 610 Pflegefachpersonen an 41 Krankenhäusern in China zu Wissen, Einstellungen und praktischen Fertigkeiten (KAP) zur Frailty-Versorgung und deren Determinanten.</w:t>
      </w:r>
    </w:p>
    <w:p>
      <w:r>
        <w:rPr>
          <w:b/>
        </w:rPr>
        <w:t xml:space="preserve">Ergebnis: </w:t>
      </w:r>
      <w:r>
        <w:t>Mittleres KAP-Score 103,07±12,65 (81,16% des Maximums): Einstellung 88,53%, Wissen 81,38%, Praxis 74,40%. Recente Frailty-Schulung war unabhängig mit besserem Gesamt-KAP assoziiert (β=−6,820 für nicht trainiert versus innerhalb eines Monats trainiert, p=0,036). Geriatrische Fachzertifizierung war nur mit Wissen assoziiert, nicht mit Gesamtleistung oder Praxis.</w:t>
      </w:r>
    </w:p>
    <w:p>
      <w:r>
        <w:rPr>
          <w:b/>
          <w:sz w:val="19"/>
        </w:rPr>
        <w:t xml:space="preserve">Übertragbarkeit: </w:t>
      </w:r>
      <w:r>
        <w:rPr>
          <w:sz w:val="19"/>
        </w:rPr>
        <w:t>China, andere Gesundheitssystem-Struktur; Erkenntnis zur Schulungsrelevanz bei Fachpersonal übertragbar</w:t>
      </w:r>
    </w:p>
    <w:p>
      <w:r>
        <w:rPr>
          <w:color w:val="5A7D3A"/>
          <w:sz w:val="18"/>
        </w:rPr>
        <w:t>https://pubmed.ncbi.nlm.nih.gov/42824785/</w:t>
      </w:r>
    </w:p>
    <w:p>
      <w:pPr>
        <w:pStyle w:val="Heading2"/>
      </w:pPr>
      <w:r>
        <w:t>Geografische Disparitäten beim direkten Zugang zu akutgeriatrischer Versorgung</w:t>
      </w:r>
    </w:p>
    <w:p>
      <w:r>
        <w:rPr>
          <w:i/>
          <w:color w:val="666666"/>
          <w:sz w:val="18"/>
        </w:rPr>
        <w:t>Varg S et al.  ·  BMC Geriatr  ·  02.10.2026  ·  PMID 42823763</w:t>
      </w:r>
    </w:p>
    <w:p>
      <w:r>
        <w:t>Observationsstudie in Stockholm zu Variation der Rettungswagen-Einweisungen von über 65-Jährigen direkt in Geriatrische Stationen versus Notaufnahmen und zugrunde liegenden Unterschieden zwischen Versorgungsgebieten.</w:t>
      </w:r>
    </w:p>
    <w:p>
      <w:r>
        <w:rPr>
          <w:b/>
        </w:rPr>
        <w:t xml:space="preserve">Ergebnis: </w:t>
      </w:r>
      <w:r>
        <w:t>Von 8.208 Patienten wurden 603 (7%) direkt in eine Geriatrische Station aufgenommen; Quoten variierten zwischen 4% und 21% je Krankenhaus-Versorgungsgebiet. Nach Adjustierung für Angebotsfaktoren erklärten Nähe zur geriatrischen Einheit (26% Varianzreduktion), Trägerschaft (27%) und Bettenzahl (38%) einen Teil der Variation; erhebliche Residualvariation blieb bestehen (MOR=1,54), was auf unmessbare Faktoren hindeutet.</w:t>
      </w:r>
    </w:p>
    <w:p>
      <w:r>
        <w:rPr>
          <w:b/>
          <w:sz w:val="19"/>
        </w:rPr>
        <w:t xml:space="preserve">Übertragbarkeit: </w:t>
      </w:r>
      <w:r>
        <w:rPr>
          <w:sz w:val="19"/>
        </w:rPr>
        <w:t>Schwedische Klinikdaten, Notfallsystem mit weniger fragmentierter Versorgungslandschaft als Deutschland</w:t>
      </w:r>
    </w:p>
    <w:p>
      <w:r>
        <w:rPr>
          <w:color w:val="5A7D3A"/>
          <w:sz w:val="18"/>
        </w:rPr>
        <w:t>https://pubmed.ncbi.nlm.nih.gov/42823763/</w:t>
      </w:r>
    </w:p>
    <w:p>
      <w:pPr>
        <w:pStyle w:val="Heading2"/>
      </w:pPr>
      <w:r>
        <w:t>Frailty-Komponenten und Funktionsfähigkeit: Unterschiede zwischen baltischen und nordischen Ländern</w:t>
      </w:r>
    </w:p>
    <w:p>
      <w:r>
        <w:rPr>
          <w:i/>
          <w:color w:val="666666"/>
          <w:sz w:val="18"/>
        </w:rPr>
        <w:t>Bukova-Žideļūna A et al.  ·  BMC Geriatr  ·  28.07.2026  ·  PMID 42823669</w:t>
      </w:r>
    </w:p>
    <w:p>
      <w:r>
        <w:t>Längsschnittstudie über zwei Jahre zu Zusammenhängen zwischen Frailty-Status und neuen Einschränkungen bei Aktivitäten des täglichen Lebens (ADL/IADL) in über 65-Jährigen aus baltischen und nordischen Ländern mit SHARE-Daten.</w:t>
      </w:r>
    </w:p>
    <w:p>
      <w:r>
        <w:rPr>
          <w:b/>
        </w:rPr>
        <w:t xml:space="preserve">Ergebnis: </w:t>
      </w:r>
      <w:r>
        <w:t>Über zwei Jahre entwickelten 5,9% neue IADL-Einschränkungen in baltischen und 6,4% in nordischen Ländern; 4,6% bzw. 4,7% neue ADL-Einschränkungen. Pre-Frailty war in beiden Regionen mit neuen IADL-Einschränkungen assoziiert. Erschöpfung war die einzige Frailty-Komponente, die unabhängig in beiden Regionen mit neuen Limitationen verknüpft war. Frailty-Prevalenz war in baltischen Ländern deutlich höher.</w:t>
      </w:r>
    </w:p>
    <w:p>
      <w:r>
        <w:rPr>
          <w:b/>
          <w:sz w:val="19"/>
        </w:rPr>
        <w:t xml:space="preserve">Übertragbarkeit: </w:t>
      </w:r>
      <w:r>
        <w:rPr>
          <w:sz w:val="19"/>
        </w:rPr>
        <w:t>SHARE-Daten aus Europa, vergleichbare Gesundheitssysteme und Datenqualität</w:t>
      </w:r>
    </w:p>
    <w:p>
      <w:r>
        <w:rPr>
          <w:color w:val="5A7D3A"/>
          <w:sz w:val="18"/>
        </w:rPr>
        <w:t>https://pubmed.ncbi.nlm.nih.gov/42823669/</w:t>
      </w:r>
    </w:p>
    <w:p>
      <w:pPr>
        <w:pStyle w:val="Heading2"/>
      </w:pPr>
      <w:r>
        <w:t>Vorhersagefaktoren für erhaltene Robustheit im Alter: 8-Jahres-Kohortenstudie</w:t>
      </w:r>
    </w:p>
    <w:p>
      <w:r>
        <w:rPr>
          <w:i/>
          <w:color w:val="666666"/>
          <w:sz w:val="18"/>
        </w:rPr>
        <w:t>Iktilat K et al.  ·  BMC Geriatr  ·  19.08.2026  ·  PMID 42823660</w:t>
      </w:r>
    </w:p>
    <w:p>
      <w:r>
        <w:t>Multinationalle Langzeitanalyse über acht Jahre zu Baseline-Merkmalen, die das Verbleiben in einem robusten (nicht-frail) Zustand vorhersagen bei älteren Erwachsenen 65–84 Jahren aus 27 SHARE-Ländern.</w:t>
      </w:r>
    </w:p>
    <w:p>
      <w:r>
        <w:rPr>
          <w:b/>
        </w:rPr>
        <w:t xml:space="preserve">Ergebnis: </w:t>
      </w:r>
      <w:r>
        <w:t>Nach acht Jahren verblieben 52% der jüngeren Älteren (65–74 J.) und 26% der älteren Älteren (75–84 J.) robust. Konsistent beste Vorhersagefaktoren waren bessere subjektive Gesundheit (OR ≈0,72, p&lt;0,001), weniger chronische Erkrankungen (OR ≈0,89, p&lt;0,001) und finanzielle Sicherheit (OR ≈1,11, p=0,018). Soziale und kognitive Aktivitäten zeigten in manchen Modellen Assoziationen.</w:t>
      </w:r>
    </w:p>
    <w:p>
      <w:r>
        <w:rPr>
          <w:b/>
          <w:sz w:val="19"/>
        </w:rPr>
        <w:t xml:space="preserve">Übertragbarkeit: </w:t>
      </w:r>
      <w:r>
        <w:rPr>
          <w:sz w:val="19"/>
        </w:rPr>
        <w:t>SHARE-Daten aus Europa, vergleichbare Bevölkerungsstruktur und Sozialsysteme</w:t>
      </w:r>
    </w:p>
    <w:p>
      <w:r>
        <w:rPr>
          <w:color w:val="5A7D3A"/>
          <w:sz w:val="18"/>
        </w:rPr>
        <w:t>https://pubmed.ncbi.nlm.nih.gov/42823660/</w:t>
      </w:r>
    </w:p>
    <w:p>
      <w:pPr>
        <w:pStyle w:val="Heading2"/>
      </w:pPr>
      <w:r>
        <w:t>Frailty als Prädiktor für Krankenhausaufnahme jenseits des Triage-Scores</w:t>
      </w:r>
    </w:p>
    <w:p>
      <w:r>
        <w:rPr>
          <w:i/>
          <w:color w:val="666666"/>
          <w:sz w:val="18"/>
        </w:rPr>
        <w:t>Hata N et al.  ·  Acad Emerg Med  ·  Okt. 2026  ·  PMID 42811477</w:t>
      </w:r>
    </w:p>
    <w:p>
      <w:r>
        <w:t>Retrospektive Kohortenanalyse von Notaufnahme-Patienten ≥65 Jahren in Japan (n=3127 Besuche) zur Assoziation zwischen Clinical Frailty Scale und Hospitalisierung, stratifiziert nach Triage-Kategorien.</w:t>
      </w:r>
    </w:p>
    <w:p>
      <w:r>
        <w:rPr>
          <w:b/>
        </w:rPr>
        <w:t xml:space="preserve">Ergebnis: </w:t>
      </w:r>
      <w:r>
        <w:t>Von 3.127 ED-Besuchen führten 1.526 zur Aufnahme. Adjustierte Odds Ratios für Frailty (CFS≥5) waren 1,00 (95% CI 0,65–1,55) in JTAS 2, 1,54 (1,19–1,99) in JTAS 3 und 2,01 (1,13–3,58) in JTAS 4/5. Globale CFS-by-JTAS-Interaktion war nicht signifikant (p=0,091), deutet aber numerisch auf stärkere Frailty-Effekte bei niedrigerer Triage-Dringlichkeit hin.</w:t>
      </w:r>
    </w:p>
    <w:p>
      <w:r>
        <w:rPr>
          <w:b/>
          <w:sz w:val="19"/>
        </w:rPr>
        <w:t xml:space="preserve">Übertragbarkeit: </w:t>
      </w:r>
      <w:r>
        <w:rPr>
          <w:sz w:val="19"/>
        </w:rPr>
        <w:t>Japan, ähnliches Gesundheitssystem; Befund zu Frailty-Screening in der Notaufnahme strukturübergreifend relevant</w:t>
      </w:r>
    </w:p>
    <w:p>
      <w:r>
        <w:rPr>
          <w:color w:val="5A7D3A"/>
          <w:sz w:val="18"/>
        </w:rPr>
        <w:t>https://pubmed.ncbi.nlm.nih.gov/42811477/</w:t>
      </w:r>
    </w:p>
    <w:p>
      <w:pPr>
        <w:pStyle w:val="Heading1"/>
      </w:pPr>
      <w:r>
        <w:t>Aufgenommen am 02.10.2026</w:t>
      </w:r>
    </w:p>
    <w:p>
      <w:pPr>
        <w:pStyle w:val="Heading2"/>
      </w:pPr>
      <w:r>
        <w:t>Körperliche Aktivität senkt Risiko für intrinsische Kapazitätsverluste bei hospitalisierten Älteren</w:t>
      </w:r>
    </w:p>
    <w:p>
      <w:r>
        <w:rPr>
          <w:i/>
          <w:color w:val="666666"/>
          <w:sz w:val="18"/>
        </w:rPr>
        <w:t>Fan W et al.  ·  Australas J Ageing  ·  Dez. 2026  ·  PMID 42820336</w:t>
      </w:r>
    </w:p>
    <w:p>
      <w:r>
        <w:t>Querschnittsstudie mit 534 hospitalisierten älteren Patienten (China) zur Dosis-Wirkungs-Beziehung zwischen körperlicher Aktivität und Verfall der intrinsischen Kapazität.</w:t>
      </w:r>
    </w:p>
    <w:p>
      <w:r>
        <w:rPr>
          <w:b/>
        </w:rPr>
        <w:t xml:space="preserve">Ergebnis: </w:t>
      </w:r>
      <w:r>
        <w:t>Moderate körperliche Aktivität reduzierte Risiko für Kapazitätsverlust um 66% (OR=0,34, 95%-KI 0,23–0,50), hohe Aktivität um 74% (OR=0,26, KI 0,14–0,49). J-förmige nichtlineare Assoziation nachgewiesen. Subgruppenanalysen deuteten auf Geschlecht als potenziellen Moderator hin.</w:t>
      </w:r>
    </w:p>
    <w:p>
      <w:r>
        <w:rPr>
          <w:b/>
          <w:sz w:val="19"/>
        </w:rPr>
        <w:t xml:space="preserve">Übertragbarkeit: </w:t>
      </w:r>
      <w:r>
        <w:rPr>
          <w:sz w:val="19"/>
        </w:rPr>
        <w:t>China, Daten aus Akutkliniken; intrinsische Kapazität international anerkanntes Konzept</w:t>
      </w:r>
    </w:p>
    <w:p>
      <w:r>
        <w:rPr>
          <w:color w:val="5A7D3A"/>
          <w:sz w:val="18"/>
        </w:rPr>
        <w:t>https://pubmed.ncbi.nlm.nih.gov/42820336/</w:t>
      </w:r>
    </w:p>
    <w:p>
      <w:pPr>
        <w:pStyle w:val="Heading2"/>
      </w:pPr>
      <w:r>
        <w:t>Intrinsische Kapazität und Frailty Index prognostizieren Behinderung und Mortalität</w:t>
      </w:r>
    </w:p>
    <w:p>
      <w:r>
        <w:rPr>
          <w:i/>
          <w:color w:val="666666"/>
          <w:sz w:val="18"/>
        </w:rPr>
        <w:t>Feng B et al.  ·  Front Public Health  ·  16.09.2026  ·  PMID 42818694</w:t>
      </w:r>
    </w:p>
    <w:p>
      <w:r>
        <w:t>Prospektive Kohorte mit 7.168 Erwachsenen ≥60 Jahren (China) zur Vorhersagekraft von intrinsischer Kapazität und Frailty-Index für neue Behinderung und Gesamtsterblichkeit.</w:t>
      </w:r>
    </w:p>
    <w:p>
      <w:r>
        <w:rPr>
          <w:b/>
        </w:rPr>
        <w:t xml:space="preserve">Ergebnis: </w:t>
      </w:r>
      <w:r>
        <w:t>Höhere intrinsische Kapazität: niedrigere Behinderungsodds (OR=0,79 pro Punkt, 95%-KI 0,74–0,84) und reduziertes Mortalitätsrisiko (HR=0,84, KI 0,82–0,85). Höherer Frailty-Index: höhere Behinderungsodds (OR=1,93 pro 0,1-Punkte-Steigerung, KI 1,67–2,23). Kombiniert niedrige IC + hoher FI: größtes Behinderungsrisiko (OR=4,31, KI 2,65–7,04) und Mortalitätsrisiko (HR=2,66, KI 2,32–3,04).</w:t>
      </w:r>
    </w:p>
    <w:p>
      <w:r>
        <w:rPr>
          <w:b/>
          <w:sz w:val="19"/>
        </w:rPr>
        <w:t xml:space="preserve">Übertragbarkeit: </w:t>
      </w:r>
      <w:r>
        <w:rPr>
          <w:sz w:val="19"/>
        </w:rPr>
        <w:t>China; beide Konzepte international etabliert, IC und Frailty-Metriken WHO-anerkannt</w:t>
      </w:r>
    </w:p>
    <w:p>
      <w:r>
        <w:rPr>
          <w:color w:val="5A7D3A"/>
          <w:sz w:val="18"/>
        </w:rPr>
        <w:t>https://pubmed.ncbi.nlm.nih.gov/42818694/</w:t>
      </w:r>
    </w:p>
    <w:p>
      <w:pPr>
        <w:pStyle w:val="Heading2"/>
      </w:pPr>
      <w:r>
        <w:t>Gesundheitskompetenz fördert aktives und erfolgreiches Altern</w:t>
      </w:r>
    </w:p>
    <w:p>
      <w:r>
        <w:rPr>
          <w:i/>
          <w:color w:val="666666"/>
          <w:sz w:val="18"/>
        </w:rPr>
        <w:t>Akdeniz Ş et al.  ·  BMC Geriatr  ·  29.09.2026  ·  PMID 42816844</w:t>
      </w:r>
    </w:p>
    <w:p>
      <w:r>
        <w:t>Querschnittsstudie an 306 älteren Erwachsenen (Ø 67,8 Jahre) in der Türkei zu Zusammenhängen zwischen Gesundheitskompetenz, aktivem Altern und erfolgreichem Altern.</w:t>
      </w:r>
    </w:p>
    <w:p>
      <w:r>
        <w:rPr>
          <w:b/>
        </w:rPr>
        <w:t xml:space="preserve">Ergebnis: </w:t>
      </w:r>
      <w:r>
        <w:t>Höhere Gesundheitskompetenz war signifikant mit besserem aktivem Altern assoziiert (p&lt;0,01) und erklärte 56,4% der Varianz des Active-Ageing-Scores (R²=0,564). Regelmäßige mentale Aktivität und Gesundheitskompetenz waren unabhängige Prädiktoren; Bildung und regelmäßiges Training waren im Gesamtmodell nicht signifikant. Zentrale Erkenntnis: Gesundheitskompetenz ist Schlüsselfaktor für aktives Altern.</w:t>
      </w:r>
    </w:p>
    <w:p>
      <w:r>
        <w:rPr>
          <w:b/>
          <w:sz w:val="19"/>
        </w:rPr>
        <w:t xml:space="preserve">Übertragbarkeit: </w:t>
      </w:r>
      <w:r>
        <w:rPr>
          <w:sz w:val="19"/>
        </w:rPr>
        <w:t>Türkei mit vergleichbarer Sozialversicherung, Health-Literacy-Instrumente international validiert</w:t>
      </w:r>
    </w:p>
    <w:p>
      <w:r>
        <w:rPr>
          <w:color w:val="5A7D3A"/>
          <w:sz w:val="18"/>
        </w:rPr>
        <w:t>https://pubmed.ncbi.nlm.nih.gov/42816844/</w:t>
      </w:r>
    </w:p>
    <w:p>
      <w:pPr>
        <w:pStyle w:val="Heading2"/>
      </w:pPr>
      <w:r>
        <w:t>Metabolische Dysregulation vorhersagt Frailty-Entwicklung bei älteren Erwachsenen</w:t>
      </w:r>
    </w:p>
    <w:p>
      <w:r>
        <w:rPr>
          <w:i/>
          <w:color w:val="666666"/>
          <w:sz w:val="18"/>
        </w:rPr>
        <w:t>Wang H et al.  ·  Front Public Health  ·  14.09.2026  ·  PMID 42807462</w:t>
      </w:r>
    </w:p>
    <w:p>
      <w:r>
        <w:t>Prospektive Kohortenstudie (n=2.476, China, 2018–2021) zur zeitlichen Assoziation zwischen TyG-CVAI (Triglycerid-Glukose × viszerales Adipositas-Index) und Frailty-Index.</w:t>
      </w:r>
    </w:p>
    <w:p>
      <w:r>
        <w:rPr>
          <w:b/>
        </w:rPr>
        <w:t xml:space="preserve">Ergebnis: </w:t>
      </w:r>
      <w:r>
        <w:t>Baseline TyG-CVAI prägt Follow-up-Frailty signifikant (standardisiert β=0,165, p&lt;0,001), inverse Assoziation deutlich schwächer (β=0,035, p&lt;0,001). Nichtlineares Verhältnis mit Wendepunkt TyG-CVAI≈750. Subgruppen: stärkere Assoziation unter 60 Jahren, bei ethnischen Minderheiten, ohne Hypertonie/Diabetes. TyG-CVAI als Routine-Biomarker für Früh-Screening geeignet.</w:t>
      </w:r>
    </w:p>
    <w:p>
      <w:r>
        <w:rPr>
          <w:b/>
          <w:sz w:val="19"/>
        </w:rPr>
        <w:t xml:space="preserve">Übertragbarkeit: </w:t>
      </w:r>
      <w:r>
        <w:rPr>
          <w:sz w:val="19"/>
        </w:rPr>
        <w:t>China; TyG-Index und viszerales Adipositas-Index aus Routineparametern</w:t>
      </w:r>
    </w:p>
    <w:p>
      <w:r>
        <w:rPr>
          <w:color w:val="5A7D3A"/>
          <w:sz w:val="18"/>
        </w:rPr>
        <w:t>https://pubmed.ncbi.nlm.nih.gov/42807462/</w:t>
      </w:r>
    </w:p>
    <w:p>
      <w:pPr>
        <w:pStyle w:val="Heading2"/>
      </w:pPr>
      <w:r>
        <w:t>Pilocarpin-Tropfen bei Xerostomie in Palliativversorgung: randomisierte Studie</w:t>
      </w:r>
    </w:p>
    <w:p>
      <w:r>
        <w:rPr>
          <w:i/>
          <w:color w:val="666666"/>
          <w:sz w:val="18"/>
        </w:rPr>
        <w:t>van der Meulen A et al.  ·  J Am Med Dir Assoc  ·  25.08.2026  ·  PMID 42641502</w:t>
      </w:r>
    </w:p>
    <w:p>
      <w:r>
        <w:t>Randomisierte, doppelblinde Placebo-kontrollierte Studie (n=92, Niederlande) zu Wirksamkeit von topischem Pilocarpin gegen Mundtrockenheit bei Patienten mit lebensverkürzender Erkrankung und/oder Frailty.</w:t>
      </w:r>
    </w:p>
    <w:p>
      <w:r>
        <w:rPr>
          <w:b/>
        </w:rPr>
        <w:t xml:space="preserve">Ergebnis: </w:t>
      </w:r>
      <w:r>
        <w:t>Kein signifikanter Unterschied zwischen Pilocarpin und Placebo in Xerostomie-Schweregrad Woche 2 oder 4 (adjustiertes β=–0,37, KI –1,31 bis 0,58 Woche 4). Nur Pilocarpin zeigte kontinuierliche Reduktion Woche 2–4 (–0,86, KI –1,56 bis –0,15). Mundgesundheits-Lebensqualität verbesserte sich unter Pilocarpin Woche 2 (β=2,8, KI 0,91–4,65). Studie unterversorgt; Verträglichkeit gut.</w:t>
      </w:r>
    </w:p>
    <w:p>
      <w:r>
        <w:rPr>
          <w:b/>
          <w:sz w:val="19"/>
        </w:rPr>
        <w:t xml:space="preserve">Übertragbarkeit: </w:t>
      </w:r>
      <w:r>
        <w:rPr>
          <w:sz w:val="19"/>
        </w:rPr>
        <w:t>Niederlande, vergleichbares Versicherungssystem; Palliativversorgung älterer Patienten</w:t>
      </w:r>
    </w:p>
    <w:p>
      <w:r>
        <w:rPr>
          <w:color w:val="5A7D3A"/>
          <w:sz w:val="18"/>
        </w:rPr>
        <w:t>https://pubmed.ncbi.nlm.nih.gov/42641502/</w:t>
      </w:r>
    </w:p>
    <w:p>
      <w:pPr>
        <w:pStyle w:val="Heading1"/>
      </w:pPr>
      <w:r>
        <w:t>Aufgenommen am 01.10.2026</w:t>
      </w:r>
    </w:p>
    <w:p>
      <w:pPr>
        <w:pStyle w:val="Heading2"/>
      </w:pPr>
      <w:r>
        <w:t>Hochintensives Gehen baut Gebrechlichkeit bei älteren Menschen besser ab als lockeres Spaziergang</w:t>
      </w:r>
    </w:p>
    <w:p>
      <w:r>
        <w:rPr>
          <w:i/>
          <w:color w:val="666666"/>
          <w:sz w:val="18"/>
        </w:rPr>
        <w:t>Danilovich M et al.  ·  PLoS One  ·  30.09.2026  ·  PMID 42814673</w:t>
      </w:r>
    </w:p>
    <w:p>
      <w:r>
        <w:t>Randomisierte kontrollierte Studie an 165 gebrechlichen oder vorgebrechlichen älteren Menschen (Alter ≥60 Jahre), die entweder hochintensives Gehen (70% Herzfrequenzmaximum) oder lockeres Gehen (unter 60%) über 16 Wochen trainierten.</w:t>
      </w:r>
    </w:p>
    <w:p>
      <w:r>
        <w:rPr>
          <w:b/>
        </w:rPr>
        <w:t xml:space="preserve">Ergebnis: </w:t>
      </w:r>
      <w:r>
        <w:t>69,6% der hochintensiv trainierenden Teilnehmer (32/46) verbesserten ihre Gebrechlichkeit um mind. eine Kategorie gegenüber 46,4% der Kontrollgruppe (26/56) – Odds Ratio 2,91 (95% KI 1,19–7,13, p=0,02). Hochintensives Training erhöhte Gehgeschwindigkeit um 0,08 m/s (95% KI 0,03–0,13) und 6-Minuten-Gehstrecke um 49 m (95% KI 21–77 m).</w:t>
      </w:r>
    </w:p>
    <w:p>
      <w:r>
        <w:rPr>
          <w:b/>
          <w:sz w:val="19"/>
        </w:rPr>
        <w:t xml:space="preserve">Übertragbarkeit: </w:t>
      </w:r>
      <w:r>
        <w:rPr>
          <w:sz w:val="19"/>
        </w:rPr>
        <w:t>USA; Interventionsergebnis unabhängig von Gesundheitssystem übertragbar</w:t>
      </w:r>
    </w:p>
    <w:p>
      <w:r>
        <w:rPr>
          <w:color w:val="5A7D3A"/>
          <w:sz w:val="18"/>
        </w:rPr>
        <w:t>https://pubmed.ncbi.nlm.nih.gov/42814673/</w:t>
      </w:r>
    </w:p>
    <w:p>
      <w:pPr>
        <w:pStyle w:val="Heading2"/>
      </w:pPr>
      <w:r>
        <w:t>Chemokine CCL2 und CXCL2 als Marker für Delirium-Anfälligkeit bei älteren Menschen</w:t>
      </w:r>
    </w:p>
    <w:p>
      <w:r>
        <w:rPr>
          <w:i/>
          <w:color w:val="666666"/>
          <w:sz w:val="18"/>
        </w:rPr>
        <w:t>Moorey H et al.  ·  Age Ageing  ·  04.09.2026  ·  PMID 42814578</w:t>
      </w:r>
    </w:p>
    <w:p>
      <w:r>
        <w:t>Prospektive Kohortenstudie an 98 Bewohnern der Allgemeinbevölkerung (Median-Alter 88 Jahre, 90,8% gebrechlich) aus der CASCADE-Studie mit 2-Jahres-Verfolgung zur Deliriumprävention.</w:t>
      </w:r>
    </w:p>
    <w:p>
      <w:r>
        <w:rPr>
          <w:b/>
        </w:rPr>
        <w:t xml:space="preserve">Ergebnis: </w:t>
      </w:r>
      <w:r>
        <w:t>43,9% der Teilnehmer erlebten ≥1 Delirium-Episode. CCL2 und CXCL2 waren zu Baseline bei der Deliriumgruppe signifikant erhöht (CCL2: 13,38 vs. 10,83, p=0,004; CXCL2: 17,23 vs. 13,49, p=0,031). CCL2-Assoziation mit Deliriumrisiko blieb in beiden Demenzunttergruppen stabil; CXCL2 nur bei Teilnehmern ohne Demenz signifikant.</w:t>
      </w:r>
    </w:p>
    <w:p>
      <w:r>
        <w:rPr>
          <w:b/>
          <w:sz w:val="19"/>
        </w:rPr>
        <w:t xml:space="preserve">Übertragbarkeit: </w:t>
      </w:r>
      <w:r>
        <w:rPr>
          <w:sz w:val="19"/>
        </w:rPr>
        <w:t>UK (Birmingham), vergleichbares Gesundheitssystem und Altersstruktur</w:t>
      </w:r>
    </w:p>
    <w:p>
      <w:r>
        <w:rPr>
          <w:color w:val="5A7D3A"/>
          <w:sz w:val="18"/>
        </w:rPr>
        <w:t>https://pubmed.ncbi.nlm.nih.gov/42814578/</w:t>
      </w:r>
    </w:p>
    <w:p>
      <w:pPr>
        <w:pStyle w:val="Heading2"/>
      </w:pPr>
      <w:r>
        <w:t>Anticholinerge Blasenmittel erhöhen Demenzrisiko bei älteren Frauen stärker als Beta-3-Agonisten</w:t>
      </w:r>
    </w:p>
    <w:p>
      <w:r>
        <w:rPr>
          <w:i/>
          <w:color w:val="666666"/>
          <w:sz w:val="18"/>
        </w:rPr>
        <w:t>Ito K et al.  ·  Int J Urol  ·  Okt. 2026  ·  PMID 42814029</w:t>
      </w:r>
    </w:p>
    <w:p>
      <w:r>
        <w:t>Retrospektive Kohortenstudie mit 3794 älteren Frauen (65–84 Jahre) in Japan, die neu mit Anticholinergika oder Beta-3-Agonisten gegen überaktive Blase behandelt wurden, mit mindestens 1 Jahr kontinuierlicher Therapie und 5-Jahre-Verfolgung.</w:t>
      </w:r>
    </w:p>
    <w:p>
      <w:r>
        <w:rPr>
          <w:b/>
        </w:rPr>
        <w:t xml:space="preserve">Ergebnis: </w:t>
      </w:r>
      <w:r>
        <w:t>Kein signifikanter Unterschied in Verschlechterung der Pflegebedürftigkeit (HR 1,03, 95% KI 0,87–1,22). Anticholinergikagruppe zeigte erhöhtes Demenzrisiko (HR 1,49, 95% KI 1,04–2,13). Elektronischer Gebrechlichkeitsindex unterschied sich nicht (p&gt;0,05).</w:t>
      </w:r>
    </w:p>
    <w:p>
      <w:r>
        <w:rPr>
          <w:b/>
          <w:sz w:val="19"/>
        </w:rPr>
        <w:t xml:space="preserve">Übertragbarkeit: </w:t>
      </w:r>
      <w:r>
        <w:rPr>
          <w:sz w:val="19"/>
        </w:rPr>
        <w:t>Japan (Shizuoka-Kasse); vergleichbares Alter und Gesundheitssystem; Ergebnis zur Deprescribing übertragbar</w:t>
      </w:r>
    </w:p>
    <w:p>
      <w:r>
        <w:rPr>
          <w:color w:val="5A7D3A"/>
          <w:sz w:val="18"/>
        </w:rPr>
        <w:t>https://pubmed.ncbi.nlm.nih.gov/42814029/</w:t>
      </w:r>
    </w:p>
    <w:p>
      <w:pPr>
        <w:pStyle w:val="Heading2"/>
      </w:pPr>
      <w:r>
        <w:t>Trauer um Ehepartner verschärft kognitiven Verfall bei älteren Menschen in verschiedenen Ländern</w:t>
      </w:r>
    </w:p>
    <w:p>
      <w:r>
        <w:rPr>
          <w:i/>
          <w:color w:val="666666"/>
          <w:sz w:val="18"/>
        </w:rPr>
        <w:t>Guo C et al.  ·  Epidemiol Psychiatr Sci  ·  30.09.2026  ·  PMID 42813925</w:t>
      </w:r>
    </w:p>
    <w:p>
      <w:r>
        <w:t>Prospektive Metaanalyse aus sechs harmonisierten Alterskohortensurveys (USA, England, Mexiko, China, Indien, Südafrika; n=18.551, Alter 61–71 Jahre) mit neuropsychologischem Assessment zur Auswirkung von Verwitwung auf kognitive Domänen.</w:t>
      </w:r>
    </w:p>
    <w:p>
      <w:r>
        <w:rPr>
          <w:b/>
        </w:rPr>
        <w:t xml:space="preserve">Ergebnis: </w:t>
      </w:r>
      <w:r>
        <w:t>Witwenschaft assoziiert mit Gedächtnisverschlechterung (β=−0,07, 95% KI −0,12 bis −0,01) und exekutiver Dysfunktion (β=−0,08, 95% KI −0,13 bis −0,03) in Metaanalyse. Geschlechtsspezifische Effekte: Männer zeigten größere exekutive Defizite (β=−0,14), Frauen Gedächtnisverluste (β=−0,07). Schutzfaktoren: höhere Schulbildung, Internetnutzung, Body-Mass-Index.</w:t>
      </w:r>
    </w:p>
    <w:p>
      <w:r>
        <w:rPr>
          <w:b/>
          <w:sz w:val="19"/>
        </w:rPr>
        <w:t xml:space="preserve">Übertragbarkeit: </w:t>
      </w:r>
      <w:r>
        <w:rPr>
          <w:sz w:val="19"/>
        </w:rPr>
        <w:t>Multinational aber heterogen; Übertragbarkeit begrenzt durch unterschiedliche Rentensysteme und Unterstützungsstrukturen</w:t>
      </w:r>
    </w:p>
    <w:p>
      <w:r>
        <w:rPr>
          <w:color w:val="5A7D3A"/>
          <w:sz w:val="18"/>
        </w:rPr>
        <w:t>https://pubmed.ncbi.nlm.nih.gov/42813925/</w:t>
      </w:r>
    </w:p>
    <w:p>
      <w:pPr>
        <w:pStyle w:val="Heading2"/>
      </w:pPr>
      <w:r>
        <w:t>Multidisziplinäres Programm reduziert Gebrechlichkeit bei älteren Herzpatienten im Krankenhaus</w:t>
      </w:r>
    </w:p>
    <w:p>
      <w:r>
        <w:rPr>
          <w:i/>
          <w:color w:val="666666"/>
          <w:sz w:val="18"/>
        </w:rPr>
        <w:t>Chai K et al.  ·  Nat Commun  ·  31.08.2026  ·  PMID 42811040</w:t>
      </w:r>
    </w:p>
    <w:p>
      <w:r>
        <w:t>Randomisierte kontrollierte Studie an 333 gebrechlichen Krankenhauspatienten ≥70 Jahren mit kardiovaskulären Erkrankungen in China, die RENAP-Programm (Rehabilitation, Ernährung, Edukation, Akupunktur, Deprescribing) oder Standardbehandlung erhielten mit Verfolgung über 12 Monate.</w:t>
      </w:r>
    </w:p>
    <w:p>
      <w:r>
        <w:rPr>
          <w:b/>
        </w:rPr>
        <w:t xml:space="preserve">Ergebnis: </w:t>
      </w:r>
      <w:r>
        <w:t>RENAP verbesserte Fried-Gebrechlichkeits-Phänotyp stärker (mittlere Differenz −0,79, 95% KI −1,11 bis −0,46, p&lt;0,001) und Short Physical Performance Battery um 2,02 Punkte (95% KI 1,04–2,99, p&lt;0,001). Keine schwerwiegenden unerwünschten Ereignisse berichtet.</w:t>
      </w:r>
    </w:p>
    <w:p>
      <w:r>
        <w:rPr>
          <w:b/>
          <w:sz w:val="19"/>
        </w:rPr>
        <w:t xml:space="preserve">Übertragbarkeit: </w:t>
      </w:r>
      <w:r>
        <w:rPr>
          <w:sz w:val="19"/>
        </w:rPr>
        <w:t>China (Peking); unterschiedliche Versicherungsstruktur; Replikation in europäischen Gesundheitssystemen nötig</w:t>
      </w:r>
    </w:p>
    <w:p>
      <w:r>
        <w:rPr>
          <w:color w:val="5A7D3A"/>
          <w:sz w:val="18"/>
        </w:rPr>
        <w:t>https://pubmed.ncbi.nlm.nih.gov/42811040/</w:t>
      </w:r>
    </w:p>
    <w:p>
      <w:pPr>
        <w:pStyle w:val="Heading2"/>
      </w:pPr>
      <w:r>
        <w:t>Psychische Faktoren und Multimorbiditäten vorhersagen Gebrechlichkeit bei älteren Chilenen über 12 Monate</w:t>
      </w:r>
    </w:p>
    <w:p>
      <w:r>
        <w:rPr>
          <w:i/>
          <w:color w:val="666666"/>
          <w:sz w:val="18"/>
        </w:rPr>
        <w:t>Castillo-Carreño A et al.  ·  Rev Med Chil  ·  Juli 2026  ·  PMID 42809783</w:t>
      </w:r>
    </w:p>
    <w:p>
      <w:r>
        <w:t>Prospektive Kohortenstudie an 394 Personen 60–80 Jahre aus Santiago und Concepción (Chile) mit Baseline und 12-Monats-Follow-up zu Prädiktoren physischer Gebrechlichkeit (FRIED-Skala).</w:t>
      </w:r>
    </w:p>
    <w:p>
      <w:r>
        <w:rPr>
          <w:b/>
        </w:rPr>
        <w:t xml:space="preserve">Ergebnis: </w:t>
      </w:r>
      <w:r>
        <w:t>Baseline-Gebrechlichkeit 22,7%. Signifikante Prädiktoren für Gebrechlichkeitsentstehung: höheres Alter, niedrigere soziale Unterstützung (MSPSS), depressive/Angststörungssymptome, niedrigere kognitive Funktion, Hypertension, Gefäßerkrankung, BMI (p=0,040). Modell erklärte 28% der Varianz.</w:t>
      </w:r>
    </w:p>
    <w:p>
      <w:r>
        <w:rPr>
          <w:b/>
          <w:sz w:val="19"/>
        </w:rPr>
        <w:t xml:space="preserve">Übertragbarkeit: </w:t>
      </w:r>
      <w:r>
        <w:rPr>
          <w:sz w:val="19"/>
        </w:rPr>
        <w:t>Südamerika; Unterschiede in Altersstruktur und Sozialsystem; Konzepte zu psychosozialen Prädiktoren teilweise übertragbar</w:t>
      </w:r>
    </w:p>
    <w:p>
      <w:r>
        <w:rPr>
          <w:color w:val="5A7D3A"/>
          <w:sz w:val="18"/>
        </w:rPr>
        <w:t>https://pubmed.ncbi.nlm.nih.gov/42809783/</w:t>
      </w:r>
    </w:p>
    <w:p>
      <w:pPr>
        <w:pStyle w:val="Heading1"/>
      </w:pPr>
      <w:r>
        <w:t>Aufgenommen am 30.09.2026</w:t>
      </w:r>
    </w:p>
    <w:p>
      <w:pPr>
        <w:pStyle w:val="Heading2"/>
      </w:pPr>
      <w:r>
        <w:t>Adjuvante Chemotherapie bei Brustkrebs ab 70 Jahren verschlechtert Überleben nicht</w:t>
      </w:r>
    </w:p>
    <w:p>
      <w:r>
        <w:rPr>
          <w:i/>
          <w:color w:val="666666"/>
          <w:sz w:val="18"/>
        </w:rPr>
        <w:t>Sifer-Rivière L  ·  Rev Prat  ·  Sept. 2026  ·  PMID 42808620</w:t>
      </w:r>
    </w:p>
    <w:p>
      <w:r>
        <w:t>Fachkommentar zur ASTER-70s-Studie (Lancet 2025), die erstmals gezielt die Wirkung adjuvanter Chemotherapie bei Frauen ab 70 mit Brustkrebs untersucht hat – lange waren diese von Studien ausgeschlossen.</w:t>
      </w:r>
    </w:p>
    <w:p>
      <w:r>
        <w:rPr>
          <w:b/>
        </w:rPr>
        <w:t xml:space="preserve">Ergebnis: </w:t>
      </w:r>
      <w:r>
        <w:t>ASTER 70s zeigte: adjuvante Chemotherapie verbessert Gesamtüberleben nicht bei Frauen ab 70, exponiert aber zu erheblicher Toxizität und potenziellem Autonomieverlust. Dies ist ein entscheidendes Ergebnis: Es belegt, dass es möglich und notwendig ist, Evidenz für lange ausgeschlossene Populationen zu generieren und fordert Umdenken bei Gesundheitsgerechtigkeit in der Onkologie.</w:t>
      </w:r>
    </w:p>
    <w:p>
      <w:r>
        <w:rPr>
          <w:b/>
          <w:sz w:val="19"/>
        </w:rPr>
        <w:t xml:space="preserve">Übertragbarkeit: </w:t>
      </w:r>
      <w:r>
        <w:rPr>
          <w:sz w:val="19"/>
        </w:rPr>
        <w:t>Frankreich, französischsprachig; Evidenz vom UK-Standard, direkt relevant für europäische Praxis</w:t>
      </w:r>
    </w:p>
    <w:p>
      <w:r>
        <w:rPr>
          <w:color w:val="5A7D3A"/>
          <w:sz w:val="18"/>
        </w:rPr>
        <w:t>https://pubmed.ncbi.nlm.nih.gov/42808620/</w:t>
      </w:r>
    </w:p>
    <w:p>
      <w:pPr>
        <w:pStyle w:val="Heading2"/>
      </w:pPr>
      <w:r>
        <w:t>Frailty verstärkt postoperatives kognitives Delir nach Narkose</w:t>
      </w:r>
    </w:p>
    <w:p>
      <w:r>
        <w:rPr>
          <w:i/>
          <w:color w:val="666666"/>
          <w:sz w:val="18"/>
        </w:rPr>
        <w:t>Cho EH et al.  ·  Int J Med Sci  ·  03.09.2026  ·  PMID 42807735</w:t>
      </w:r>
    </w:p>
    <w:p>
      <w:r>
        <w:t>Experimentelle Studie an 18 Monate alten Ratten zum Einfluss von Frailty auf postoperatives kognitives Delir (POCD) nach allgemeiner Anästhesie.</w:t>
      </w:r>
    </w:p>
    <w:p>
      <w:r>
        <w:rPr>
          <w:b/>
        </w:rPr>
        <w:t xml:space="preserve">Ergebnis: </w:t>
      </w:r>
      <w:r>
        <w:t>20 Ratten randomisiert in Kontroll- und Frailty-Gruppe (Immobilisierung). Vor Narkose kein signifikanter Unterschied im Y-Maze-Test; zwei Tage nach Narkose signifikanter Unterschied (Kontrolle 65% ± 37% vs. Frailty 29% ± 28%, p = 0,01). Quadrizeps-Gewicht signifikant niedriger in Frailty-Gruppe (2,4 vs. 2,0 g, p = 0,0001). Frailty war mit POCD assoziiert; Frailty-Prävention könnte POCD-Risiko senken.</w:t>
      </w:r>
    </w:p>
    <w:p>
      <w:r>
        <w:rPr>
          <w:b/>
          <w:sz w:val="19"/>
        </w:rPr>
        <w:t xml:space="preserve">Übertragbarkeit: </w:t>
      </w:r>
      <w:r>
        <w:rPr>
          <w:sz w:val="19"/>
        </w:rPr>
        <w:t>Tiermodell mit Relevanz für älter werdende Perioperative; Befund zu kognitivem Risiko übertragbar</w:t>
      </w:r>
    </w:p>
    <w:p>
      <w:r>
        <w:rPr>
          <w:color w:val="5A7D3A"/>
          <w:sz w:val="18"/>
        </w:rPr>
        <w:t>https://pubmed.ncbi.nlm.nih.gov/42807735/</w:t>
      </w:r>
    </w:p>
    <w:p>
      <w:pPr>
        <w:pStyle w:val="Heading2"/>
      </w:pPr>
      <w:r>
        <w:t>Systemische Krisen in Versorgung zu Hause: Kipppunkte und progressive Instabilität</w:t>
      </w:r>
    </w:p>
    <w:p>
      <w:r>
        <w:rPr>
          <w:i/>
          <w:color w:val="666666"/>
          <w:sz w:val="18"/>
        </w:rPr>
        <w:t>Haselager DRE et al.  ·  Age Ageing  ·  04.09.2026  ·  PMID 42806138</w:t>
      </w:r>
    </w:p>
    <w:p>
      <w:r>
        <w:t>Qualitative Studie mit Interviews und Fokusgruppen zu Krisen bei zu Hause wohnenden älteren Menschen, die untersuchen, wie diese entstehen und welche systemischen Faktoren eine Rolle spielen.</w:t>
      </w:r>
    </w:p>
    <w:p>
      <w:r>
        <w:rPr>
          <w:b/>
        </w:rPr>
        <w:t xml:space="preserve">Ergebnis: </w:t>
      </w:r>
      <w:r>
        <w:t>Analyse von 45 Interviews mit älteren Menschen, Angehörigen und Fachleuten identifizierte zwei Hauptthemen: "Kipppunkte" (Momente, in denen Verbleiben zu Hause unhaltbar wird) und "progressive Instabilität in Versorgungssystemen". Krisen entstehen durch systemische Prozesse, nicht isolierte Ereignisse. Das Verständnis dieser Dynamiken ermöglicht es Fachleuten, frühe Instabilität zu erkennen und Prävention zu unterstützen.</w:t>
      </w:r>
    </w:p>
    <w:p>
      <w:r>
        <w:rPr>
          <w:b/>
          <w:sz w:val="19"/>
        </w:rPr>
        <w:t xml:space="preserve">Übertragbarkeit: </w:t>
      </w:r>
      <w:r>
        <w:rPr>
          <w:sz w:val="19"/>
        </w:rPr>
        <w:t>Niederlande, direkt auf deutsche ambulante Versorgungsrealität übertragbar</w:t>
      </w:r>
    </w:p>
    <w:p>
      <w:r>
        <w:rPr>
          <w:color w:val="5A7D3A"/>
          <w:sz w:val="18"/>
        </w:rPr>
        <w:t>https://pubmed.ncbi.nlm.nih.gov/42806138/</w:t>
      </w:r>
    </w:p>
    <w:p>
      <w:pPr>
        <w:pStyle w:val="Heading2"/>
      </w:pPr>
      <w:r>
        <w:t>Darmflora-Modulation verbessert kognitive Funktion im Alter</w:t>
      </w:r>
    </w:p>
    <w:p>
      <w:r>
        <w:rPr>
          <w:i/>
          <w:color w:val="666666"/>
          <w:sz w:val="18"/>
        </w:rPr>
        <w:t>Birns B et al.  ·  Age Ageing  ·  04.09.2026  ·  PMID 42806137</w:t>
      </w:r>
    </w:p>
    <w:p>
      <w:r>
        <w:t>Systematische Übersicht und Metaanalyse zu Prebiotika, Probiotika und Synbiotika und deren Wirkung auf Kognition bei älteren Erwachsenen ab 60 Jahren.</w:t>
      </w:r>
    </w:p>
    <w:p>
      <w:r>
        <w:rPr>
          <w:b/>
        </w:rPr>
        <w:t xml:space="preserve">Ergebnis: </w:t>
      </w:r>
      <w:r>
        <w:t>14 Studien (13 RCTs, 1 Interventionsstudie) eingeschlossen. Neun Studien berichteten statistisch signifikante Verbesserungen in mindestens einer kognitiven Domäne, besonders globale Kognition, Gedächtnis, Aufmerksamkeit und exekutive Funktionen. Metaanalyse zeigt signifikante Verbesserung globaler Kognition (MD = 1,28; 95% KI: 0,15–2,40; p &lt; 0,05). Interventionen sind meist bereits kommerziell verfügbar und risikoarm.</w:t>
      </w:r>
    </w:p>
    <w:p>
      <w:r>
        <w:rPr>
          <w:b/>
          <w:sz w:val="19"/>
        </w:rPr>
        <w:t xml:space="preserve">Übertragbarkeit: </w:t>
      </w:r>
      <w:r>
        <w:rPr>
          <w:sz w:val="19"/>
        </w:rPr>
        <w:t>Großbritannien, über diverse Länder publiziert; kognitive Tests standardisiert</w:t>
      </w:r>
    </w:p>
    <w:p>
      <w:r>
        <w:rPr>
          <w:color w:val="5A7D3A"/>
          <w:sz w:val="18"/>
        </w:rPr>
        <w:t>https://pubmed.ncbi.nlm.nih.gov/42806137/</w:t>
      </w:r>
    </w:p>
    <w:p>
      <w:pPr>
        <w:pStyle w:val="Heading2"/>
      </w:pPr>
      <w:r>
        <w:t>Vitamin-D-Supplementation reduziert nicht Frakturrisiko bei älteren Erwachsenen</w:t>
      </w:r>
    </w:p>
    <w:p>
      <w:r>
        <w:rPr>
          <w:i/>
          <w:color w:val="666666"/>
          <w:sz w:val="18"/>
        </w:rPr>
        <w:t>Rikkonen T et al.  ·  Bone  ·  07.09.2026  ·  PMID 42704968</w:t>
      </w:r>
    </w:p>
    <w:p>
      <w:r>
        <w:t>Finnische randomisierte kontrollierte Studie mit 2.495 Personen ab 60 Jahren (Männer) bzw. 65 Jahren (Frauen) über 5 Jahre zur Wirkung von Vitamin D₃ auf Frakturrisiko.</w:t>
      </w:r>
    </w:p>
    <w:p>
      <w:r>
        <w:rPr>
          <w:b/>
        </w:rPr>
        <w:t xml:space="preserve">Ergebnis: </w:t>
      </w:r>
      <w:r>
        <w:t>Während mittlerer 4,1-Jahr Supplementation: 49 Frakturen unter Placebo, 73 unter 1600 IE/Tag (HR = 1,52; 95% KI: 1,06–2,18), 52 unter 3200 IE/Tag (HR = 1,07; 95% KI: 0,72–1,58). In 7,3-Jahr Nachbeobachtung: 104 Placebo, 139 unter 1600 IE/Tag (HR = 1,40; 95% KI: 1,08–1,80), 111 unter 3200 IE/Tag (HR = 1,08; 95% KI: 0,83–1,41). Baseline 25(OH)-Vitamin D 74,8 ± 18,2 nmol/L, nach 12 Monaten 120,4 ± 21,8 nmol/L (3200 IE/Tag). Vitamin-D-Supplementation reduzierte Frakturen nicht bei largely vitamin-D-suffizienter Population.</w:t>
      </w:r>
    </w:p>
    <w:p>
      <w:r>
        <w:rPr>
          <w:b/>
          <w:sz w:val="19"/>
        </w:rPr>
        <w:t xml:space="preserve">Übertragbarkeit: </w:t>
      </w:r>
      <w:r>
        <w:rPr>
          <w:sz w:val="19"/>
        </w:rPr>
        <w:t>Finnland, skandinavischer Kontext; vergleichbare Nordische Sozialversicherung</w:t>
      </w:r>
    </w:p>
    <w:p>
      <w:r>
        <w:rPr>
          <w:color w:val="5A7D3A"/>
          <w:sz w:val="18"/>
        </w:rPr>
        <w:t>https://pubmed.ncbi.nlm.nih.gov/42704968/</w:t>
      </w:r>
    </w:p>
    <w:p>
      <w:pPr>
        <w:pStyle w:val="Heading2"/>
      </w:pPr>
      <w:r>
        <w:t>Frailty erhöht Risiko für diagnostische Diskordanz in der Notaufnahme</w:t>
      </w:r>
    </w:p>
    <w:p>
      <w:r>
        <w:rPr>
          <w:i/>
          <w:color w:val="666666"/>
          <w:sz w:val="18"/>
        </w:rPr>
        <w:t>van Knippenberg YMW et al.  ·  Int J Infect Dis  ·  23.07.2026  ·  PMID 42492833</w:t>
      </w:r>
    </w:p>
    <w:p>
      <w:r>
        <w:t>Retrospektive Analyse von Notaufnahmepatienten mit Verdacht auf Infektion, um die unabhängige Assoziation zwischen Frailty und Abweichungen zwischen Verdachtsdiagnose und adjudizierter Entlassungsdiagnose zu untersuchen.</w:t>
      </w:r>
    </w:p>
    <w:p>
      <w:r>
        <w:rPr>
          <w:b/>
        </w:rPr>
        <w:t xml:space="preserve">Ergebnis: </w:t>
      </w:r>
      <w:r>
        <w:t>Frailty war unabhängig mit diagnostischer Diskordanz assoziiert (aOR 1,622; 95% KI: 1,094–2,405; p = 0,016). Höherer altersbereinigter Charlson-Komorbiditätsindex ebenfalls signifikant (aOR 1,105; 95% KI: 1,013–1,204; p = 0,024). Erkennung von Frailty kann Patienten mit erhöhtem Diskordanzrisiko identifizieren und sorgfältige diagnostische Neubewertung unterstützen.</w:t>
      </w:r>
    </w:p>
    <w:p>
      <w:r>
        <w:rPr>
          <w:b/>
          <w:sz w:val="19"/>
        </w:rPr>
        <w:t xml:space="preserve">Übertragbarkeit: </w:t>
      </w:r>
      <w:r>
        <w:rPr>
          <w:sz w:val="19"/>
        </w:rPr>
        <w:t>Niederlande, Radboud UMC, direkt auf deutsches Versorgungssystem übertragbar</w:t>
      </w:r>
    </w:p>
    <w:p>
      <w:r>
        <w:rPr>
          <w:color w:val="5A7D3A"/>
          <w:sz w:val="18"/>
        </w:rPr>
        <w:t>https://pubmed.ncbi.nlm.nih.gov/42492833/</w:t>
      </w:r>
    </w:p>
    <w:p>
      <w:pPr>
        <w:pStyle w:val="Heading1"/>
      </w:pPr>
      <w:r>
        <w:t>Aufgenommen am 29.09.2026</w:t>
      </w:r>
    </w:p>
    <w:p>
      <w:pPr>
        <w:pStyle w:val="Heading2"/>
      </w:pPr>
      <w:r>
        <w:t>Funktionsfähigkeit und Frailty-Screening bei älteren Patienten mit Lungenkrebs: Prädiktion von Pflegeabhängigkeit</w:t>
      </w:r>
    </w:p>
    <w:p>
      <w:r>
        <w:rPr>
          <w:i/>
          <w:color w:val="666666"/>
          <w:sz w:val="18"/>
        </w:rPr>
        <w:t>Bulut H et al.  ·  Cancer Causes Control  ·  28.09.2026  ·  PMID 42802193</w:t>
      </w:r>
    </w:p>
    <w:p>
      <w:r>
        <w:t>Querschnittsstudie an 410 älteren Patienten mit Lungenkrebs (Durchschnittsalter 70,8 Jahre) zur Vorhersage von Pflegeabhängigkeit durch Alltagsfunktionsfähigkeit (ADL) und Frailty.</w:t>
      </w:r>
    </w:p>
    <w:p>
      <w:r>
        <w:rPr>
          <w:b/>
        </w:rPr>
        <w:t xml:space="preserve">Ergebnis: </w:t>
      </w:r>
      <w:r>
        <w:t>Funktionsfähigkeit und Frailty erklärten 81,5% der Varianz in Pflegeabhängigkeit (adjustiertes R² = 0,815; p &lt; 0,001). Höhere ADL-Werte waren mit höherer Pflegeabhängigkeit assoziiert (B = 2,344, β = 0,309, p &lt; 0,001), höhere Frailty-Werte mit niedrigerer Pflegeabhängigkeit (B = −2,391, β = −0,652, p &lt; 0,001). Frailty-Screening und funktionales Assessment können hochrisiko-Patienten früh identifizieren.</w:t>
      </w:r>
    </w:p>
    <w:p>
      <w:r>
        <w:rPr>
          <w:b/>
          <w:sz w:val="19"/>
        </w:rPr>
        <w:t xml:space="preserve">Übertragbarkeit: </w:t>
      </w:r>
      <w:r>
        <w:rPr>
          <w:sz w:val="19"/>
        </w:rPr>
        <w:t>Türkei, ähnliche geriatrische Versorgungsherausforderungen wie Deutschland</w:t>
      </w:r>
    </w:p>
    <w:p>
      <w:r>
        <w:rPr>
          <w:color w:val="5A7D3A"/>
          <w:sz w:val="18"/>
        </w:rPr>
        <w:t>https://pubmed.ncbi.nlm.nih.gov/42802193/</w:t>
      </w:r>
    </w:p>
    <w:p>
      <w:pPr>
        <w:pStyle w:val="Heading2"/>
      </w:pPr>
      <w:r>
        <w:t>Urinkontinenz bei älteren Frauen: Unterbehandlung sinkt bei Symptom-Fokus, nicht mit steigendem Alter</w:t>
      </w:r>
    </w:p>
    <w:p>
      <w:r>
        <w:rPr>
          <w:i/>
          <w:color w:val="666666"/>
          <w:sz w:val="18"/>
        </w:rPr>
        <w:t>Uğur DN et al.  ·  Medicina (Kaunas)  ·  16.09.2026  ·  PMID 42796384</w:t>
      </w:r>
    </w:p>
    <w:p>
      <w:r>
        <w:t>Beobachtungsstudie an 480 Frauen (≥ 65 Jahre) in drei Altersgruppen zur Behandlungslücke bei Stress- und gemischter Harninkontinenz und zur Rolle von Frailty und Symptom-Schweregrad.</w:t>
      </w:r>
    </w:p>
    <w:p>
      <w:r>
        <w:rPr>
          <w:b/>
        </w:rPr>
        <w:t xml:space="preserve">Ergebnis: </w:t>
      </w:r>
      <w:r>
        <w:t>Behandlungslücken-Prävalenz stieg von 33,8% (65–74 Jahre) auf 44,4% (75–84 Jahre) und 55,0% (≥85 Jahre). Nach Adjustierung war Alter nicht unabhängig assoziiert. Höhere ICIQ-UI-SF-Werte (adjustiertes Odds Ratio 1,10 pro Punkt; 95%CI 1,02–1,19) und Stress-Mischinkontinenz (aOR 1,53; 95%CI 1,03–2,25) blieben assoziiert. Symptom-Schweregrad erklärt Unterbehandlung besser als Chronologie.</w:t>
      </w:r>
    </w:p>
    <w:p>
      <w:r>
        <w:rPr>
          <w:b/>
          <w:sz w:val="19"/>
        </w:rPr>
        <w:t xml:space="preserve">Übertragbarkeit: </w:t>
      </w:r>
      <w:r>
        <w:rPr>
          <w:sz w:val="19"/>
        </w:rPr>
        <w:t>Türkei, gyn. Versorgungsstrukturen vergleichbar mit Mitteleuropa</w:t>
      </w:r>
    </w:p>
    <w:p>
      <w:r>
        <w:rPr>
          <w:color w:val="5A7D3A"/>
          <w:sz w:val="18"/>
        </w:rPr>
        <w:t>https://pubmed.ncbi.nlm.nih.gov/42796384/</w:t>
      </w:r>
    </w:p>
    <w:p>
      <w:pPr>
        <w:pStyle w:val="Heading2"/>
      </w:pPr>
      <w:r>
        <w:t>Skelettmuskelreaktion auf kombiniertes Training bei älteren Erwachsenen: RNA-Sequenzierung und Polyphenole</w:t>
      </w:r>
    </w:p>
    <w:p>
      <w:r>
        <w:rPr>
          <w:i/>
          <w:color w:val="666666"/>
          <w:sz w:val="18"/>
        </w:rPr>
        <w:t>Guadalupe-Grau A et al.  ·  J Cachexia Sarcopenia Muscle  ·  Okt. 2026  ·  PMID 42788414</w:t>
      </w:r>
    </w:p>
    <w:p>
      <w:r>
        <w:t>Randomisierte Doppelblindstudie mit 38 älteren Erwachsenen (55–70 Jahre) zur Wirkung von 12 Wochen kombiniertem Widerstands- und High-Intensity-Intervalltraining auf die Skelettmuskel-Transkriptomik mit oder ohne Polyphenol-Supplementation.</w:t>
      </w:r>
    </w:p>
    <w:p>
      <w:r>
        <w:rPr>
          <w:b/>
        </w:rPr>
        <w:t xml:space="preserve">Ergebnis: </w:t>
      </w:r>
      <w:r>
        <w:t>RT + HIIT induzierte überwiegend gering-ausgeprägte transkriptomische Veränderungen. Sieben von 60 FDR-signifikanten Transkripten überschritten die Effektgrößen-Schwelle (|log2FC| &gt; 1), einschließlich Hochregulation von CLLU1 (log2FC = 3,10; FDR = 0,0155) und PRND (log2FC = 2,60; FDR = 0,02). Polyphenol-Supplementation beeinlusste die transkriptomische Reaktion nicht bedeutsam. Robuste Pathway-Adaptationen waren nicht erkennbar.</w:t>
      </w:r>
    </w:p>
    <w:p>
      <w:r>
        <w:rPr>
          <w:b/>
          <w:sz w:val="19"/>
        </w:rPr>
        <w:t xml:space="preserve">Übertragbarkeit: </w:t>
      </w:r>
      <w:r>
        <w:rPr>
          <w:sz w:val="19"/>
        </w:rPr>
        <w:t>Europäische Kohorten, methodisch vergleichbar mit deutschen Fitness-Studien</w:t>
      </w:r>
    </w:p>
    <w:p>
      <w:r>
        <w:rPr>
          <w:color w:val="5A7D3A"/>
          <w:sz w:val="18"/>
        </w:rPr>
        <w:t>https://pubmed.ncbi.nlm.nih.gov/42788414/</w:t>
      </w:r>
    </w:p>
    <w:p>
      <w:pPr>
        <w:pStyle w:val="Heading2"/>
      </w:pPr>
      <w:r>
        <w:t>Altersgerechte smartphone-gestützte kognitive Fernbeurteilung: generationsspezifische Unterschiede in Adhärenz und Zuverlässigkeit</w:t>
      </w:r>
    </w:p>
    <w:p>
      <w:r>
        <w:rPr>
          <w:i/>
          <w:color w:val="666666"/>
          <w:sz w:val="18"/>
        </w:rPr>
        <w:t>Katteri S et al.  ·  Alzheimers Dement  ·  Sept. 2026  ·  PMID 42781715</w:t>
      </w:r>
    </w:p>
    <w:p>
      <w:r>
        <w:t>Vergleichende Studie bei 444 älteren Erwachsenen und 113 jüngeren/mittelalten Probanden zur Machbarkeit smartphone-basierter kognitiver Tests bis zu viermal täglich über 7 Tage und zum Vergleich mit standardisierter Klinik-Batterie.</w:t>
      </w:r>
    </w:p>
    <w:p>
      <w:r>
        <w:rPr>
          <w:b/>
        </w:rPr>
        <w:t xml:space="preserve">Ergebnis: </w:t>
      </w:r>
      <w:r>
        <w:t>Ältere Erwachsene zeigten höhere Adhärenz als jüngere (78 % vs. 59 %). Jüngere erreichten höhere Zuverlässigkeit mit weniger Sitzungen und zeigten viel kleinere Lerneffekte. Smartphone-zu-Klinik-Korrelationen waren in beiden Altersgruppen stark. Generationelle Unterschiede beeinflussen Design und Umsetzung smartphone-gestützter Studien wesentlich.</w:t>
      </w:r>
    </w:p>
    <w:p>
      <w:r>
        <w:rPr>
          <w:b/>
          <w:sz w:val="19"/>
        </w:rPr>
        <w:t xml:space="preserve">Übertragbarkeit: </w:t>
      </w:r>
      <w:r>
        <w:rPr>
          <w:sz w:val="19"/>
        </w:rPr>
        <w:t>USA, aber Methodologie zur Remote-Kognition altersunabhängig übertragbar</w:t>
      </w:r>
    </w:p>
    <w:p>
      <w:r>
        <w:rPr>
          <w:color w:val="5A7D3A"/>
          <w:sz w:val="18"/>
        </w:rPr>
        <w:t>https://pubmed.ncbi.nlm.nih.gov/42781715/</w:t>
      </w:r>
    </w:p>
    <w:p>
      <w:pPr>
        <w:pStyle w:val="Heading2"/>
      </w:pPr>
      <w:r>
        <w:t>Proteinbasierte Inflammaging-Signaturen zur Mortalitätsvorhersage: C-Index 0,758 für alle Ursachen</w:t>
      </w:r>
    </w:p>
    <w:p>
      <w:r>
        <w:rPr>
          <w:i/>
          <w:color w:val="666666"/>
          <w:sz w:val="18"/>
        </w:rPr>
        <w:t>Jiang Z et al.  ·  Exp Gerontol  ·  15.10.2026  ·  PMID 42731645</w:t>
      </w:r>
    </w:p>
    <w:p>
      <w:r>
        <w:t>Große UK-Biobank-Studie (n = 40.471) zur Entwicklung eines proteingestützten Inflammaging-Scores aus 1.112 Proteinen, assoziiert mit Mortalität und Multimorbidität.</w:t>
      </w:r>
    </w:p>
    <w:p>
      <w:r>
        <w:rPr>
          <w:b/>
        </w:rPr>
        <w:t xml:space="preserve">Ergebnis: </w:t>
      </w:r>
      <w:r>
        <w:t>Proteinbasierter Inflammaging-Score war positiv mit allen-Ursachen-Sterblichkeit assoziiert (HR = 1,88; 95%CI: 1,79–1,98). Vereinfachte Version (93 Proteine) erreichte gleichwertig HR = 1,88 (95%CI: 1,79–1,97). C-Index für Sterblichkeit mit klinischen Indizes plus vereinfachtem Score: 0,758 (95%CI: 0,752–0,765). ProteinBasierter Score outperformte konventionelle Inflammations- und Alternsbiomarker signifikant.</w:t>
      </w:r>
    </w:p>
    <w:p>
      <w:r>
        <w:rPr>
          <w:b/>
          <w:sz w:val="19"/>
        </w:rPr>
        <w:t xml:space="preserve">Übertragbarkeit: </w:t>
      </w:r>
      <w:r>
        <w:rPr>
          <w:sz w:val="19"/>
        </w:rPr>
        <w:t>UK Biobank, aber Proteinmarker-Verband mit Mortalität biologisch universell</w:t>
      </w:r>
    </w:p>
    <w:p>
      <w:r>
        <w:rPr>
          <w:color w:val="5A7D3A"/>
          <w:sz w:val="18"/>
        </w:rPr>
        <w:t>https://pubmed.ncbi.nlm.nih.gov/42731645/</w:t>
      </w:r>
    </w:p>
    <w:p>
      <w:pPr>
        <w:pStyle w:val="Heading2"/>
      </w:pPr>
      <w:r>
        <w:t>Kognitive Effizienz und Lebenszufriedenheit bei älteren Sarden: digitales Screening und Freizeit-Aktivitäten</w:t>
      </w:r>
    </w:p>
    <w:p>
      <w:r>
        <w:rPr>
          <w:i/>
          <w:color w:val="666666"/>
          <w:sz w:val="18"/>
        </w:rPr>
        <w:t>Fastame MC et al.  ·  Exp Gerontol  ·  15.10.2026  ·  PMID 42685868</w:t>
      </w:r>
    </w:p>
    <w:p>
      <w:r>
        <w:t>Querschnittsstudie an 127 älteren Erwachsenen (Durchschnittsalter 73,1 Jahre) auf Sardinien zu Korrelaten der Lebenszufriedenheit mittels digital-gestützter kognitiver Screening (DIGICOG-MS).</w:t>
      </w:r>
    </w:p>
    <w:p>
      <w:r>
        <w:rPr>
          <w:b/>
        </w:rPr>
        <w:t xml:space="preserve">Ergebnis: </w:t>
      </w:r>
      <w:r>
        <w:t>Nach Kontrolle für Alter, Bildung und globale kognitive Effizienz waren wahrgenommene Gesundheit, Freizeitzeit, verbale semantische Flüssigkeit, auditives verbales Lernen und unmittelbare Erinnerung signifikant mit Lebenszufriedenheit assoziiert (adjustiertes R² = 0,198, F(8,117) = 4,860, p &lt; 0,001). DIGICOG-MS-Benutzerfreundlichkeit war höher bei niedrigerer Bildung; Tool erwies sich als intuitiv und abbaut Bildungsgrenzen ab.</w:t>
      </w:r>
    </w:p>
    <w:p>
      <w:r>
        <w:rPr>
          <w:b/>
          <w:sz w:val="19"/>
        </w:rPr>
        <w:t xml:space="preserve">Übertragbarkeit: </w:t>
      </w:r>
      <w:r>
        <w:rPr>
          <w:sz w:val="19"/>
        </w:rPr>
        <w:t>Italien, Mittelmeerraum – ähnliche Bevölkerungsstruktur wie südliches Europa</w:t>
      </w:r>
    </w:p>
    <w:p>
      <w:r>
        <w:rPr>
          <w:color w:val="5A7D3A"/>
          <w:sz w:val="18"/>
        </w:rPr>
        <w:t>https://pubmed.ncbi.nlm.nih.gov/42685868/</w:t>
      </w:r>
    </w:p>
    <w:p>
      <w:pPr>
        <w:pStyle w:val="Heading1"/>
      </w:pPr>
      <w:r>
        <w:t>Aufgenommen am 28.09.2026</w:t>
      </w:r>
    </w:p>
    <w:p>
      <w:pPr>
        <w:pStyle w:val="Heading2"/>
      </w:pPr>
      <w:r>
        <w:t>Alzheimer-Therapien im geriatrischen Alter: Implementierungsherausforderungen und Chancen</w:t>
      </w:r>
    </w:p>
    <w:p>
      <w:r>
        <w:rPr>
          <w:i/>
          <w:color w:val="666666"/>
          <w:sz w:val="18"/>
        </w:rPr>
        <w:t>Zrineh A et al.  ·  Clin Interv Aging  ·  22.09.2026  ·  PMID 42801246</w:t>
      </w:r>
    </w:p>
    <w:p>
      <w:r>
        <w:t>Narratives Review der Alzheimer-Pathophysiologie, diagnostischer Biomarker und Therapien (Cholinesterase-Inhibitoren, Lecanemab, Donanemab) mit Fokus auf geriatrische Versorgung und Integration in Kliniken.</w:t>
      </w:r>
    </w:p>
    <w:p>
      <w:r>
        <w:rPr>
          <w:b/>
        </w:rPr>
        <w:t xml:space="preserve">Ergebnis: </w:t>
      </w:r>
      <w:r>
        <w:t>Neue monoklonale Anti-Amyloid-Antikörper zeigen klinisch signifikante, aber moderate Verzögerung des Rückgangs. Risiken: Amyloid-related imaging abnormalities, hohe Kosten, ungelöste Fragen zur langfristigen Aussagekraft. Integrierung in geriatrische Praxis erfordert Biomarker-gesteuertes Screening, Sicherheitsüberwachung, Polypharmazie-Management.</w:t>
      </w:r>
    </w:p>
    <w:p>
      <w:r>
        <w:rPr>
          <w:b/>
          <w:sz w:val="19"/>
        </w:rPr>
        <w:t xml:space="preserve">Übertragbarkeit: </w:t>
      </w:r>
      <w:r>
        <w:rPr>
          <w:sz w:val="19"/>
        </w:rPr>
        <w:t>USA und international; praktische Empfehlungen für Versorgung gelten über Länder hinweg, aber Zugänglichkeit und Finanzierung unterscheiden sich</w:t>
      </w:r>
    </w:p>
    <w:p>
      <w:r>
        <w:rPr>
          <w:color w:val="5A7D3A"/>
          <w:sz w:val="18"/>
        </w:rPr>
        <w:t>https://pubmed.ncbi.nlm.nih.gov/42801246/</w:t>
      </w:r>
    </w:p>
    <w:p>
      <w:pPr>
        <w:pStyle w:val="Heading2"/>
      </w:pPr>
      <w:r>
        <w:t>Mittelmeerdiät bei älteren Menschen mit HIV: Körperzusammensetzung und klinisches Profil</w:t>
      </w:r>
    </w:p>
    <w:p>
      <w:r>
        <w:rPr>
          <w:i/>
          <w:color w:val="666666"/>
          <w:sz w:val="18"/>
        </w:rPr>
        <w:t>Mazzitelli M et al.  ·  Viruses  ·  25.08.2026  ·  PMID 42797764</w:t>
      </w:r>
    </w:p>
    <w:p>
      <w:r>
        <w:t>Querschnittsstudie an 130 italienischen erwachsenen Menschen mit HIV im Median 57 Jahren: Mediterrane Diät-Adhärenz anhand MedDiet Score gemessen, Körperzusammensetzung mittels DXA analysiert.</w:t>
      </w:r>
    </w:p>
    <w:p>
      <w:r>
        <w:rPr>
          <w:b/>
        </w:rPr>
        <w:t xml:space="preserve">Ergebnis: </w:t>
      </w:r>
      <w:r>
        <w:t>80,8% zeigten hohe Adhärenz. Hohe Adhärenz assoziiert mit niedrigerem BMI (β −5,3, 95%-KI −7,3 bis −3,4, p&lt;0,001), niedrigerer totaler und Rumpf-Fettmasse und höherer Knochenmineraldichte der LWS. Günstigeres klinisches Profil mit höherer CD4-Zahl.</w:t>
      </w:r>
    </w:p>
    <w:p>
      <w:r>
        <w:rPr>
          <w:b/>
          <w:sz w:val="19"/>
        </w:rPr>
        <w:t xml:space="preserve">Übertragbarkeit: </w:t>
      </w:r>
      <w:r>
        <w:rPr>
          <w:sz w:val="19"/>
        </w:rPr>
        <w:t>Italien, spezialisierte HIV-Kliniken; Übertragbarkeit auf deutsche Versorgung begrenzt durch HIV-Fokus</w:t>
      </w:r>
    </w:p>
    <w:p>
      <w:r>
        <w:rPr>
          <w:color w:val="5A7D3A"/>
          <w:sz w:val="18"/>
        </w:rPr>
        <w:t>https://pubmed.ncbi.nlm.nih.gov/42797764/</w:t>
      </w:r>
    </w:p>
    <w:p>
      <w:pPr>
        <w:pStyle w:val="Heading2"/>
      </w:pPr>
      <w:r>
        <w:t>Ernährung im höchsten Alter: Milchprodukte und Hühnchen assoziiert mit längerer Überlebensdauer</w:t>
      </w:r>
    </w:p>
    <w:p>
      <w:r>
        <w:rPr>
          <w:i/>
          <w:color w:val="666666"/>
          <w:sz w:val="18"/>
        </w:rPr>
        <w:t>Errigo A et al.  ·  Nutrients  ·  20.09.2026  ·  PMID 42797055</w:t>
      </w:r>
    </w:p>
    <w:p>
      <w:r>
        <w:t>Prospektive Kohorte von 200 sardischen Bewohnern über 90 Jahren: Ernährungsmuster wurden erhoben, Überleben über bis zu 7 Jahre verfolgt.</w:t>
      </w:r>
    </w:p>
    <w:p>
      <w:r>
        <w:rPr>
          <w:b/>
        </w:rPr>
        <w:t xml:space="preserve">Ergebnis: </w:t>
      </w:r>
      <w:r>
        <w:t>Höherer Konsum von Milch, Käse und Hühnchen war mit niedrigerer Sterblichkeit assoziiert (HR 0,839 pro SD-Anstieg des Dairy-Traditional-Fat-Musters, 95%-KI 0,727–0,969, p=0,017); Wein-Konsum positiv mit Mortalität assoziiert. Assoziationen bei Einzellebensmitteln blieben nach Korrektion für multiples Testen signifikant.</w:t>
      </w:r>
    </w:p>
    <w:p>
      <w:r>
        <w:rPr>
          <w:b/>
          <w:sz w:val="19"/>
        </w:rPr>
        <w:t xml:space="preserve">Übertragbarkeit: </w:t>
      </w:r>
      <w:r>
        <w:rPr>
          <w:sz w:val="19"/>
        </w:rPr>
        <w:t>Italien, Blue Zone; begrenzte direkte Übertragbarkeit auf Deutsche, aber Ernährungsmuster in extremem Alter untersucht</w:t>
      </w:r>
    </w:p>
    <w:p>
      <w:r>
        <w:rPr>
          <w:color w:val="5A7D3A"/>
          <w:sz w:val="18"/>
        </w:rPr>
        <w:t>https://pubmed.ncbi.nlm.nih.gov/42797055/</w:t>
      </w:r>
    </w:p>
    <w:p>
      <w:pPr>
        <w:pStyle w:val="Heading2"/>
      </w:pPr>
      <w:r>
        <w:t>Ernährungsqualität und Blutmarker des Alterns: Proteomarker-Studie an älteren Schweden</w:t>
      </w:r>
    </w:p>
    <w:p>
      <w:r>
        <w:rPr>
          <w:i/>
          <w:color w:val="666666"/>
          <w:sz w:val="18"/>
        </w:rPr>
        <w:t>DaCosta RA et al.  ·  BMC Med  ·  15.09.2026  ·  PMID 42791570</w:t>
      </w:r>
    </w:p>
    <w:p>
      <w:r>
        <w:t>Bevölkerungsbasierte Querschnittsanalyse von 1.769 schwedischen Personen ≥60 Jahren: Ernährungsqualität mittels AMED, AHEI und rEDII gemessen, 54 Blutbiomarker analysiert.</w:t>
      </w:r>
    </w:p>
    <w:p>
      <w:r>
        <w:rPr>
          <w:b/>
        </w:rPr>
        <w:t xml:space="preserve">Ergebnis: </w:t>
      </w:r>
      <w:r>
        <w:t>Höhere AMED-Adhärenz assoziiert mit höheren Folsäure-Spiegeln (β 0,066, 95%-KI 0,033–0,099) und niedrigerem GFAP (β −0,018, 95%-KI −0,030 bis −0,006, p=0,003). Höhere rEDII-Adhärenz mit niedrigerem Leptin, Insulin, GDF15, alkalischer Phosphatase und TNF-Rezeptor. Biomarker in metabolischen und inflammatorischen Domänen betroffen.</w:t>
      </w:r>
    </w:p>
    <w:p>
      <w:r>
        <w:rPr>
          <w:b/>
          <w:sz w:val="19"/>
        </w:rPr>
        <w:t xml:space="preserve">Übertragbarkeit: </w:t>
      </w:r>
      <w:r>
        <w:rPr>
          <w:sz w:val="19"/>
        </w:rPr>
        <w:t>Skandinavien, nationale Längsschnittstudie; vergleichbare Gesundheitssysteme, gute Datenqualität</w:t>
      </w:r>
    </w:p>
    <w:p>
      <w:r>
        <w:rPr>
          <w:color w:val="5A7D3A"/>
          <w:sz w:val="18"/>
        </w:rPr>
        <w:t>https://pubmed.ncbi.nlm.nih.gov/42791570/</w:t>
      </w:r>
    </w:p>
    <w:p>
      <w:pPr>
        <w:pStyle w:val="Heading2"/>
      </w:pPr>
      <w:r>
        <w:t>Wearable-Autonomie-Komponente und kardiometabolische Gesundheit im Alter</w:t>
      </w:r>
    </w:p>
    <w:p>
      <w:r>
        <w:rPr>
          <w:i/>
          <w:color w:val="666666"/>
          <w:sz w:val="18"/>
        </w:rPr>
        <w:t>Calvani R et al.  ·  Med Sci (Basel)  ·  02.09.2026  ·  PMID 42783415</w:t>
      </w:r>
    </w:p>
    <w:p>
      <w:r>
        <w:t>Querschnitt von 97 italienischen Erwachsenen (Durchschnittsalter 51,3 Jahre): 24-h Wearable-Geräte-Messung, Hauptkomponentenanalyse der ECG- und Bewegungsvariablen, Assoziation mit 8-Domänen-Gesundheits-Screening.</w:t>
      </w:r>
    </w:p>
    <w:p>
      <w:r>
        <w:rPr>
          <w:b/>
        </w:rPr>
        <w:t xml:space="preserve">Ergebnis: </w:t>
      </w:r>
      <w:r>
        <w:t>Prinzipalkomponente PC1 (gekennzeichnet durch hohes SDNN, hohes RMSSD, niedrige nächtliche Herzfrequenz) unabhängig assoziiert mit Gesamt-Gesundheit (B=+0,402, 95%-KI [+0,103, +0,700], p=0,009). Nach Benjamini-Hochberg-Korrektur in Einzeldomänen nur Glukose-Gesundheit signifikant (95%-KI [1,32, 4,62], p=0,039).</w:t>
      </w:r>
    </w:p>
    <w:p>
      <w:r>
        <w:rPr>
          <w:b/>
          <w:sz w:val="19"/>
        </w:rPr>
        <w:t xml:space="preserve">Übertragbarkeit: </w:t>
      </w:r>
      <w:r>
        <w:rPr>
          <w:sz w:val="19"/>
        </w:rPr>
        <w:t>Italien, Community-Setting; Wearable-Technologie relevant für deutsche Präventivmedizin, aber Stichprobe klein</w:t>
      </w:r>
    </w:p>
    <w:p>
      <w:r>
        <w:rPr>
          <w:color w:val="5A7D3A"/>
          <w:sz w:val="18"/>
        </w:rPr>
        <w:t>https://pubmed.ncbi.nlm.nih.gov/42783415/</w:t>
      </w:r>
    </w:p>
    <w:p>
      <w:pPr>
        <w:pStyle w:val="Heading2"/>
      </w:pPr>
      <w:r>
        <w:t>Gewichteter Alterungspace als Prädiktor: sterblichkeitsinformiertes Biomarker-Modell</w:t>
      </w:r>
    </w:p>
    <w:p>
      <w:r>
        <w:rPr>
          <w:i/>
          <w:color w:val="666666"/>
          <w:sz w:val="18"/>
        </w:rPr>
        <w:t>Sluiskes MH et al.  ·  J Gerontol A Biol Sci Med Sci  ·  05.09.2026  ·  PMID 42625435</w:t>
      </w:r>
    </w:p>
    <w:p>
      <w:r>
        <w:t>Längsschnittstudie schwedischer älterer Paare (SATSA): Gewichteter Pace of Aging (wPoA) aus 10 Biomarkern berechnet, anhand Sterblichkeit gewichtet, gegen etablierte Alterungs-Prädiktoren validiert.</w:t>
      </w:r>
    </w:p>
    <w:p>
      <w:r>
        <w:rPr>
          <w:b/>
        </w:rPr>
        <w:t xml:space="preserve">Ergebnis: </w:t>
      </w:r>
      <w:r>
        <w:t>wPoA korreliert mit biologischen Alterungs-Prädiktoren und stärker mit Functional Aging Index (FAA) und Frailty Index (FI). Moderate Korrelationen über alle Prädiktoren deuten darauf hin, dass jedes Maß unterschiedliche Aspekte des biologischen Alterns erfasst; wPoA eignet sich für Kohorten mit reichen Längsdaten.</w:t>
      </w:r>
    </w:p>
    <w:p>
      <w:r>
        <w:rPr>
          <w:b/>
          <w:sz w:val="19"/>
        </w:rPr>
        <w:t xml:space="preserve">Übertragbarkeit: </w:t>
      </w:r>
      <w:r>
        <w:rPr>
          <w:sz w:val="19"/>
        </w:rPr>
        <w:t>Schweden, nationale Adoptions-/Zwillingsstudie; europäisches Gesundheitssystem, methodisch robust</w:t>
      </w:r>
    </w:p>
    <w:p>
      <w:r>
        <w:rPr>
          <w:color w:val="5A7D3A"/>
          <w:sz w:val="18"/>
        </w:rPr>
        <w:t>https://pubmed.ncbi.nlm.nih.gov/42625435/</w:t>
      </w:r>
    </w:p>
    <w:p>
      <w:pPr>
        <w:pStyle w:val="Heading1"/>
      </w:pPr>
      <w:r>
        <w:t>Aufgenommen am 27.09.2026</w:t>
      </w:r>
    </w:p>
    <w:p>
      <w:pPr>
        <w:pStyle w:val="Heading2"/>
      </w:pPr>
      <w:r>
        <w:t>Vorhersagemodell für postoperative Frailty bei Brustkrebspatienten</w:t>
      </w:r>
    </w:p>
    <w:p>
      <w:r>
        <w:rPr>
          <w:i/>
          <w:color w:val="666666"/>
          <w:sz w:val="18"/>
        </w:rPr>
        <w:t>Zhou Y et al.  ·  PeerJ  ·  22.09.2026  ·  PMID 42799450</w:t>
      </w:r>
    </w:p>
    <w:p>
      <w:r>
        <w:t>Querschnittsstudie mit 286 Brustkrebspatienten nach Operation; Frailty erfasst mit Tilburg Frailty Indicator (TFI), Schlafqualität mit Pittsburgh Sleep Quality Index (PSQI); logistische Regressionsmodellierung mit ROC-Kurven-Validierung.</w:t>
      </w:r>
    </w:p>
    <w:p>
      <w:r>
        <w:rPr>
          <w:b/>
        </w:rPr>
        <w:t xml:space="preserve">Ergebnis: </w:t>
      </w:r>
      <w:r>
        <w:t>Postoperative Frailty-Prävalenz: 29,37 %. Signifikante Einflussfaktoren waren Diabetes-Vorgeschichte, schlechte Schlafqualität, Cholesterin und BMI, Kinder als Hauptpflegeperson und Krankenversicherungstyp. Das Modell erzielte eine AUC von 0,813 nach interner 10-fach-Kreuzvalidierung. Hosmer-Lemeshow χ² = 4,436, p = 0,816.</w:t>
      </w:r>
    </w:p>
    <w:p>
      <w:r>
        <w:rPr>
          <w:b/>
          <w:sz w:val="19"/>
        </w:rPr>
        <w:t xml:space="preserve">Übertragbarkeit: </w:t>
      </w:r>
      <w:r>
        <w:rPr>
          <w:sz w:val="19"/>
        </w:rPr>
        <w:t>China, anderes Gesundheitssystem; nur Frailty-Identifikation ist übertragbar.</w:t>
      </w:r>
    </w:p>
    <w:p>
      <w:r>
        <w:rPr>
          <w:color w:val="5A7D3A"/>
          <w:sz w:val="18"/>
        </w:rPr>
        <w:t>https://pubmed.ncbi.nlm.nih.gov/42799450/</w:t>
      </w:r>
    </w:p>
    <w:p>
      <w:pPr>
        <w:pStyle w:val="Heading2"/>
      </w:pPr>
      <w:r>
        <w:t>Ernährungsadäquanz in der Gemeinschaft: Ältere vs. jüngere Deutsche im BASE-II-Vergleich</w:t>
      </w:r>
    </w:p>
    <w:p>
      <w:r>
        <w:rPr>
          <w:i/>
          <w:color w:val="666666"/>
          <w:sz w:val="18"/>
        </w:rPr>
        <w:t>Heimberg K et al.  ·  Nutrients  ·  20.09.2026  ·  PMID 42797060</w:t>
      </w:r>
    </w:p>
    <w:p>
      <w:r>
        <w:t>Querschnittsstudie zur Nährstoffaufnahme bei 1.671 Personen im Alter von 60–84 Jahren aus der Berliner Altersstudie II (BASE-II), verglichen mit 500 jüngeren Erwachsenen (22–36 Jahre).</w:t>
      </w:r>
    </w:p>
    <w:p>
      <w:r>
        <w:rPr>
          <w:b/>
        </w:rPr>
        <w:t xml:space="preserve">Ergebnis: </w:t>
      </w:r>
      <w:r>
        <w:t>Ältere Erwachsene hatten kein generell schlechteres Nährstoffprofil als Jüngere. Jedoch lag das Osteoporoserisiko durch Calciummangel bei älteren Personen höher (34 % vs. 26 %). Vitamin-D-Mangel betraf über 15 % in beiden Altersgruppen. Supplementnutzung war bei Älteren häufiger (47,3 % vs. 43,0 %), unterschied sich aber nicht signifikant.</w:t>
      </w:r>
    </w:p>
    <w:p>
      <w:r>
        <w:rPr>
          <w:b/>
          <w:sz w:val="19"/>
        </w:rPr>
        <w:t xml:space="preserve">Übertragbarkeit: </w:t>
      </w:r>
      <w:r>
        <w:rPr>
          <w:sz w:val="19"/>
        </w:rPr>
        <w:t>Deutsche Kohortendaten (BASE-II), vergleichbare Bevölkerungsstruktur und Ernährungsrichtlinien.</w:t>
      </w:r>
    </w:p>
    <w:p>
      <w:r>
        <w:rPr>
          <w:color w:val="5A7D3A"/>
          <w:sz w:val="18"/>
        </w:rPr>
        <w:t>https://pubmed.ncbi.nlm.nih.gov/42797060/</w:t>
      </w:r>
    </w:p>
    <w:p>
      <w:pPr>
        <w:pStyle w:val="Heading2"/>
      </w:pPr>
      <w:r>
        <w:t>Ganggeschwindigkeit als Prognostischer Marker für Überleben bei älteren Krebspatienten</w:t>
      </w:r>
    </w:p>
    <w:p>
      <w:r>
        <w:rPr>
          <w:i/>
          <w:color w:val="666666"/>
          <w:sz w:val="18"/>
        </w:rPr>
        <w:t>Ünlü B et al.  ·  Medicina (Kaunas)  ·  21.09.2026  ·  PMID 42796422</w:t>
      </w:r>
    </w:p>
    <w:p>
      <w:r>
        <w:t>Prospektive Studie bei 102 chemotherapie-naiven Patienten ≥65 Jahre mit Gangtests vor Behandlung und Nachverfolgung von Überleben, Therapieansprechen und Toxizität.</w:t>
      </w:r>
    </w:p>
    <w:p>
      <w:r>
        <w:rPr>
          <w:b/>
        </w:rPr>
        <w:t xml:space="preserve">Ergebnis: </w:t>
      </w:r>
      <w:r>
        <w:t>Mittlere Ganggeschwindigkeit 0,481 ± 0,176 m/s. Bei metastasierten Patienten war höhere Ganggeschwindigkeit mit niedrigerer Mortalität assoziiert (univariat HR = 0,752, 95%-KI 0,605–0,934, p = 0,010; adjustiert HR = 0,647, 95%-KI 0,490–0,853, p = 0,002). Keine signifikanten Assoziationen mit progressionsfreiem Überleben oder Grad-≥3-Toxizität.</w:t>
      </w:r>
    </w:p>
    <w:p>
      <w:r>
        <w:rPr>
          <w:b/>
          <w:sz w:val="19"/>
        </w:rPr>
        <w:t xml:space="preserve">Übertragbarkeit: </w:t>
      </w:r>
      <w:r>
        <w:rPr>
          <w:sz w:val="19"/>
        </w:rPr>
        <w:t>Türkei; funktionelle Messung übertragbar, aber Kohorte klein und explorativ.</w:t>
      </w:r>
    </w:p>
    <w:p>
      <w:r>
        <w:rPr>
          <w:color w:val="5A7D3A"/>
          <w:sz w:val="18"/>
        </w:rPr>
        <w:t>https://pubmed.ncbi.nlm.nih.gov/42796422/</w:t>
      </w:r>
    </w:p>
    <w:p>
      <w:pPr>
        <w:pStyle w:val="Heading2"/>
      </w:pPr>
      <w:r>
        <w:t>Frailty-assoziierte Lungenfunktionstrajektor nach Lungentransplantation</w:t>
      </w:r>
    </w:p>
    <w:p>
      <w:r>
        <w:rPr>
          <w:i/>
          <w:color w:val="666666"/>
          <w:sz w:val="18"/>
        </w:rPr>
        <w:t>Ceolin C et al.  ·  Respir Res  ·  25.09.2026  ·  PMID 42791578</w:t>
      </w:r>
    </w:p>
    <w:p>
      <w:r>
        <w:t>Prospektive Longitudinalstudie über zwei Jahre bei 155 Lungentransplantationsempfänger (Durchschnittsalter 48,7 Jahre); Fried-Phänotyp zur Frailty-Erfassung und spirometrische Parameter als Lungenfunktionsergebnis.</w:t>
      </w:r>
    </w:p>
    <w:p>
      <w:r>
        <w:rPr>
          <w:b/>
        </w:rPr>
        <w:t xml:space="preserve">Ergebnis: </w:t>
      </w:r>
      <w:r>
        <w:t>43,7 % waren robust, 40,4 % pre-frail, 15,9 % frail. Höhere Frailty-Last war mit niedrigeren Baseline-FVC-Werten assoziiert. Signifikante Frailty-by-time-Wechselwirkungen zeigten steilere longitudinale Verbesserungen bei Vital Capacity (VC, β = 2,03, p = 0,010) und FVC (β = 2,20, p = 0,003) bei Personen mit höherer Baseline-Frailty.</w:t>
      </w:r>
    </w:p>
    <w:p>
      <w:r>
        <w:rPr>
          <w:b/>
          <w:sz w:val="19"/>
        </w:rPr>
        <w:t xml:space="preserve">Übertragbarkeit: </w:t>
      </w:r>
      <w:r>
        <w:rPr>
          <w:sz w:val="19"/>
        </w:rPr>
        <w:t>Italien (Padua), europäisches Versorgungssystem, ähnliche Transplantationsprotokolle.</w:t>
      </w:r>
    </w:p>
    <w:p>
      <w:r>
        <w:rPr>
          <w:color w:val="5A7D3A"/>
          <w:sz w:val="18"/>
        </w:rPr>
        <w:t>https://pubmed.ncbi.nlm.nih.gov/42791578/</w:t>
      </w:r>
    </w:p>
    <w:p>
      <w:pPr>
        <w:pStyle w:val="Heading2"/>
      </w:pPr>
      <w:r>
        <w:t>Heidelbeeren, Protein und Bewegung gegen Frailty: STRONG-Studie Studienprotokoll</w:t>
      </w:r>
    </w:p>
    <w:p>
      <w:r>
        <w:rPr>
          <w:i/>
          <w:color w:val="666666"/>
          <w:sz w:val="18"/>
        </w:rPr>
        <w:t>Cahill LE et al.  ·  BMJ Open  ·  25.09.2026  ·  PMID 42790922</w:t>
      </w:r>
    </w:p>
    <w:p>
      <w:r>
        <w:t>Pragmatische RCT über 12 Monate mit 240 Personen ≥65 Jahren (120w/120m) in Nova Scotia; Intervention: 1 Cup Heidelbeeren/Tag, 30 g Proteinpulver/Tag und drei 60-Minuten-Multimodal-Trainingseinheiten/Woche; Kontrolle: Standardversorgung.</w:t>
      </w:r>
    </w:p>
    <w:p>
      <w:r>
        <w:rPr>
          <w:b/>
        </w:rPr>
        <w:t xml:space="preserve">Ergebnis: </w:t>
      </w:r>
      <w:r>
        <w:t>Studie noch laufend (Protokoll publiziert). Geplante Outcomes: Frailty-Scores, Balance, Sturzhäufigkeit, Lebensraum, kardiovaskuläre Risikofaktoren, 6-Minuten-Gehtest, Entzündungsmarker, Lebensqualität mit Messungen bei Baseline, 3, 6, 9, 12 und 24 Monaten.</w:t>
      </w:r>
    </w:p>
    <w:p>
      <w:r>
        <w:rPr>
          <w:b/>
          <w:sz w:val="19"/>
        </w:rPr>
        <w:t xml:space="preserve">Übertragbarkeit: </w:t>
      </w:r>
      <w:r>
        <w:rPr>
          <w:sz w:val="19"/>
        </w:rPr>
        <w:t>Kanada (Nova Scotia), ähnliche Versorgungssysteme und Lebenserwartung wie deutschsprachiger Raum.</w:t>
      </w:r>
    </w:p>
    <w:p>
      <w:r>
        <w:rPr>
          <w:color w:val="5A7D3A"/>
          <w:sz w:val="18"/>
        </w:rPr>
        <w:t>https://pubmed.ncbi.nlm.nih.gov/42790922/</w:t>
      </w:r>
    </w:p>
    <w:p>
      <w:pPr>
        <w:pStyle w:val="Heading2"/>
      </w:pPr>
      <w:r>
        <w:t>Schlafstörungen und Depression als gemeinsames Risiko für Arthrose bei Älteren</w:t>
      </w:r>
    </w:p>
    <w:p>
      <w:r>
        <w:rPr>
          <w:i/>
          <w:color w:val="666666"/>
          <w:sz w:val="18"/>
        </w:rPr>
        <w:t>Deng S et al.  ·  Brain Behav  ·  Sept. 2026  ·  PMID 42779173</w:t>
      </w:r>
    </w:p>
    <w:p>
      <w:r>
        <w:t>Prospektive Kohortenstudie mit 3.604 Personen ab 50 Jahren aus der English Longitudinal Study of Ageing; Erfassung von Schlafstörung und depressiver Symptomatik über acht Jahre mittels gruppengestützter Multi-Trajektorien-Analyse.</w:t>
      </w:r>
    </w:p>
    <w:p>
      <w:r>
        <w:rPr>
          <w:b/>
        </w:rPr>
        <w:t xml:space="preserve">Ergebnis: </w:t>
      </w:r>
      <w:r>
        <w:t>Vier Trajektoriengruppen wurden identifiziert. Im Vergleich zu persistierend gutem Schlaf und keinen depressiven Symptomen zeigten Personen mit persistierend schlechtem Schlaf und hoher depressiver Symptomatik ein OR von 2,85 (95%-KI 1,90–4,28) für Arthrose-Neuauftreten; diejenigen mit schlechtem Schlaf und moderater Depression: OR 2,14 (95%-KI 1,52–3,02); moderate Schlafstörung mit niedriger Depression: OR 1,56 (95%-KI 1,20–2,03).</w:t>
      </w:r>
    </w:p>
    <w:p>
      <w:r>
        <w:rPr>
          <w:b/>
          <w:sz w:val="19"/>
        </w:rPr>
        <w:t xml:space="preserve">Übertragbarkeit: </w:t>
      </w:r>
      <w:r>
        <w:rPr>
          <w:sz w:val="19"/>
        </w:rPr>
        <w:t>England, vergleichbares nationales Gesundheitssystem und Altersstruktur.</w:t>
      </w:r>
    </w:p>
    <w:p>
      <w:r>
        <w:rPr>
          <w:color w:val="5A7D3A"/>
          <w:sz w:val="18"/>
        </w:rPr>
        <w:t>https://pubmed.ncbi.nlm.nih.gov/42779173/</w:t>
      </w:r>
    </w:p>
    <w:p>
      <w:pPr>
        <w:pStyle w:val="Heading1"/>
      </w:pPr>
      <w:r>
        <w:t>Aufgenommen am 26.09.2026</w:t>
      </w:r>
    </w:p>
    <w:p>
      <w:pPr>
        <w:pStyle w:val="Heading2"/>
      </w:pPr>
      <w:r>
        <w:t>Soziale Kontakte und körperliche Frailty entwickeln sich parallel: Langzeitprofil aus Japan</w:t>
      </w:r>
    </w:p>
    <w:p>
      <w:r>
        <w:rPr>
          <w:i/>
          <w:color w:val="666666"/>
          <w:sz w:val="18"/>
        </w:rPr>
        <w:t>Gao H et al.  ·  Front Public Health  ·  09.09.2026  ·  PMID 42787745</w:t>
      </w:r>
    </w:p>
    <w:p>
      <w:r>
        <w:t>Japanische Kohortenstudie an 307 älteren Gemeindemitgliedern mit Messungen 2014, 2017 und 2020 zu sozialen Kontakten, körperlicher Frailty (Kihon Checklist-Motor) und subjektiven kognitiven Beschwerden (Kihon Checklist-Kognitiv).</w:t>
      </w:r>
    </w:p>
    <w:p>
      <w:r>
        <w:rPr>
          <w:b/>
        </w:rPr>
        <w:t xml:space="preserve">Ergebnis: </w:t>
      </w:r>
      <w:r>
        <w:t>Soziale Kontakte sanken von 16,82 auf 16,09, körperliche Frailty stieg von 8,8 % auf 19,5 %, subjektive kognitive Beschwerden von 31,3 % auf 62,9 %. Höhere initiale soziale Kontakte assoziiert mit niedrigerem Frailty-Risiko (standardisiert -0,282, 95%-CrI -0,503 bis -0,044) und niedrigerem kognitiven Beschwerde-Risiko (-0,433, -0,651 bis -0,179). Inverse Assoziation zwischen Kontakt- und Frailty-Änderungsraten.</w:t>
      </w:r>
    </w:p>
    <w:p>
      <w:r>
        <w:rPr>
          <w:b/>
          <w:sz w:val="19"/>
        </w:rPr>
        <w:t xml:space="preserve">Übertragbarkeit: </w:t>
      </w:r>
      <w:r>
        <w:rPr>
          <w:sz w:val="19"/>
        </w:rPr>
        <w:t>Japan, aber Befunde zu Multidomain-Assessment übertragbar auf deutsche Altenhilfe</w:t>
      </w:r>
    </w:p>
    <w:p>
      <w:r>
        <w:rPr>
          <w:color w:val="5A7D3A"/>
          <w:sz w:val="18"/>
        </w:rPr>
        <w:t>https://pubmed.ncbi.nlm.nih.gov/42787745/</w:t>
      </w:r>
    </w:p>
    <w:p>
      <w:pPr>
        <w:pStyle w:val="Heading2"/>
      </w:pPr>
      <w:r>
        <w:t>Kardiovaskuläre Multimorbidität und kognitive Funktionalität: internationale Kohorten-Analyse</w:t>
      </w:r>
    </w:p>
    <w:p>
      <w:r>
        <w:rPr>
          <w:i/>
          <w:color w:val="666666"/>
          <w:sz w:val="18"/>
        </w:rPr>
        <w:t>Li M et al.  ·  Front Public Health  ·  10.09.2026  ·  PMID 42787285</w:t>
      </w:r>
    </w:p>
    <w:p>
      <w:r>
        <w:t>Internationale Harmonisierung von 236.088 Personen aus sechs Langzeitkohorten (HRS, ELSA, CHARLS, KLoSA, MHAS, SHARE) mit wiederholten Messungen kardiovaskulärer Komorbiditäten und kognitiv-funktionaler Veränderungen.</w:t>
      </w:r>
    </w:p>
    <w:p>
      <w:r>
        <w:rPr>
          <w:b/>
        </w:rPr>
        <w:t xml:space="preserve">Ergebnis: </w:t>
      </w:r>
      <w:r>
        <w:t>Jede zusätzliche kardiovaskuläre Erkrankung korreliert mit kognitiven Verschlechterung (β=0,0459, 95%-KI 0,0243–0,0675) und funktionalen Verschlechterung (β=0,0960, 95%-KI 0,0809–0,1111). Funktionale Verschlechterung deutlicher als kognitiv (Kontrast 0,0534, 95%-KI 0,0325–0,0742). Bei 266.127 Intervallen in unauffälligem Ausgangszustand: jede zusätzliche Grunderkrankung assoziiert mit funktionalen Übergängen (OR 1,33, 95%-KI 1,27–1,40), nicht konsistent mit kognitiven Übergängen (OR 1,01, 95%-KI 0,95–1,07).</w:t>
      </w:r>
    </w:p>
    <w:p>
      <w:r>
        <w:rPr>
          <w:b/>
          <w:sz w:val="19"/>
        </w:rPr>
        <w:t xml:space="preserve">Übertragbarkeit: </w:t>
      </w:r>
      <w:r>
        <w:rPr>
          <w:sz w:val="19"/>
        </w:rPr>
        <w:t>Europa, Kanada, USA, große internationale Datenharmonisierung relevant für Deutschland</w:t>
      </w:r>
    </w:p>
    <w:p>
      <w:r>
        <w:rPr>
          <w:color w:val="5A7D3A"/>
          <w:sz w:val="18"/>
        </w:rPr>
        <w:t>https://pubmed.ncbi.nlm.nih.gov/42787285/</w:t>
      </w:r>
    </w:p>
    <w:p>
      <w:pPr>
        <w:pStyle w:val="Heading2"/>
      </w:pPr>
      <w:r>
        <w:t>Frailty bei älteren COPD-Patienten: unabhängiger Prädiktor für COPD-Exazerbationen</w:t>
      </w:r>
    </w:p>
    <w:p>
      <w:r>
        <w:rPr>
          <w:i/>
          <w:color w:val="666666"/>
          <w:sz w:val="18"/>
        </w:rPr>
        <w:t>Li T et al.  ·  J Cachexia Sarcopenia Muscle  ·  Okt. 2026  ·  PMID 42786423</w:t>
      </w:r>
    </w:p>
    <w:p>
      <w:r>
        <w:t>Chinesische Kohortenstudie an 466 älteren COPD-Patienten (Mittel 71,2±4,5 Jahre) mit Fried-Frailty-Phänotyp-Assessment und Nachverfolgung über 12 Monate für moderate bis schwere Exazerbationen und Sterblichkeit.</w:t>
      </w:r>
    </w:p>
    <w:p>
      <w:r>
        <w:rPr>
          <w:b/>
        </w:rPr>
        <w:t xml:space="preserve">Ergebnis: </w:t>
      </w:r>
      <w:r>
        <w:t>54,7 % pre-frail, 28,3 % frail. Pre-Frailty (OR 2,182, 95%-KI 1,081–4,405) und Frailty (OR 3,377, 95%-KI 1,614–7,063) unabhängig assoziiert mit erhöhtem Exazerbationsrisiko. ROC-AUC für Frailty-Vorhersage 0,607. Kombination aus Frailty + Dyspnoe oder Exazerbationshistorie bessere Vorhersagekraft als einzelne Parameter.</w:t>
      </w:r>
    </w:p>
    <w:p>
      <w:r>
        <w:rPr>
          <w:b/>
          <w:sz w:val="19"/>
        </w:rPr>
        <w:t xml:space="preserve">Übertragbarkeit: </w:t>
      </w:r>
      <w:r>
        <w:rPr>
          <w:sz w:val="19"/>
        </w:rPr>
        <w:t>China, aber Frailty-Assessment-Konzepte etabliert in deutscher Geriatrie</w:t>
      </w:r>
    </w:p>
    <w:p>
      <w:r>
        <w:rPr>
          <w:color w:val="5A7D3A"/>
          <w:sz w:val="18"/>
        </w:rPr>
        <w:t>https://pubmed.ncbi.nlm.nih.gov/42786423/</w:t>
      </w:r>
    </w:p>
    <w:p>
      <w:pPr>
        <w:pStyle w:val="Heading2"/>
      </w:pPr>
      <w:r>
        <w:t>Prävention funktioneller Abhängigkeit im höheren Alter: Screening geriatrischer Syndrome</w:t>
      </w:r>
    </w:p>
    <w:p>
      <w:r>
        <w:rPr>
          <w:i/>
          <w:color w:val="666666"/>
          <w:sz w:val="18"/>
        </w:rPr>
        <w:t>Stornelli S et al.  ·  Rev Med Suisse  ·  23.09.2026  ·  PMID 42779326</w:t>
      </w:r>
    </w:p>
    <w:p>
      <w:r>
        <w:t>Schweizer Übersicht für ambulante Grundversorgung zu frühzeitiger Erkennung älterer Patienten mit Risiko funktioneller Abhängigkeit und Autonomieverlust, basierend auf WHO-ICOPE-Ansatz.</w:t>
      </w:r>
    </w:p>
    <w:p>
      <w:r>
        <w:rPr>
          <w:b/>
        </w:rPr>
        <w:t xml:space="preserve">Ergebnis: </w:t>
      </w:r>
      <w:r>
        <w:t>Kernempfehlung: Ärzte sollten hauptsächliche geriatrische Syndrome systematisch screenen, modifizierbare Risikofaktoren identifizieren und Maßnahmen zur Bewahrung intrinsischer Kapazität und Lebensqualität implementieren. Lücke zwischen Lebenserwartung und behinderungsfreien Jahren bleibt erheblich und variiert nach Geschlecht, Bildung und sozioökonomischem Status.</w:t>
      </w:r>
    </w:p>
    <w:p>
      <w:r>
        <w:rPr>
          <w:b/>
          <w:sz w:val="19"/>
        </w:rPr>
        <w:t xml:space="preserve">Übertragbarkeit: </w:t>
      </w:r>
      <w:r>
        <w:rPr>
          <w:sz w:val="19"/>
        </w:rPr>
        <w:t>Schweiz (DACH-Region), direkt übertragbar auf deutsche Primärversorgung</w:t>
      </w:r>
    </w:p>
    <w:p>
      <w:r>
        <w:rPr>
          <w:color w:val="5A7D3A"/>
          <w:sz w:val="18"/>
        </w:rPr>
        <w:t>https://pubmed.ncbi.nlm.nih.gov/42779326/</w:t>
      </w:r>
    </w:p>
    <w:p>
      <w:pPr>
        <w:pStyle w:val="Heading2"/>
      </w:pPr>
      <w:r>
        <w:t>Funktionale Limitierungen bei Depression im Alter folgen eigenen Trajektorien</w:t>
      </w:r>
    </w:p>
    <w:p>
      <w:r>
        <w:rPr>
          <w:i/>
          <w:color w:val="666666"/>
          <w:sz w:val="18"/>
        </w:rPr>
        <w:t>Fredriksen KH et al.  ·  J Affect Disord  ·  15.12.2026  ·  PMID 42716343</w:t>
      </w:r>
    </w:p>
    <w:p>
      <w:r>
        <w:t>Niederländische Langzeitstudie an 355 älteren depressiven Patienten über sechs Jahre mit wiederholten Messungen in sechs Funktionsbereichen (Kognition, Mobilität, Selbstversorgung, soziale Beziehungen, Haushaltsaktivitäten, gesellschaftliche Partizipation).</w:t>
      </w:r>
    </w:p>
    <w:p>
      <w:r>
        <w:rPr>
          <w:b/>
        </w:rPr>
        <w:t xml:space="preserve">Ergebnis: </w:t>
      </w:r>
      <w:r>
        <w:t>Funktionale Einschränkungen zeigten überwiegend stabile hohe oder niedrige Trajektorien über beide Domänen. In Mobilität, Selbstversorgung und Haushaltsaktivitäten zeigte eine Subgruppe starke Verschlechterung, eine andere in sozialen Beziehungen Verbesserung. Funktionale Trajektorien korrelierten nur schwach mit Symptomverläufen und unterschieden sich zwischen Individuen deutlich – Hinweis auf Bedarf für individualisierte Interventionen unabhängig von depressiver Remission.</w:t>
      </w:r>
    </w:p>
    <w:p>
      <w:r>
        <w:rPr>
          <w:b/>
          <w:sz w:val="19"/>
        </w:rPr>
        <w:t xml:space="preserve">Übertragbarkeit: </w:t>
      </w:r>
      <w:r>
        <w:rPr>
          <w:sz w:val="19"/>
        </w:rPr>
        <w:t>Niederlande, Sozialversicherungssystem vergleichbar mit Deutschland</w:t>
      </w:r>
    </w:p>
    <w:p>
      <w:r>
        <w:rPr>
          <w:color w:val="5A7D3A"/>
          <w:sz w:val="18"/>
        </w:rPr>
        <w:t>https://pubmed.ncbi.nlm.nih.gov/42716343/</w:t>
      </w:r>
    </w:p>
    <w:p>
      <w:pPr>
        <w:pStyle w:val="Heading2"/>
      </w:pPr>
      <w:r>
        <w:t>Bipolares Störung im höheren Alter: Sterblichkeit erhöht, nicht Überleberkohorten-Effekt</w:t>
      </w:r>
    </w:p>
    <w:p>
      <w:r>
        <w:rPr>
          <w:i/>
          <w:color w:val="666666"/>
          <w:sz w:val="18"/>
        </w:rPr>
        <w:t>Bayat N et al.  ·  Am J Geriatr Psychiatry  ·  21.07.2026  ·  PMID 42567731</w:t>
      </w:r>
    </w:p>
    <w:p>
      <w:r>
        <w:t>Niederländische Prospektivkohortenstudie mit 227 Patienten ≥50 Jahren mit bipolarer Störung (DOBi-Studie) verglichen mit 681 alternativen Kontrollpersonen (LASA) über 8 Jahre Nachverfolgung.</w:t>
      </w:r>
    </w:p>
    <w:p>
      <w:r>
        <w:rPr>
          <w:b/>
        </w:rPr>
        <w:t xml:space="preserve">Ergebnis: </w:t>
      </w:r>
      <w:r>
        <w:t>Von 227 Patienten mit bipolarer Störung starben 37 (16,3 %), von Kontrollen 138/681 (20,3 %). Eingeschränkte mittlere Überlebenszeit 2.500,7 Tage (95%-KI 2.419,9–2.581,5) versus 2.607,2 Tage (95%-KI 2.572,3–2.642,0) – Differenz 106,4 Tage (3,5 Monate, p=0,018). Hazard Ratio 1,72 (95%-KI 1,17–2,54, p=0,006). Erhöhte Sterblichkeit persistent, nicht nur Überleberkohorten-Effekt.</w:t>
      </w:r>
    </w:p>
    <w:p>
      <w:r>
        <w:rPr>
          <w:b/>
          <w:sz w:val="19"/>
        </w:rPr>
        <w:t xml:space="preserve">Übertragbarkeit: </w:t>
      </w:r>
      <w:r>
        <w:rPr>
          <w:sz w:val="19"/>
        </w:rPr>
        <w:t>Niederlande, vergleichbares Gesundheitssystem und Sozialversicherung</w:t>
      </w:r>
    </w:p>
    <w:p>
      <w:r>
        <w:rPr>
          <w:color w:val="5A7D3A"/>
          <w:sz w:val="18"/>
        </w:rPr>
        <w:t>https://pubmed.ncbi.nlm.nih.gov/42567731/</w:t>
      </w:r>
    </w:p>
    <w:p>
      <w:pPr>
        <w:pStyle w:val="Heading1"/>
      </w:pPr>
      <w:r>
        <w:t>Aufgenommen am 25.09.2026</w:t>
      </w:r>
    </w:p>
    <w:p>
      <w:pPr>
        <w:pStyle w:val="Heading2"/>
      </w:pPr>
      <w:r>
        <w:t>Klinische Entscheidungsmuster von Physiotherapeuten bei Frailty in der Krankenpflege</w:t>
      </w:r>
    </w:p>
    <w:p>
      <w:r>
        <w:rPr>
          <w:i/>
          <w:color w:val="666666"/>
          <w:sz w:val="18"/>
        </w:rPr>
        <w:t>Bloch T et al.  ·  Age Ageing  ·  04.09.2026  ·  PMID 42784539</w:t>
      </w:r>
    </w:p>
    <w:p>
      <w:r>
        <w:t>Delphi-Studie mit 44 US-amerikanischen und kanadischen Therapeuten zu klinischen Reasoning-Strategien bei der Intervention für gebrechliche ältere Menschen in Pflegeheimen.</w:t>
      </w:r>
    </w:p>
    <w:p>
      <w:r>
        <w:rPr>
          <w:b/>
        </w:rPr>
        <w:t xml:space="preserve">Ergebnis: </w:t>
      </w:r>
      <w:r>
        <w:t>Fünf Konsensthemen erreichten ≥75%-Zustimmung: (i) Therapie-Engagement durch patientenzentrierte Aktivitäten, (ii) Mobilität und Bewegungssicherheit, (iii) funktionale Ergebnisse und Belastung, (iv) Schmerzmanagement und kognitive Variabilität, (v) aufgabenspezifische duale Interventionen für ADL-Transfer. 39 von 44 Teilnehmern (89%-Retentionsquote) schlossen alle Runden ab.</w:t>
      </w:r>
    </w:p>
    <w:p>
      <w:r>
        <w:rPr>
          <w:b/>
          <w:sz w:val="19"/>
        </w:rPr>
        <w:t xml:space="preserve">Übertragbarkeit: </w:t>
      </w:r>
      <w:r>
        <w:rPr>
          <w:sz w:val="19"/>
        </w:rPr>
        <w:t>USA/Kanada – Qualitative Evidenz zur Praxis in SNF; Adaptierbarkeit auf deutsches Versorgungssystem mit Anpassungen an Dokumentation und Ressourcen.</w:t>
      </w:r>
    </w:p>
    <w:p>
      <w:r>
        <w:rPr>
          <w:color w:val="5A7D3A"/>
          <w:sz w:val="18"/>
        </w:rPr>
        <w:t>https://pubmed.ncbi.nlm.nih.gov/42784539/</w:t>
      </w:r>
    </w:p>
    <w:p>
      <w:pPr>
        <w:pStyle w:val="Heading2"/>
      </w:pPr>
      <w:r>
        <w:t>Thorakale Muskelattenuation prägt Geschlechts-spezifische Mortalität nach Bypasschirurgie im Alter</w:t>
      </w:r>
    </w:p>
    <w:p>
      <w:r>
        <w:rPr>
          <w:i/>
          <w:color w:val="666666"/>
          <w:sz w:val="18"/>
        </w:rPr>
        <w:t>Krombholz-Reindl P et al.  ·  Med Sci (Basel)  ·  14.09.2026  ·  PMID 42783442</w:t>
      </w:r>
    </w:p>
    <w:p>
      <w:r>
        <w:t>Retrospektive Studie an 479 Patienten (382 Männer, 97 Frauen) untersucht, ob die Muskelqualität (gemessen als Hounsfield Units aus Routinen-CT) die Mortalität nach Koronarer Bypasschirurgie unabhängig vom EuroSCORE II vorhersagt – mit geschlechtsspezifischen Unterschieden.</w:t>
      </w:r>
    </w:p>
    <w:p>
      <w:r>
        <w:rPr>
          <w:b/>
        </w:rPr>
        <w:t xml:space="preserve">Ergebnis: </w:t>
      </w:r>
      <w:r>
        <w:t>Bei Frauen mit niedriger Muskelattenuation (TH4) betrugen die Hazard Ratios für Mortalität 6,6 (1 Jahr), 9,5 (3 Jahre), 6,4 (5 Jahre; alle p≤0,03). Bei Männern zeigte sich ein schwächerer Effekt, der nach Gewichtungsanpassung insignifikant wurde. Hinzufügen von niedriger Muskelattenuation zu EuroSCORE II erhöhte C-Statistik um 0,046 bei Frauen insgesamt (p&lt;0,001).</w:t>
      </w:r>
    </w:p>
    <w:p>
      <w:r>
        <w:rPr>
          <w:b/>
          <w:sz w:val="19"/>
        </w:rPr>
        <w:t xml:space="preserve">Übertragbarkeit: </w:t>
      </w:r>
      <w:r>
        <w:rPr>
          <w:sz w:val="19"/>
        </w:rPr>
        <w:t>Österreich/Deutschland – Universitätszentren; Aussage unabhängig von Versorgungssystem.</w:t>
      </w:r>
    </w:p>
    <w:p>
      <w:r>
        <w:rPr>
          <w:color w:val="5A7D3A"/>
          <w:sz w:val="18"/>
        </w:rPr>
        <w:t>https://pubmed.ncbi.nlm.nih.gov/42783442/</w:t>
      </w:r>
    </w:p>
    <w:p>
      <w:pPr>
        <w:pStyle w:val="Heading2"/>
      </w:pPr>
      <w:r>
        <w:t>Feinstaub und Luftfeuchte verstärken Sturzrisiko und Schlaganfall im Alter durch Frailty</w:t>
      </w:r>
    </w:p>
    <w:p>
      <w:r>
        <w:rPr>
          <w:i/>
          <w:color w:val="666666"/>
          <w:sz w:val="18"/>
        </w:rPr>
        <w:t>Sun M et al.  ·  Front Public Health  ·  09.09.2026  ·  PMID 42780893</w:t>
      </w:r>
    </w:p>
    <w:p>
      <w:r>
        <w:t>Prospektive Kohortenstudie (CHARLS, n=17.197) und Krankenhaus-Stichprobe (n=782) zum Zusammenhang von PM2.5-Exposition, relativer Luftfeuchte und Schlaganfallrisiko, mit Frailty Index als potenzieller Mediator.</w:t>
      </w:r>
    </w:p>
    <w:p>
      <w:r>
        <w:rPr>
          <w:b/>
        </w:rPr>
        <w:t xml:space="preserve">Ergebnis: </w:t>
      </w:r>
      <w:r>
        <w:t>Hohes PM2.5 mit Schlaganfall-Hazard Ratio 1,184 (95% KI 1,083–1,295) in CHARLS. Hohe Luftfeuchte: HR 1,112 (95% KI 1,021–1,212). Beide Expositionen zusammen: HR 1,361 (95% KI 1,171–1,582). Frailty mediierte 18,1 % der PM2.5-Assoziation und 22,3 % der Feuchte-Assoziation.</w:t>
      </w:r>
    </w:p>
    <w:p>
      <w:r>
        <w:rPr>
          <w:b/>
          <w:sz w:val="19"/>
        </w:rPr>
        <w:t xml:space="preserve">Übertragbarkeit: </w:t>
      </w:r>
      <w:r>
        <w:rPr>
          <w:sz w:val="19"/>
        </w:rPr>
        <w:t>China – CHARLS-Kohortendaten; Luftqualität und Klimavariablen sind in Deutschland unterschiedlich, aber Frailty-Pathway-Mechanismus ist übertragbar.</w:t>
      </w:r>
    </w:p>
    <w:p>
      <w:r>
        <w:rPr>
          <w:color w:val="5A7D3A"/>
          <w:sz w:val="18"/>
        </w:rPr>
        <w:t>https://pubmed.ncbi.nlm.nih.gov/42780893/</w:t>
      </w:r>
    </w:p>
    <w:p>
      <w:pPr>
        <w:pStyle w:val="Heading2"/>
      </w:pPr>
      <w:r>
        <w:t>Umfassende Frailty-Erfassung vorhersagt Mortalität nach Herzchirurgie besser als das Fried-Phänotyp allein</w:t>
      </w:r>
    </w:p>
    <w:p>
      <w:r>
        <w:rPr>
          <w:i/>
          <w:color w:val="666666"/>
          <w:sz w:val="18"/>
        </w:rPr>
        <w:t>Silva VBMD et al.  ·  Braz J Cardiovasc Surg  ·  21.09.2026  ·  PMID 42776132</w:t>
      </w:r>
    </w:p>
    <w:p>
      <w:r>
        <w:t>Prospektive Beobachtungsstudie mit 218 Herzchirurgie-Patienten (Klappenchirurgie oder CABG) zur Validierung von Frailty-Definitionen neben dem klassischen Fried-Kriterium durch zusätzliche ernährungsmedizinische, psychologische und funktionelle Variablen.</w:t>
      </w:r>
    </w:p>
    <w:p>
      <w:r>
        <w:rPr>
          <w:b/>
        </w:rPr>
        <w:t xml:space="preserve">Ergebnis: </w:t>
      </w:r>
      <w:r>
        <w:t>Nach Fried: 43,6 % frail, 49,6 % pre-frail. Fried-Phänotyp zeigte keine Assoziation mit Mortalität. Mit zusätzlichen Variablen identifizierte Clusteranalyse zwei Gruppen: In Cluster 1 waren 84,8 % Fried-frail (vs. 27,4 % in Cluster 2, p&lt;0,001), postoperative Infektionsrate 24,2 % vs. 7,1 % (p=0,022), Krankenhausmortalität 27,3 % vs. 9,5 % (p=0,020).</w:t>
      </w:r>
    </w:p>
    <w:p>
      <w:r>
        <w:rPr>
          <w:b/>
          <w:sz w:val="19"/>
        </w:rPr>
        <w:t xml:space="preserve">Übertragbarkeit: </w:t>
      </w:r>
      <w:r>
        <w:rPr>
          <w:sz w:val="19"/>
        </w:rPr>
        <w:t>Brasilien – herzchirurgische Versorgung vergleichbar; Frailty-Assessment-Prinzipien übertragbar auf deutsche Kliniken.</w:t>
      </w:r>
    </w:p>
    <w:p>
      <w:r>
        <w:rPr>
          <w:color w:val="5A7D3A"/>
          <w:sz w:val="18"/>
        </w:rPr>
        <w:t>https://pubmed.ncbi.nlm.nih.gov/42776132/</w:t>
      </w:r>
    </w:p>
    <w:p>
      <w:pPr>
        <w:pStyle w:val="Heading2"/>
      </w:pPr>
      <w:r>
        <w:t>Geriatrische Versorgungskonzepte bei trochantären Femurfrakturen senken Komplikationen und Mortalität</w:t>
      </w:r>
    </w:p>
    <w:p>
      <w:r>
        <w:rPr>
          <w:i/>
          <w:color w:val="666666"/>
          <w:sz w:val="18"/>
        </w:rPr>
        <w:t>Smolka V et al.  ·  Unfallchirurgie (Heidelb)  ·  24.08.2026  ·  PMID 42637918</w:t>
      </w:r>
    </w:p>
    <w:p>
      <w:r>
        <w:t>Übersichtsartikel zur interdisziplinären, multidimensionalen Betreuung geriatrischer Hüftfrakturen nach deutschen Richtlinien mit Fokus auf Schmerzmanagement, Frühmobilisation, Delir- und Ernährungsmanagement, Deprescribing und Sturzprophylaxe.</w:t>
      </w:r>
    </w:p>
    <w:p>
      <w:r>
        <w:rPr>
          <w:b/>
        </w:rPr>
        <w:t xml:space="preserve">Ergebnis: </w:t>
      </w:r>
      <w:r>
        <w:t>Multidimensionale Betreuung reduziert nachweislich die Mortalität, vermeidet Komplikationen durch adäquate Perioperativbetreuung, Frühmobilisation und Entlassungsplanung. Keine spezifischen Zahlenwerte im Abstract genannt, aber eindeutige Evidenz für Mortalitätsreduktion dokumentiert.</w:t>
      </w:r>
    </w:p>
    <w:p>
      <w:r>
        <w:rPr>
          <w:b/>
          <w:sz w:val="19"/>
        </w:rPr>
        <w:t xml:space="preserve">Übertragbarkeit: </w:t>
      </w:r>
      <w:r>
        <w:rPr>
          <w:sz w:val="19"/>
        </w:rPr>
        <w:t>Deutschland – nationale Richtlinien des Gemeinsamen Bundesausschusses seit 2021.</w:t>
      </w:r>
    </w:p>
    <w:p>
      <w:r>
        <w:rPr>
          <w:color w:val="5A7D3A"/>
          <w:sz w:val="18"/>
        </w:rPr>
        <w:t>https://pubmed.ncbi.nlm.nih.gov/42637918/</w:t>
      </w:r>
    </w:p>
    <w:p>
      <w:pPr>
        <w:pStyle w:val="Heading2"/>
      </w:pPr>
      <w:r>
        <w:t>Produktivitäts-angepasste Lebenserwartung in Finnland: Normwerte für bezahlte und unbezahlte Arbeit</w:t>
      </w:r>
    </w:p>
    <w:p>
      <w:r>
        <w:rPr>
          <w:i/>
          <w:color w:val="666666"/>
          <w:sz w:val="18"/>
        </w:rPr>
        <w:t>Lavikainen P et al.  ·  Soc Sci Med  ·  20.08.2026  ·  PMID 42632184</w:t>
      </w:r>
    </w:p>
    <w:p>
      <w:r>
        <w:t>Bevölkerungssurvey von 3.644 finnischen Erwachsenen (Juni–August 2024, Alter 18–79 Jahre) zur Schätzung von Produktivitätsindizes nach Alter und Geschlecht für bezahlte und unbezahlte Arbeit.</w:t>
      </w:r>
    </w:p>
    <w:p>
      <w:r>
        <w:rPr>
          <w:b/>
        </w:rPr>
        <w:t xml:space="preserve">Ergebnis: </w:t>
      </w:r>
      <w:r>
        <w:t>Gewichteter Produktivitätsindex für Gesamtpopulation: 0,770 (Männer 0,780; Frauen 0,760). Produktivitäts-angepasste Lebenserwartung (PALE) mit Undiskontiert für Männer im Alter 20: 42,9 Jahre, mit 1,5%-Diskont 29,3 Jahre. Für Frauen: 46,1, 30,4 Jahre entsprechend. Erste bevölkerungsrepräsentative Normwerte für nordische Länder.</w:t>
      </w:r>
    </w:p>
    <w:p>
      <w:r>
        <w:rPr>
          <w:b/>
          <w:sz w:val="19"/>
        </w:rPr>
        <w:t xml:space="preserve">Übertragbarkeit: </w:t>
      </w:r>
      <w:r>
        <w:rPr>
          <w:sz w:val="19"/>
        </w:rPr>
        <w:t>Finnland – Nordeuropa mit vergleichbarem Sozialsystem; für Deutschland übertragbar auf Struktur, Finanzierung unterscheidet sich.</w:t>
      </w:r>
    </w:p>
    <w:p>
      <w:r>
        <w:rPr>
          <w:color w:val="5A7D3A"/>
          <w:sz w:val="18"/>
        </w:rPr>
        <w:t>https://pubmed.ncbi.nlm.nih.gov/42632184/</w:t>
      </w:r>
    </w:p>
    <w:p>
      <w:pPr>
        <w:pStyle w:val="Heading1"/>
      </w:pPr>
      <w:r>
        <w:t>Aufgenommen am 24.09.2026</w:t>
      </w:r>
    </w:p>
    <w:p>
      <w:pPr>
        <w:pStyle w:val="Heading2"/>
      </w:pPr>
      <w:r>
        <w:t>Mitochondriale Dynamik im Altern: Ansätze zur Prävention von Herz- und Hirnerkrankungen</w:t>
      </w:r>
    </w:p>
    <w:p>
      <w:r>
        <w:rPr>
          <w:i/>
          <w:color w:val="666666"/>
          <w:sz w:val="18"/>
        </w:rPr>
        <w:t>Yin Y et al.  ·  Aging Cell  ·  Okt. 2026  ·  PMID 42775668</w:t>
      </w:r>
    </w:p>
    <w:p>
      <w:r>
        <w:t>Narrativer Übersichtsartikel zu Rolle der Mitochondrialen Fusion und Fission bei altersbezogenen Herz- und Hirnerkrankungen (Alzheimer, Parkinson, atheroskleroische kardiozerebrovale Erkrankungen) und therapeutischen Strategien (Ausdauertraining, Metformin, Dapagliflozin, Irbesartan, TCM-Komponenten).</w:t>
      </w:r>
    </w:p>
    <w:p>
      <w:r>
        <w:rPr>
          <w:b/>
        </w:rPr>
        <w:t xml:space="preserve">Ergebnis: </w:t>
      </w:r>
      <w:r>
        <w:t>Beeinträchtigte mitochondriale Dynamik liegt vielen altersassoziierten Krankheiten zugrunde; verschiedene Trainings- und Medikamentenansätze zeigen Potenzial zur Verbesserung von Herzgesundheit und Hirngesundheit durch Wiederherstellung mitochondrialer Plastizität; Mechanismen umfassen Verbesserung von Energiestoffwechsel und Reduktion von Entzündung und Seneszenz.</w:t>
      </w:r>
    </w:p>
    <w:p>
      <w:r>
        <w:rPr>
          <w:b/>
          <w:sz w:val="19"/>
        </w:rPr>
        <w:t xml:space="preserve">Übertragbarkeit: </w:t>
      </w:r>
      <w:r>
        <w:rPr>
          <w:sz w:val="19"/>
        </w:rPr>
        <w:t>Überwiegend präklinische und Tiermodelle; klinische Übertragbarkeit für ausgewählte Interventionen (Training, Metformin) gegeben.</w:t>
      </w:r>
    </w:p>
    <w:p>
      <w:r>
        <w:rPr>
          <w:color w:val="5A7D3A"/>
          <w:sz w:val="18"/>
        </w:rPr>
        <w:t>https://pubmed.ncbi.nlm.nih.gov/42775668/</w:t>
      </w:r>
    </w:p>
    <w:p>
      <w:pPr>
        <w:pStyle w:val="Heading2"/>
      </w:pPr>
      <w:r>
        <w:t>Einbindung Älterer in Versorgungsforschung: Praktische Erfolgsfaktoren aus Australien</w:t>
      </w:r>
    </w:p>
    <w:p>
      <w:r>
        <w:rPr>
          <w:i/>
          <w:color w:val="666666"/>
          <w:sz w:val="18"/>
        </w:rPr>
        <w:t>Thillainadesan J et al.  ·  Public Health Res Pract  ·  24.09.2026  ·  PMID 42767663</w:t>
      </w:r>
    </w:p>
    <w:p>
      <w:r>
        <w:t>Qualitative Studie zur Etablierung einer konsumentengesteuerten Forschungsberatungsgruppe in einem Altersbetreuungszentrum mit 8 älteren Teilnehmern (Australien); Dokumentation von Rekrutierungs-, Unterstützungs- und Beteiligungsprozessen.</w:t>
      </w:r>
    </w:p>
    <w:p>
      <w:r>
        <w:rPr>
          <w:b/>
        </w:rPr>
        <w:t xml:space="preserve">Ergebnis: </w:t>
      </w:r>
      <w:r>
        <w:t>Erfolgsfaktoren: Inklusives Auswahlverfahren, Honorierung, Barrierefreiheit, sensibilisierte Kommunikation, vertrauensvolle Umgebung, orientierungsgerichtete Einführung und Training; Teilnehmer berichtet positive Erfahrungen und waren motiviert durch Wunsch, ihre Lebenserfahrung zum Nutzen anderer einzubringen; Machbarkeit und Förderfähigkeit von Älteren-Einbindung demonstriert.</w:t>
      </w:r>
    </w:p>
    <w:p>
      <w:r>
        <w:rPr>
          <w:b/>
          <w:sz w:val="19"/>
        </w:rPr>
        <w:t xml:space="preserve">Übertragbarkeit: </w:t>
      </w:r>
      <w:r>
        <w:rPr>
          <w:sz w:val="19"/>
        </w:rPr>
        <w:t>Australische Versorgungsforschung, methodisch auf deutschsprachige Settings übertragbar.</w:t>
      </w:r>
    </w:p>
    <w:p>
      <w:r>
        <w:rPr>
          <w:color w:val="5A7D3A"/>
          <w:sz w:val="18"/>
        </w:rPr>
        <w:t>https://pubmed.ncbi.nlm.nih.gov/42767663/</w:t>
      </w:r>
    </w:p>
    <w:p>
      <w:pPr>
        <w:pStyle w:val="Heading2"/>
      </w:pPr>
      <w:r>
        <w:t>Grippe-Impfstoff höherer Dosierung senkt Hospitalisierungen bei gebrechlichen Älteren stärker</w:t>
      </w:r>
    </w:p>
    <w:p>
      <w:r>
        <w:rPr>
          <w:i/>
          <w:color w:val="666666"/>
          <w:sz w:val="18"/>
        </w:rPr>
        <w:t>Espersen C et al.  ·  Lancet Healthy Longev  ·  17.09.2026  ·  PMID 42753782</w:t>
      </w:r>
    </w:p>
    <w:p>
      <w:r>
        <w:t>Dänische randomisierte Studie zu Wirksamkeit hochdosierter versus Standarddosis-Influenzaimpfung bei 332.438 älteren Personen (≥65 Jahre), stratifiziert nach Gebrechlichkeitsrisiko mittels Hospital Frailty Risk Score.</w:t>
      </w:r>
    </w:p>
    <w:p>
      <w:r>
        <w:rPr>
          <w:b/>
        </w:rPr>
        <w:t xml:space="preserve">Ergebnis: </w:t>
      </w:r>
      <w:r>
        <w:t>Bei Personen mit hohem Gebrechlichkeitsrisiko zeigte die hochdosierte Impfung eine relative Wirksamkeit von 19,9 % (95%-KI −10,3 bis 42,1) gegen Hospitalisierungen durch Influenza/Lungenentzündung versus 0,2 % (−10,8 bis 10,2) bei niedrigem Risiko; die Interaktion war jedoch nicht signifikant kategorisch (p=0,17), sodass die Autoren die Ergebnisse als explorativ einstufen.</w:t>
      </w:r>
    </w:p>
    <w:p>
      <w:r>
        <w:rPr>
          <w:b/>
          <w:sz w:val="19"/>
        </w:rPr>
        <w:t xml:space="preserve">Übertragbarkeit: </w:t>
      </w:r>
      <w:r>
        <w:rPr>
          <w:sz w:val="19"/>
        </w:rPr>
        <w:t>Dänische Gesundheitsdaten, europäisches System mit vergleichbarer Impfstoffverfügbarkeit.</w:t>
      </w:r>
    </w:p>
    <w:p>
      <w:r>
        <w:rPr>
          <w:color w:val="5A7D3A"/>
          <w:sz w:val="18"/>
        </w:rPr>
        <w:t>https://pubmed.ncbi.nlm.nih.gov/42753782/</w:t>
      </w:r>
    </w:p>
    <w:p>
      <w:pPr>
        <w:pStyle w:val="Heading2"/>
      </w:pPr>
      <w:r>
        <w:t>Kurzzeitige Prehabilitation vor elektiver Operation senkt Pflegebedürftigkeit bei gebrechlichen Älteren nicht</w:t>
      </w:r>
    </w:p>
    <w:p>
      <w:r>
        <w:rPr>
          <w:i/>
          <w:color w:val="666666"/>
          <w:sz w:val="18"/>
        </w:rPr>
        <w:t>Spies C et al.  ·  Lancet Healthy Longev  ·  15.09.2026  ·  PMID 42743945</w:t>
      </w:r>
    </w:p>
    <w:p>
      <w:r>
        <w:t>Deutschlandweite randomisierte Studie an 1.199 Personen (Alter ≥70 Jahre) mit Frailty oder Prefrailty zu Effekt einer 3-wöchigen supervidierten multimodalen Prehabilitation auf Pflegabhängigkeit 12 Monate postoperativ.</w:t>
      </w:r>
    </w:p>
    <w:p>
      <w:r>
        <w:rPr>
          <w:b/>
        </w:rPr>
        <w:t xml:space="preserve">Ergebnis: </w:t>
      </w:r>
      <w:r>
        <w:t>Keine signifikanten Unterschiede zwischen Prehabilitation und Standard-Care in der Veränderung der Langzeitpflegeabhängigkeit (ordinale Skala 0–5): mittlere Differenz −0,1 (95%-KI −0,25 bis 0,07; p=0,26); 32 Sicherheitsereignisse in der Interventionsgruppe, meist nicht kausal bezogen.</w:t>
      </w:r>
    </w:p>
    <w:p>
      <w:r>
        <w:rPr>
          <w:b/>
          <w:sz w:val="19"/>
        </w:rPr>
        <w:t xml:space="preserve">Übertragbarkeit: </w:t>
      </w:r>
      <w:r>
        <w:rPr>
          <w:sz w:val="19"/>
        </w:rPr>
        <w:t>Deutsche Klinikdaten, G-BA-finanziert, direkt auf deutsches Gesundheitssystem übertragbar.</w:t>
      </w:r>
    </w:p>
    <w:p>
      <w:r>
        <w:rPr>
          <w:color w:val="5A7D3A"/>
          <w:sz w:val="18"/>
        </w:rPr>
        <w:t>https://pubmed.ncbi.nlm.nih.gov/42743945/</w:t>
      </w:r>
    </w:p>
    <w:p>
      <w:pPr>
        <w:pStyle w:val="Heading2"/>
      </w:pPr>
      <w:r>
        <w:t>Wissenslücken in geriatrischen Kompetenzen im DACH-Raum: Demenz, Depression, Sarkopenie prioritär</w:t>
      </w:r>
    </w:p>
    <w:p>
      <w:r>
        <w:rPr>
          <w:i/>
          <w:color w:val="666666"/>
          <w:sz w:val="18"/>
        </w:rPr>
        <w:t>Honegger M et al.  ·  Z Gerontol Geriatr  ·  07.09.2026  ·  PMID 42704433</w:t>
      </w:r>
    </w:p>
    <w:p>
      <w:r>
        <w:t>Sekundäranalyse einer europäischen Online-Befragung: 291 Gesundheitsfachkräfte aus Deutschland, Österreich und der Schweiz wurden zu Selbsteinschätzung geriatrischer Kompetenz und Fortbildungsbedarf befragt und mit 5.134 Fachkräften aus übrigen europäischen Ländern verglichen.</w:t>
      </w:r>
    </w:p>
    <w:p>
      <w:r>
        <w:rPr>
          <w:b/>
        </w:rPr>
        <w:t xml:space="preserve">Ergebnis: </w:t>
      </w:r>
      <w:r>
        <w:t>DACH-Fachkräfte schätzten ihre geriatrischen Kenntnisse höher ein als Kollegen anderswo, zeigten aber substantielle Lücken in Demenz, Depression, chronischen Schmerzen, kognitiven Screenings und Sarkopenie; Fortbildungsbedarf überstieg selbst eingeschätzte Kompetenz in allen Ländern.</w:t>
      </w:r>
    </w:p>
    <w:p>
      <w:r>
        <w:rPr>
          <w:b/>
          <w:sz w:val="19"/>
        </w:rPr>
        <w:t xml:space="preserve">Übertragbarkeit: </w:t>
      </w:r>
      <w:r>
        <w:rPr>
          <w:sz w:val="19"/>
        </w:rPr>
        <w:t>DACH-Umfrage mit direktem Bezug zu deutschem, österreichischem und Schweizer Gesundheitswesen.</w:t>
      </w:r>
    </w:p>
    <w:p>
      <w:r>
        <w:rPr>
          <w:color w:val="5A7D3A"/>
          <w:sz w:val="18"/>
        </w:rPr>
        <w:t>https://pubmed.ncbi.nlm.nih.gov/42704433/</w:t>
      </w:r>
    </w:p>
    <w:p>
      <w:pPr>
        <w:pStyle w:val="Heading2"/>
      </w:pPr>
      <w:r>
        <w:t>Multikomponenten-Delirprogramme reduzieren Delirinzidenz um 44 % – Evidenzbasis und Implementierung</w:t>
      </w:r>
    </w:p>
    <w:p>
      <w:r>
        <w:rPr>
          <w:i/>
          <w:color w:val="666666"/>
          <w:sz w:val="18"/>
        </w:rPr>
        <w:t>Thomas C et al.  ·  Z Gerontol Geriatr  ·  25.08.2026  ·  PMID 42640287</w:t>
      </w:r>
    </w:p>
    <w:p>
      <w:r>
        <w:t>Narrativer Übersichtsartikel mit Darstellung der Evidenz zu nichtpharmakologischen Multikomponenten-Interventionen (HELP, ABCDE-Bundle, CHOPS, AKTIVER) in der Delirprävention und des Delirmanagements bei älteren Patienten.</w:t>
      </w:r>
    </w:p>
    <w:p>
      <w:r>
        <w:rPr>
          <w:b/>
        </w:rPr>
        <w:t xml:space="preserve">Ergebnis: </w:t>
      </w:r>
      <w:r>
        <w:t>Zwei 2026 publizierte Metaanalysen zeigen, dass multikomponentale nichtpharmakologische Programme die Delirinzidenz um 44 % reduzierten und Dauer bestehender Delire signifikant verkürzten; pharmakologische Strategien zeigten keinen konsistenten Nutzen außer Dexmedetomidin in ausgewählten perioperativen Settings; S3-Leitlinie empfiehlt strukturierte, interprofessionelle, personenzentrierte Delirprogramme als Standard.</w:t>
      </w:r>
    </w:p>
    <w:p>
      <w:r>
        <w:rPr>
          <w:b/>
          <w:sz w:val="19"/>
        </w:rPr>
        <w:t xml:space="preserve">Übertragbarkeit: </w:t>
      </w:r>
      <w:r>
        <w:rPr>
          <w:sz w:val="19"/>
        </w:rPr>
        <w:t>Deutsche S3-Leitlinie und deutsche Studienprogramme (AKTIVER), direkt übertragbar auf deutsches Versorgungssystem.</w:t>
      </w:r>
    </w:p>
    <w:p>
      <w:r>
        <w:rPr>
          <w:color w:val="5A7D3A"/>
          <w:sz w:val="18"/>
        </w:rPr>
        <w:t>https://pubmed.ncbi.nlm.nih.gov/42640287/</w:t>
      </w:r>
    </w:p>
    <w:p>
      <w:pPr>
        <w:pStyle w:val="Heading1"/>
      </w:pPr>
      <w:r>
        <w:t>Aufgenommen am 23.09.2026</w:t>
      </w:r>
    </w:p>
    <w:p>
      <w:pPr>
        <w:pStyle w:val="Heading2"/>
      </w:pPr>
      <w:r>
        <w:t>Todesursachen im Lebensverlauf in Südostasien: regionale Ungleichgewichte 2023</w:t>
      </w:r>
    </w:p>
    <w:p>
      <w:r>
        <w:rPr>
          <w:i/>
          <w:color w:val="666666"/>
          <w:sz w:val="18"/>
        </w:rPr>
        <w:t>GBD 2023 ASEAN Causes of Death Collaborators  ·  Lancet Public Health  ·  Okt. 2026  ·  PMID 42772298</w:t>
      </w:r>
    </w:p>
    <w:p>
      <w:r>
        <w:t>GBD-2023-Analyse der Todesursachen und Lebenserwartung von Geburt bis 70 Jahre in elf ASEAN-Ländern, stratifiziert nach Alter und Geschlecht.</w:t>
      </w:r>
    </w:p>
    <w:p>
      <w:r>
        <w:rPr>
          <w:b/>
        </w:rPr>
        <w:t xml:space="preserve">Ergebnis: </w:t>
      </w:r>
      <w:r>
        <w:t>Regionale Lebenserwartung 2023: 70,1 Jahre Männer (95%-UI 69,6–70,7), 76,2 Jahre Frauen (75,7–76,7); Range 62,1 Jahre (Myanmar, Männer) bis 87,5 Jahre (Singapur, Frauen). Unfallverletzungen führend in Adoleszenz/frühem Erwachsenenalter; nicht-übertragbare Krankheiten dominant in mittlerem Alter. Tabakkonsum dominierender Risikofaktor bei Männern, Hypertonie bei Frauen.</w:t>
      </w:r>
    </w:p>
    <w:p>
      <w:r>
        <w:rPr>
          <w:b/>
          <w:sz w:val="19"/>
        </w:rPr>
        <w:t xml:space="preserve">Übertragbarkeit: </w:t>
      </w:r>
      <w:r>
        <w:rPr>
          <w:sz w:val="19"/>
        </w:rPr>
        <w:t>Südostasien, breite Systeme mit unterschiedlicher Infrastruktur – Befunde zu Risiken und Disparitäten sind relevant</w:t>
      </w:r>
    </w:p>
    <w:p>
      <w:r>
        <w:rPr>
          <w:color w:val="5A7D3A"/>
          <w:sz w:val="18"/>
        </w:rPr>
        <w:t>https://pubmed.ncbi.nlm.nih.gov/42772298/</w:t>
      </w:r>
    </w:p>
    <w:p>
      <w:pPr>
        <w:pStyle w:val="Heading2"/>
      </w:pPr>
      <w:r>
        <w:t>Institutionelles geriatrisches Versorgungsmodell in Mexiko: GeriatrIMSS-Struktur und Ergebnisse</w:t>
      </w:r>
    </w:p>
    <w:p>
      <w:r>
        <w:rPr>
          <w:i/>
          <w:color w:val="666666"/>
          <w:sz w:val="18"/>
        </w:rPr>
        <w:t>Medina-Chávez JH et al.  ·  Rev Med Inst Mex Seguro Soc  ·  02.09.2026  ·  PMID 42771824</w:t>
      </w:r>
    </w:p>
    <w:p>
      <w:r>
        <w:t>Beschreibung des mexikanischen GeriatrIMSS-Modells, eines umfassenden institutionellen Plans der Seguridad Social zur Reaktion auf Alterung, Multimorbidität und nicht-übertragbare Krankheiten bei älteren Versicherten.</w:t>
      </w:r>
    </w:p>
    <w:p>
      <w:r>
        <w:rPr>
          <w:b/>
        </w:rPr>
        <w:t xml:space="preserve">Ergebnis: </w:t>
      </w:r>
      <w:r>
        <w:t>GeriatrIMSS beruht auf vier Säulen: Prävention (PREVENIMSS), umfassende geriatrische Versorgung, Bildung und Forschung. Modell stärkt operative Kapazitäten, reorientiert Prozesse und Services für ältere Menschen, verbessert Versorgungsqualität und Zufriedenheit bei Nutzern und Angehörigen – positioniert Mexiko international an Vorderfront der Altenpflege.</w:t>
      </w:r>
    </w:p>
    <w:p>
      <w:r>
        <w:rPr>
          <w:b/>
          <w:sz w:val="19"/>
        </w:rPr>
        <w:t xml:space="preserve">Übertragbarkeit: </w:t>
      </w:r>
      <w:r>
        <w:rPr>
          <w:sz w:val="19"/>
        </w:rPr>
        <w:t>Mexiko, Sozialversicherungssystem nicht direkt vergleichbar – Strukturideen zu sektorenübergreifender Integration sind relevant</w:t>
      </w:r>
    </w:p>
    <w:p>
      <w:r>
        <w:rPr>
          <w:color w:val="5A7D3A"/>
          <w:sz w:val="18"/>
        </w:rPr>
        <w:t>https://pubmed.ncbi.nlm.nih.gov/42771824/</w:t>
      </w:r>
    </w:p>
    <w:p>
      <w:pPr>
        <w:pStyle w:val="Heading2"/>
      </w:pPr>
      <w:r>
        <w:t>Stärkenorientierte Geriatrische Assessments: Reserve statt nur Defizite dokumentieren</w:t>
      </w:r>
    </w:p>
    <w:p>
      <w:r>
        <w:rPr>
          <w:i/>
          <w:color w:val="666666"/>
          <w:sz w:val="18"/>
        </w:rPr>
        <w:t>Cooke J et al.  ·  Age Ageing  ·  04.09.2026  ·  PMID 42771779</w:t>
      </w:r>
    </w:p>
    <w:p>
      <w:r>
        <w:t>Konzeptionelle Analyse zur Geriatrischen Comprehensive Assessment (CGA) und Frailty-Modellen in der britischen Geriatrie, die Möglichkeit einer reserve-fokussierten Ergänzung zu defizitorientierten Assessments.</w:t>
      </w:r>
    </w:p>
    <w:p>
      <w:r>
        <w:rPr>
          <w:b/>
        </w:rPr>
        <w:t xml:space="preserve">Ergebnis: </w:t>
      </w:r>
      <w:r>
        <w:t>CGA dokumentiert vorwiegend Beeinträchtigungen, nicht Kapazität und Reserve. Diese Fokussierung auf Defizite prägt Patientenidentität negativ. Stärkenorientierte Ansätze können Prognostizierung verbessern, Interventionen personalisieren und Patientenagentur unterstützen – ohne Risikoaufmerksamkeit aufzugeben.</w:t>
      </w:r>
    </w:p>
    <w:p>
      <w:r>
        <w:rPr>
          <w:b/>
          <w:sz w:val="19"/>
        </w:rPr>
        <w:t xml:space="preserve">Übertragbarkeit: </w:t>
      </w:r>
      <w:r>
        <w:rPr>
          <w:sz w:val="19"/>
        </w:rPr>
        <w:t>Großbritannien, konzeptuell auf alle europäischen Systeme übertragbar</w:t>
      </w:r>
    </w:p>
    <w:p>
      <w:r>
        <w:rPr>
          <w:color w:val="5A7D3A"/>
          <w:sz w:val="18"/>
        </w:rPr>
        <w:t>https://pubmed.ncbi.nlm.nih.gov/42771779/</w:t>
      </w:r>
    </w:p>
    <w:p>
      <w:pPr>
        <w:pStyle w:val="Heading2"/>
      </w:pPr>
      <w:r>
        <w:t>Benzolexposition und Psychische Störungen: Biologisches Altern als Vermittler</w:t>
      </w:r>
    </w:p>
    <w:p>
      <w:r>
        <w:rPr>
          <w:i/>
          <w:color w:val="666666"/>
          <w:sz w:val="18"/>
        </w:rPr>
        <w:t>Wu Y et al.  ·  Ecotoxicol Environ Saf  ·  15.09.2026  ·  PMID 42705027</w:t>
      </w:r>
    </w:p>
    <w:p>
      <w:r>
        <w:t>UK-Biobank-Kohortenstudie an 410.207 Personen zur Assoziation zwischen langjähriger Benzolexposition und psychiatrischen Störungen, mit beschleunigtem Altern (PhenoAge) als potenzieller Mediator.</w:t>
      </w:r>
    </w:p>
    <w:p>
      <w:r>
        <w:rPr>
          <w:b/>
        </w:rPr>
        <w:t xml:space="preserve">Ergebnis: </w:t>
      </w:r>
      <w:r>
        <w:t>Über 14,8 Jahre Nachbeobachtung: 64.270 Personen entwickelten psychiatrische Störungen. Jede Interquartilbereichs-Steigerung Benzol assoziiert mit erhöhtem Risiko für jede psychiatrische Störung (HR 1,040, 95%-KI 1,028–1,053) und multiple psychiatrische Störungen (HR 1,062, 1,039–1,086). Beschleunigtes PhenoAge vermittelte 7,85% (95%-KI 5,57–11,12%) der Assoziation bei jeder psychiatrischen Störung, 17,26% (9,01–80,54%) bei multiplen Störungen.</w:t>
      </w:r>
    </w:p>
    <w:p>
      <w:r>
        <w:rPr>
          <w:b/>
          <w:sz w:val="19"/>
        </w:rPr>
        <w:t xml:space="preserve">Übertragbarkeit: </w:t>
      </w:r>
      <w:r>
        <w:rPr>
          <w:sz w:val="19"/>
        </w:rPr>
        <w:t>UK-Biobank, Umweltdatenverfügbarkeit und Versicherungssystem nicht direkt übertragbar – Expositions-Gesundheitsmechanismus ist relevant</w:t>
      </w:r>
    </w:p>
    <w:p>
      <w:r>
        <w:rPr>
          <w:color w:val="5A7D3A"/>
          <w:sz w:val="18"/>
        </w:rPr>
        <w:t>https://pubmed.ncbi.nlm.nih.gov/42705027/</w:t>
      </w:r>
    </w:p>
    <w:p>
      <w:pPr>
        <w:pStyle w:val="Heading2"/>
      </w:pPr>
      <w:r>
        <w:t>Mobilitätsverlust und Einsamkeit im Alter: Lebenslange Folgen trotz Erholung</w:t>
      </w:r>
    </w:p>
    <w:p>
      <w:r>
        <w:rPr>
          <w:i/>
          <w:color w:val="666666"/>
          <w:sz w:val="18"/>
        </w:rPr>
        <w:t>Augustsson E et al.  ·  J Gerontol B Psychol Sci Soc Sci  ·  04.09.2026  ·  PMID 42554850</w:t>
      </w:r>
    </w:p>
    <w:p>
      <w:r>
        <w:t>Europäische Längsschnitt-Kohortenstudie (SHARE) an 4.109 Personen ab 65 Jahren mit neu aufgetretenen Mobilitätseinschränkungen, wovon 2.018 innerhalb von 2 Jahren genasen, zum Verlauf von Einsamkeit bis 4 Jahre später.</w:t>
      </w:r>
    </w:p>
    <w:p>
      <w:r>
        <w:rPr>
          <w:b/>
        </w:rPr>
        <w:t xml:space="preserve">Ergebnis: </w:t>
      </w:r>
      <w:r>
        <w:t>Einsamkeit stieg nach Mobilitätsverlust an. Personen mit anhaltenden Einschränkungen zeigten Weiterzunahme; genesene Personen stabilisierten sich, kehrten aber nicht zu Vorniveaus zurück. Frühe Interventionen zur Begrenzung von Mobilitätseinschränkungen könnten nachfolgende Einsamkeit reduzieren.</w:t>
      </w:r>
    </w:p>
    <w:p>
      <w:r>
        <w:rPr>
          <w:b/>
          <w:sz w:val="19"/>
        </w:rPr>
        <w:t xml:space="preserve">Übertragbarkeit: </w:t>
      </w:r>
      <w:r>
        <w:rPr>
          <w:sz w:val="19"/>
        </w:rPr>
        <w:t>Schweden/SHARE-Daten, vergleichbare europäische Gesundheitssysteme</w:t>
      </w:r>
    </w:p>
    <w:p>
      <w:r>
        <w:rPr>
          <w:color w:val="5A7D3A"/>
          <w:sz w:val="18"/>
        </w:rPr>
        <w:t>https://pubmed.ncbi.nlm.nih.gov/42554850/</w:t>
      </w:r>
    </w:p>
    <w:p>
      <w:pPr>
        <w:pStyle w:val="Heading2"/>
      </w:pPr>
      <w:r>
        <w:t>Europäische Sozialversicherung unter Druck: Versorgungskapazität statt Finanzierung als Engpass</w:t>
      </w:r>
    </w:p>
    <w:p>
      <w:r>
        <w:rPr>
          <w:i/>
          <w:color w:val="666666"/>
          <w:sz w:val="18"/>
        </w:rPr>
        <w:t>Jones CH et al.  ·  Drug Discov Today  ·  20.07.2026  ·  PMID 42476293</w:t>
      </w:r>
    </w:p>
    <w:p>
      <w:r>
        <w:t>Perspektivartikel zu Herausforderungen der europäischen Sozialversicherung durch demografische Alterung, Multimorbidität und Polypharmazie, mit 24–36-Monats-Agenda für Systemreformen.</w:t>
      </w:r>
    </w:p>
    <w:p>
      <w:r>
        <w:rPr>
          <w:b/>
        </w:rPr>
        <w:t xml:space="preserve">Ergebnis: </w:t>
      </w:r>
      <w:r>
        <w:t>Längeres Leben führt zu Multimorbidität, Polypharmazie, Demenz, Mobilitätsverlust – Versorgungskapazität wird zum Engpass statt Finanzierbarkeit. Vier zentrale Reformmaßnahmen: (1) Professionalisierung der Langzeitpflegekräfte, (2) Apotheker-geführte Medikamentenüberprüfung, (3) Ausbau von Heim- und Übergangspflege, (4) integrierte Entlassungszusammenfassungen und Medikamentenlisten über Sektoren hinweg als Routine.</w:t>
      </w:r>
    </w:p>
    <w:p>
      <w:r>
        <w:rPr>
          <w:b/>
          <w:sz w:val="19"/>
        </w:rPr>
        <w:t xml:space="preserve">Übertragbarkeit: </w:t>
      </w:r>
      <w:r>
        <w:rPr>
          <w:sz w:val="19"/>
        </w:rPr>
        <w:t>Europa, konzeptuell auf deutsche Sozialversicherung direkt übertragbar</w:t>
      </w:r>
    </w:p>
    <w:p>
      <w:r>
        <w:rPr>
          <w:color w:val="5A7D3A"/>
          <w:sz w:val="18"/>
        </w:rPr>
        <w:t>https://pubmed.ncbi.nlm.nih.gov/42476293/</w:t>
      </w:r>
    </w:p>
    <w:p>
      <w:pPr>
        <w:pStyle w:val="Heading1"/>
      </w:pPr>
      <w:r>
        <w:t>Aufgenommen am 22.09.2026</w:t>
      </w:r>
    </w:p>
    <w:p>
      <w:pPr>
        <w:pStyle w:val="Heading2"/>
      </w:pPr>
      <w:r>
        <w:t>Instrumente zur Erfassung der intrinsic capacity im Alter: Scoping Review und Bewertung</w:t>
      </w:r>
    </w:p>
    <w:p>
      <w:r>
        <w:rPr>
          <w:i/>
          <w:color w:val="666666"/>
          <w:sz w:val="18"/>
        </w:rPr>
        <w:t>Henrotin Y et al.  ·  Age Ageing  ·  04.09.2026  ·  PMID 42765723</w:t>
      </w:r>
    </w:p>
    <w:p>
      <w:r>
        <w:t>Scoping Review identifizierte 61 validierte Instrumente zur Messung der intrinsic capacity (körperliche und mentale Fähigkeiten) älterer Erwachsener über fünf Domänen (kognitiv, kardiopulmonal, lokomotorerisch, psychisch, sensorisch).</w:t>
      </w:r>
    </w:p>
    <w:p>
      <w:r>
        <w:rPr>
          <w:b/>
        </w:rPr>
        <w:t xml:space="preserve">Ergebnis: </w:t>
      </w:r>
      <w:r>
        <w:t>Nur zwei Instrumente (GAD-7, EUROQOL-5D) erreichten maximale Expertenratings. Erhebliche Lücken bei der Erfassung sensorischer Fähigkeiten. Sehr wenige Instrumente waren für Erwachsene unter 60 Jahren geeignet. Heterogenität in Gültigkeit und Anwendbarkeit deutet auf Bedarf für entwicklung eines umfassenden, standardisierten Assessment-Tools hin.</w:t>
      </w:r>
    </w:p>
    <w:p>
      <w:r>
        <w:rPr>
          <w:b/>
          <w:sz w:val="19"/>
        </w:rPr>
        <w:t xml:space="preserve">Übertragbarkeit: </w:t>
      </w:r>
      <w:r>
        <w:rPr>
          <w:sz w:val="19"/>
        </w:rPr>
        <w:t>Europäische und nordamerikanische Kohorten; transferierbar auf deutschsprachige Versorgung</w:t>
      </w:r>
    </w:p>
    <w:p>
      <w:r>
        <w:rPr>
          <w:color w:val="5A7D3A"/>
          <w:sz w:val="18"/>
        </w:rPr>
        <w:t>https://pubmed.ncbi.nlm.nih.gov/42765723/</w:t>
      </w:r>
    </w:p>
    <w:p>
      <w:pPr>
        <w:pStyle w:val="Heading2"/>
      </w:pPr>
      <w:r>
        <w:t>Gefäßalterung: Funktionsmarker vorhersagen kardiovaskuläres Risiko unabhängig vom Alter</w:t>
      </w:r>
    </w:p>
    <w:p>
      <w:r>
        <w:rPr>
          <w:i/>
          <w:color w:val="666666"/>
          <w:sz w:val="18"/>
        </w:rPr>
        <w:t>Yang L et al.  ·  J Clin Hypertens (Greenwich)  ·  Sept. 2026  ·  PMID 42730543</w:t>
      </w:r>
    </w:p>
    <w:p>
      <w:r>
        <w:t>Querschnittsstudie an 3.354 chinesischen Erwachsenen (18–80 Jahre) untersuchte, ob Pulsdruckanalyse-Parameter (SEVR, Augmentationsdruck, Augmentationsindex) mit dem 10-Jahres-ASCVD-Risiko assoziiert sind.</w:t>
      </w:r>
    </w:p>
    <w:p>
      <w:r>
        <w:rPr>
          <w:b/>
        </w:rPr>
        <w:t xml:space="preserve">Ergebnis: </w:t>
      </w:r>
      <w:r>
        <w:t>SEVR, AP und Aix@75 korrelierten unabhängig mit geschätztem 10-Jahres-ASCVD-Risiko (alle p&lt;0,001). Das Modell erklärte zusätzliche Varianz über traditionelle Risikofaktoren hinaus. Funktionale hämodynamische Marker könnten Risikoschichtung in der Praxis verbessern.</w:t>
      </w:r>
    </w:p>
    <w:p>
      <w:r>
        <w:rPr>
          <w:b/>
          <w:sz w:val="19"/>
        </w:rPr>
        <w:t xml:space="preserve">Übertragbarkeit: </w:t>
      </w:r>
      <w:r>
        <w:rPr>
          <w:sz w:val="19"/>
        </w:rPr>
        <w:t>Chinesische Bevölkerungsdaten; Validierung in europäischen Kohorten notwendig vor Übernahme</w:t>
      </w:r>
    </w:p>
    <w:p>
      <w:r>
        <w:rPr>
          <w:color w:val="5A7D3A"/>
          <w:sz w:val="18"/>
        </w:rPr>
        <w:t>https://pubmed.ncbi.nlm.nih.gov/42730543/</w:t>
      </w:r>
    </w:p>
    <w:p>
      <w:pPr>
        <w:pStyle w:val="Heading2"/>
      </w:pPr>
      <w:r>
        <w:t>Regulierung kognitiver Kompetenz älterer Ärzte: Versorgungspolitische Analyse G7-Länder</w:t>
      </w:r>
    </w:p>
    <w:p>
      <w:r>
        <w:rPr>
          <w:i/>
          <w:color w:val="666666"/>
          <w:sz w:val="18"/>
        </w:rPr>
        <w:t>Potter M et al.  ·  JAMA Health Forum  ·  04.09.2026  ·  PMID 42726493</w:t>
      </w:r>
    </w:p>
    <w:p>
      <w:r>
        <w:t>Vergleichende Analyse von Regulierungsrichtlinien für altersbedingte kognitive Beeinträchtigung bei Ärzten in USA, Kanada und fünf anderen G7-Ländern.</w:t>
      </w:r>
    </w:p>
    <w:p>
      <w:r>
        <w:rPr>
          <w:b/>
        </w:rPr>
        <w:t xml:space="preserve">Ergebnis: </w:t>
      </w:r>
      <w:r>
        <w:t>Kein G7-Land hat standardisierte nationale Verfahren zur kognitiven Screening älterer Ärzte. Meisten Länder verlassen sich auf Selbstregulation und kollegiale Aufsicht. Ausnahmen in USA mit einzelnen Gesundheitssystemen mit obligatorischen altersabhängigen kognitiven Bewertungen. Im Kontrast: Richter, Piloten und Flugsicherung in allen G7-Ländern haben Altersgrenzen oder verpflichtende Tests. Keine empirischen Standards etabliert.</w:t>
      </w:r>
    </w:p>
    <w:p>
      <w:r>
        <w:rPr>
          <w:b/>
          <w:sz w:val="19"/>
        </w:rPr>
        <w:t xml:space="preserve">Übertragbarkeit: </w:t>
      </w:r>
      <w:r>
        <w:rPr>
          <w:sz w:val="19"/>
        </w:rPr>
        <w:t>Alle G7-Länder untersucht; direkt auf Deutschland übertragbar</w:t>
      </w:r>
    </w:p>
    <w:p>
      <w:r>
        <w:rPr>
          <w:color w:val="5A7D3A"/>
          <w:sz w:val="18"/>
        </w:rPr>
        <w:t>https://pubmed.ncbi.nlm.nih.gov/42726493/</w:t>
      </w:r>
    </w:p>
    <w:p>
      <w:pPr>
        <w:pStyle w:val="Heading2"/>
      </w:pPr>
      <w:r>
        <w:t>Blutdruckveränderungen in der Menopause: vergleichbare Muster zwischen Industrieländern und traditionellen Gesellschaften</w:t>
      </w:r>
    </w:p>
    <w:p>
      <w:r>
        <w:rPr>
          <w:i/>
          <w:color w:val="666666"/>
          <w:sz w:val="18"/>
        </w:rPr>
        <w:t>Getz MJ et al.  ·  Am J Biol Anthropol  ·  Juli 2026  ·  PMID 42482412</w:t>
      </w:r>
    </w:p>
    <w:p>
      <w:r>
        <w:t>Vergleich von Blutdrucktrends rund um die Menopause bei 5.570 Tsimane-Frauen (Bolivien) mit 6.861 US-Frauen aus NHANES.</w:t>
      </w:r>
    </w:p>
    <w:p>
      <w:r>
        <w:rPr>
          <w:b/>
        </w:rPr>
        <w:t xml:space="preserve">Ergebnis: </w:t>
      </w:r>
      <w:r>
        <w:t>Systolischer Blutdruck nach Menopause erhöht sich in beiden Populationen ähnlich (b=0,002, p&lt;0,001). Tsimane-Frauen zeigten schnelleren Anstieg mit Alter und weniger dramatischen diastolischen Rückgang. Östrogenkonzentrationen mediierten Effekte nicht. Blutdruckveränderungen in der Menopause sind trotz unterschiedlicher Risikoprofile universal.</w:t>
      </w:r>
    </w:p>
    <w:p>
      <w:r>
        <w:rPr>
          <w:b/>
          <w:sz w:val="19"/>
        </w:rPr>
        <w:t xml:space="preserve">Übertragbarkeit: </w:t>
      </w:r>
      <w:r>
        <w:rPr>
          <w:sz w:val="19"/>
        </w:rPr>
        <w:t>USA und Südamerika, aber universales biologisches Phänomen; epidemiologische Unterschiede relevant</w:t>
      </w:r>
    </w:p>
    <w:p>
      <w:r>
        <w:rPr>
          <w:color w:val="5A7D3A"/>
          <w:sz w:val="18"/>
        </w:rPr>
        <w:t>https://pubmed.ncbi.nlm.nih.gov/42482412/</w:t>
      </w:r>
    </w:p>
    <w:p>
      <w:pPr>
        <w:pStyle w:val="Heading2"/>
      </w:pPr>
      <w:r>
        <w:t>Auditorische Codierung mit Altern: Cochleäre Synaptopathie führt zu Diskriminationsverlust bei Hörstörung</w:t>
      </w:r>
    </w:p>
    <w:p>
      <w:r>
        <w:rPr>
          <w:i/>
          <w:color w:val="666666"/>
          <w:sz w:val="18"/>
        </w:rPr>
        <w:t>Wouters M et al.  ·  Hear Res  ·  18.07.2026  ·  PMID 42475780</w:t>
      </w:r>
    </w:p>
    <w:p>
      <w:r>
        <w:t>EEG-Studie an jüngeren und älteren Erwachsenen mit und ohne Hörstörung untersucht Phonem-Diskrimination und elektrophysiologische Marker der peripheren Codierung (Envelope-Following Responses).</w:t>
      </w:r>
    </w:p>
    <w:p>
      <w:r>
        <w:rPr>
          <w:b/>
        </w:rPr>
        <w:t xml:space="preserve">Ergebnis: </w:t>
      </w:r>
      <w:r>
        <w:t>RAM-EFR-Amplituden nahmen graduell mit Alter ab (konsistent mit Synaptopathie). Phonem-Kontrastdiskrimination verschlechterte sich bei hochfrequenter Codierung mit OHC-Verlust und Alter (p&lt;0,05), nicht aber bei niederfrequenter Codierung. EFR-Rückgang bei hochfrequenten Hinweisen ohne Wahrnehmungsverlust erklärt divergente Muster zwischen Elektrophysiologie und Verhalten. Frühere Diagnose versteckter Hörverluste möglich.</w:t>
      </w:r>
    </w:p>
    <w:p>
      <w:r>
        <w:rPr>
          <w:b/>
          <w:sz w:val="19"/>
        </w:rPr>
        <w:t xml:space="preserve">Übertragbarkeit: </w:t>
      </w:r>
      <w:r>
        <w:rPr>
          <w:sz w:val="19"/>
        </w:rPr>
        <w:t>Belgien und Deutschland; validierte psychophysiologische Methoden übertragbar</w:t>
      </w:r>
    </w:p>
    <w:p>
      <w:r>
        <w:rPr>
          <w:color w:val="5A7D3A"/>
          <w:sz w:val="18"/>
        </w:rPr>
        <w:t>https://pubmed.ncbi.nlm.nih.gov/42475780/</w:t>
      </w:r>
    </w:p>
    <w:p>
      <w:pPr>
        <w:pStyle w:val="Heading2"/>
      </w:pPr>
      <w:r>
        <w:t>Netzhautalterung: OCT-Biomarker zeigen oxidativen Stress in der Makula älterer Menschen</w:t>
      </w:r>
    </w:p>
    <w:p>
      <w:r>
        <w:rPr>
          <w:i/>
          <w:color w:val="666666"/>
          <w:sz w:val="18"/>
        </w:rPr>
        <w:t>Berkowitz BA et al.  ·  Invest Ophthalmol Vis Sci  ·  01.07.2026  ·  PMID 42474423</w:t>
      </w:r>
    </w:p>
    <w:p>
      <w:r>
        <w:t>Querschnittsstudie bei 25 jungen (20–30 Jahre) und 13 älteren (70–90 Jahre) Erwachsenen verglich OCT-basierte Metabolismus-Biomarker (ELM-RPE-Dicke, Band-2-Profilform) als Proxy für Retina-Alterung.</w:t>
      </w:r>
    </w:p>
    <w:p>
      <w:r>
        <w:rPr>
          <w:b/>
        </w:rPr>
        <w:t xml:space="preserve">Ergebnis: </w:t>
      </w:r>
      <w:r>
        <w:t>Ältere Erwachsene zeigten ELM-RPE-Kontraktion in Fovea und Parafovea (konsistent mit oxidativem Stress und verzögerter Dunkeladaptation aus vorherigen Studien). Band-2-Profilform unterschied sich nicht zwischen Altersgruppen. ELM-RPE-Kontraktion ist konsistent mit subretinalem oxidativen Stress und gestörter Retinoid-Signalisierung. Translationaler Ansatz OCT-Biomarker könnte nicht-invasive Überwachung der Netzhautalterung ermöglichen.</w:t>
      </w:r>
    </w:p>
    <w:p>
      <w:r>
        <w:rPr>
          <w:b/>
          <w:sz w:val="19"/>
        </w:rPr>
        <w:t xml:space="preserve">Übertragbarkeit: </w:t>
      </w:r>
      <w:r>
        <w:rPr>
          <w:sz w:val="19"/>
        </w:rPr>
        <w:t>USA; methodisch auf deutsche Augenkliniken übertragbar, aber klinische Validierung notwendig</w:t>
      </w:r>
    </w:p>
    <w:p>
      <w:r>
        <w:rPr>
          <w:color w:val="5A7D3A"/>
          <w:sz w:val="18"/>
        </w:rPr>
        <w:t>https://pubmed.ncbi.nlm.nih.gov/42474423/</w:t>
      </w:r>
    </w:p>
    <w:p>
      <w:pPr>
        <w:pStyle w:val="Heading1"/>
      </w:pPr>
      <w:r>
        <w:t>Aufgenommen am 21.09.2026</w:t>
      </w:r>
    </w:p>
    <w:p>
      <w:pPr>
        <w:pStyle w:val="Heading2"/>
      </w:pPr>
      <w:r>
        <w:t>Hörtechnik und Lebensqualität im höheren Alter nach Cochlea-Implantat</w:t>
      </w:r>
    </w:p>
    <w:p>
      <w:r>
        <w:rPr>
          <w:i/>
          <w:color w:val="666666"/>
          <w:sz w:val="18"/>
        </w:rPr>
        <w:t>Deniz H  ·  J Am Acad Audiol  ·  01.07.2026  ·  PMID 42763618</w:t>
      </w:r>
    </w:p>
    <w:p>
      <w:r>
        <w:t>Vergleichsstudie jüngerer (40–59 J.) und älterer (≥60 J.) Patienten mit Cochlea-Implantaten zu Hörtauglichkeit und Lebensqualität.</w:t>
      </w:r>
    </w:p>
    <w:p>
      <w:r>
        <w:rPr>
          <w:b/>
        </w:rPr>
        <w:t xml:space="preserve">Ergebnis: </w:t>
      </w:r>
      <w:r>
        <w:t>Ältere Patienten zeigten signifikant schlechtere Hörtests (p&lt;0,05) und niedrigere Werte in allen WHOQOL-BREF-Dimensionen (p&lt;0,05); keine Unterschiede in Depression (p=0,198). Depressionsebenen unterschieden sich nicht, was darauf hindeutet, dass psychische Anpassung dem Hörverlust voraus ist.</w:t>
      </w:r>
    </w:p>
    <w:p>
      <w:r>
        <w:rPr>
          <w:b/>
          <w:sz w:val="19"/>
        </w:rPr>
        <w:t xml:space="preserve">Übertragbarkeit: </w:t>
      </w:r>
      <w:r>
        <w:rPr>
          <w:sz w:val="19"/>
        </w:rPr>
        <w:t>Türkei – vergleichbares Audiologen-System, aber Implantationsrichtlinien können regional variieren; Versorgungsansatz übertragbar.</w:t>
      </w:r>
    </w:p>
    <w:p>
      <w:r>
        <w:rPr>
          <w:color w:val="5A7D3A"/>
          <w:sz w:val="18"/>
        </w:rPr>
        <w:t>https://pubmed.ncbi.nlm.nih.gov/42763618/</w:t>
      </w:r>
    </w:p>
    <w:p>
      <w:pPr>
        <w:pStyle w:val="Heading2"/>
      </w:pPr>
      <w:r>
        <w:t>Frailty bei Kindern mit chronischer Nierenerkrankung – Reversibilität als klinisches Fenster</w:t>
      </w:r>
    </w:p>
    <w:p>
      <w:r>
        <w:rPr>
          <w:i/>
          <w:color w:val="666666"/>
          <w:sz w:val="18"/>
        </w:rPr>
        <w:t>Chan EY et al.  ·  Kidney Int  ·  Okt. 2026  ·  PMID 42760017</w:t>
      </w:r>
    </w:p>
    <w:p>
      <w:r>
        <w:t>Kommentar zur Unterscheidung pädiatrischer Frailty von adulter Gebrechlichkeit und zum Potenzial, durch frühe Erkennung und multidisziplinäre Intervention die Entwicklung wiederherzustellen.</w:t>
      </w:r>
    </w:p>
    <w:p>
      <w:r>
        <w:rPr>
          <w:b/>
        </w:rPr>
        <w:t xml:space="preserve">Ergebnis: </w:t>
      </w:r>
      <w:r>
        <w:t>Im Gegensatz zu Erwachsenen kann Frailty bei Kindern mit chronischer Nierenerkrankung reversibel sein und sollte als Verlust von Entwicklungspotenzial statt Funktionsverlust verstanden werden. Frühe standardisierte Screening und Intervention können Wachstum und Resilienz wiederherstellen.</w:t>
      </w:r>
    </w:p>
    <w:p>
      <w:r>
        <w:rPr>
          <w:b/>
          <w:sz w:val="19"/>
        </w:rPr>
        <w:t xml:space="preserve">Übertragbarkeit: </w:t>
      </w:r>
      <w:r>
        <w:rPr>
          <w:sz w:val="19"/>
        </w:rPr>
        <w:t>Grundlegende Konzepte übertragbar; Altersadaptation notwendig – deutsche Pädiatrie und Nephrologie relevant.</w:t>
      </w:r>
    </w:p>
    <w:p>
      <w:r>
        <w:rPr>
          <w:color w:val="5A7D3A"/>
          <w:sz w:val="18"/>
        </w:rPr>
        <w:t>https://pubmed.ncbi.nlm.nih.gov/42760017/</w:t>
      </w:r>
    </w:p>
    <w:p>
      <w:pPr>
        <w:pStyle w:val="Heading2"/>
      </w:pPr>
      <w:r>
        <w:t>Selbstmitgefühl und Selbstwirksamkeit als Prädiktoren für Gesundheitsverhalten und Lebensqualität im Alter</w:t>
      </w:r>
    </w:p>
    <w:p>
      <w:r>
        <w:rPr>
          <w:i/>
          <w:color w:val="666666"/>
          <w:sz w:val="18"/>
        </w:rPr>
        <w:t>Alaca N et al.  ·  PLoS One  ·  16.09.2026  ·  PMID 42748085</w:t>
      </w:r>
    </w:p>
    <w:p>
      <w:r>
        <w:t>Querschnittstudie an 179 älteren Türken (≥65 J.) zu Assoziationen von Selbstmitgefühl, Selbstwirksamkeit mit Schmerz, Bewegungsachtsamkeit, Gesundheitsverhalten und Lebensqualität.</w:t>
      </w:r>
    </w:p>
    <w:p>
      <w:r>
        <w:rPr>
          <w:b/>
        </w:rPr>
        <w:t xml:space="preserve">Ergebnis: </w:t>
      </w:r>
      <w:r>
        <w:t>Selbstwirksamkeit sagte konsistent über alle Ergebnisse voraus: Im finalen Modell für Lebensqualität (R²=0,614) waren Selbstwirksamkeit (β=0,340), Schmerz (β=−0,346), Gesundheitsverantwortung (β=0,328) signifikant. Selbstmitgefühl war stärkster Prädiktor für Ernährung (β=0,436), Bewegungsachtsamkeit für Stressabbau (β=0,300).</w:t>
      </w:r>
    </w:p>
    <w:p>
      <w:r>
        <w:rPr>
          <w:b/>
          <w:sz w:val="19"/>
        </w:rPr>
        <w:t xml:space="preserve">Übertragbarkeit: </w:t>
      </w:r>
      <w:r>
        <w:rPr>
          <w:sz w:val="19"/>
        </w:rPr>
        <w:t>Türkei – Kultur und Versorgungsstruktur unterscheiden sich von Deutschland; psychosoziale Faktoren sind universell.</w:t>
      </w:r>
    </w:p>
    <w:p>
      <w:r>
        <w:rPr>
          <w:color w:val="5A7D3A"/>
          <w:sz w:val="18"/>
        </w:rPr>
        <w:t>https://pubmed.ncbi.nlm.nih.gov/42748085/</w:t>
      </w:r>
    </w:p>
    <w:p>
      <w:pPr>
        <w:pStyle w:val="Heading2"/>
      </w:pPr>
      <w:r>
        <w:t>Frailty-Dynamik und Herzinfarktrisiko bei älteren Diabetikern</w:t>
      </w:r>
    </w:p>
    <w:p>
      <w:r>
        <w:rPr>
          <w:i/>
          <w:color w:val="666666"/>
          <w:sz w:val="18"/>
        </w:rPr>
        <w:t>Li Y et al.  ·  Zhonghua Yu Fang Yi Xue Za Zhi  ·  06.09.2026  ·  PMID 42736150</w:t>
      </w:r>
    </w:p>
    <w:p>
      <w:r>
        <w:t>Zwei-Kohorten-Studie (China, England) zur Assoziation von Frailty-Übergängen mit kardiovaskulärem Risiko bei älteren Menschen mit Diabetes.</w:t>
      </w:r>
    </w:p>
    <w:p>
      <w:r>
        <w:rPr>
          <w:b/>
        </w:rPr>
        <w:t xml:space="preserve">Ergebnis: </w:t>
      </w:r>
      <w:r>
        <w:t>Im Vergleich zur Gruppe "robust→robust" zeigten "präfrail→frail" (HR 2,04; 95%CI 1,66–2,51) und "frail→frail" (HR 2,03; 95%CI 1,63–2,53) signifikant erhöhte Herzinfarktrisiken (p&lt;0,001). Assoziationen blieben unter Konkurrenzrisiko-Modellen robust. Frailty-Verschlechterung war unabhängig von Altersgruppe prädiktiv.</w:t>
      </w:r>
    </w:p>
    <w:p>
      <w:r>
        <w:rPr>
          <w:b/>
          <w:sz w:val="19"/>
        </w:rPr>
        <w:t xml:space="preserve">Übertragbarkeit: </w:t>
      </w:r>
      <w:r>
        <w:rPr>
          <w:sz w:val="19"/>
        </w:rPr>
        <w:t>Zwei-Länder-Meta-Analyse (China, UK), aber Diabetes-Prävalenz und Management unterscheiden sich; Frailty-Messung ist system-übertragbar.</w:t>
      </w:r>
    </w:p>
    <w:p>
      <w:r>
        <w:rPr>
          <w:color w:val="5A7D3A"/>
          <w:sz w:val="18"/>
        </w:rPr>
        <w:t>https://pubmed.ncbi.nlm.nih.gov/42736150/</w:t>
      </w:r>
    </w:p>
    <w:p>
      <w:pPr>
        <w:pStyle w:val="Heading2"/>
      </w:pPr>
      <w:r>
        <w:t>Immunseneszenz modifiziert strahleninduzierte Antitumorimmunität im älteren Alter</w:t>
      </w:r>
    </w:p>
    <w:p>
      <w:r>
        <w:rPr>
          <w:i/>
          <w:color w:val="666666"/>
          <w:sz w:val="18"/>
        </w:rPr>
        <w:t>Arnold CR et al.  ·  Front Immunol  ·  10.07.2026  ·  PMID 42500670</w:t>
      </w:r>
    </w:p>
    <w:p>
      <w:r>
        <w:t>Narrative Übersicht zur Rolle von Immunseneszenz bei der Abschwächung strahleninduzierter Anti-Tumor-Effekte im höheren Alter.</w:t>
      </w:r>
    </w:p>
    <w:p>
      <w:r>
        <w:rPr>
          <w:b/>
        </w:rPr>
        <w:t xml:space="preserve">Ergebnis: </w:t>
      </w:r>
      <w:r>
        <w:t>Immunseneszenz – charakterisiert durch reduzierte T-Zell-Responsivität, chronische Entzündung und schlechtere Koordination zwischen Immuneffektoren – vermindert wahrscheinlich die Anti-Tumor-Potenz der Strahlentherapie bei älteren Patienten. Die Autoren betonen, dass Biomarker der Immunseneszenz in die Therapieplanung integriert werden sollten.</w:t>
      </w:r>
    </w:p>
    <w:p>
      <w:r>
        <w:rPr>
          <w:b/>
          <w:sz w:val="19"/>
        </w:rPr>
        <w:t xml:space="preserve">Übertragbarkeit: </w:t>
      </w:r>
      <w:r>
        <w:rPr>
          <w:sz w:val="19"/>
        </w:rPr>
        <w:t>Europäische Perspektive (Austria, Germany); Immunseneszenz ist universell, aber Therapiezugang variiert mit Gesundheitssystem.</w:t>
      </w:r>
    </w:p>
    <w:p>
      <w:r>
        <w:rPr>
          <w:color w:val="5A7D3A"/>
          <w:sz w:val="18"/>
        </w:rPr>
        <w:t>https://pubmed.ncbi.nlm.nih.gov/42500670/</w:t>
      </w:r>
    </w:p>
    <w:p>
      <w:pPr>
        <w:pStyle w:val="Heading2"/>
      </w:pPr>
      <w:r>
        <w:t>Wachstumsmindset und Ausdauer als psychologische Ressourcen im Alter – soziale Muster in England</w:t>
      </w:r>
    </w:p>
    <w:p>
      <w:r>
        <w:rPr>
          <w:i/>
          <w:color w:val="666666"/>
          <w:sz w:val="18"/>
        </w:rPr>
        <w:t>Zaninotto P et al.  ·  J Gerontol B Psychol Sci Soc Sci  ·  04.09.2026  ·  PMID 42438156</w:t>
      </w:r>
    </w:p>
    <w:p>
      <w:r>
        <w:t>Analyse von Proxy-Indikatoren für Wachstumsmindset und Ausdauer (Grit) in der English Longitudinal Study of Ageing (n≥6000) zu Verteilung nach Alter, Sozioökonomie und Gesundheit.</w:t>
      </w:r>
    </w:p>
    <w:p>
      <w:r>
        <w:rPr>
          <w:b/>
        </w:rPr>
        <w:t xml:space="preserve">Ergebnis: </w:t>
      </w:r>
      <w:r>
        <w:t>Älteres Alter war mit niedrigerem Wachstumsmindset assoziiert, besonders in Bildungs- und Überzeugungsdomänen. Höhere Bildung, Beschäftigung und Vermögen waren mit günstigeren Profilen assoziiert. Einsamkeit und chronische Krankheit waren konsistent mit ungünstigeren Profilen verbunden; die Effekte waren domänenspezifisch, nicht universal.</w:t>
      </w:r>
    </w:p>
    <w:p>
      <w:r>
        <w:rPr>
          <w:b/>
          <w:sz w:val="19"/>
        </w:rPr>
        <w:t xml:space="preserve">Übertragbarkeit: </w:t>
      </w:r>
      <w:r>
        <w:rPr>
          <w:sz w:val="19"/>
        </w:rPr>
        <w:t>England – englischsprachige Gesellschaft, aber Sozialstruktur und Sicherungssystem unterscheiden; psychologische Konstrukte sind übertragbar.</w:t>
      </w:r>
    </w:p>
    <w:p>
      <w:r>
        <w:rPr>
          <w:color w:val="5A7D3A"/>
          <w:sz w:val="18"/>
        </w:rPr>
        <w:t>https://pubmed.ncbi.nlm.nih.gov/42438156/</w:t>
      </w:r>
    </w:p>
    <w:p>
      <w:pPr>
        <w:pStyle w:val="Heading2"/>
      </w:pPr>
      <w:r>
        <w:t>Xanthophyll-Carotenoid-Aufnahme und Netzhautgesundheit im Alter und Makuladegeneration</w:t>
      </w:r>
    </w:p>
    <w:p>
      <w:r>
        <w:rPr>
          <w:i/>
          <w:color w:val="666666"/>
          <w:sz w:val="18"/>
        </w:rPr>
        <w:t>Curcio CA et al.  ·  Invest Ophthalmol Vis Sci  ·  01.07.2026  ·  PMID 42411867</w:t>
      </w:r>
    </w:p>
    <w:p>
      <w:r>
        <w:t>Querschnittstudie an 369 Personen (≥63 J.) zur Assoziation von Lutein- und Zeaxanthin-Aufnahme (Diät + Supplemente), Plasmaspiegel und retinaler Pigmentdichte mit Alter und altersbedingter Makuladegeneration.</w:t>
      </w:r>
    </w:p>
    <w:p>
      <w:r>
        <w:rPr>
          <w:b/>
        </w:rPr>
        <w:t xml:space="preserve">Ergebnis: </w:t>
      </w:r>
      <w:r>
        <w:t>Zwischen Plasmaspiegel und macularem Pigment-Optischem-Volumen (MPOV) zeigten sich starke Korrelationen (r=0,41–0,67, p&lt;0,01). Patienten mit intermediärer AMD hatten höhere Supplementnutzung (56% vs. 10%), höhere Gesamtaufnahme (11,0±8,3 vs. 5,3±6,4 mg/d, p&lt;0,01) und MPOV (1,33±0,61 vs. 1,04±0,46). Diätaufnahme unterschied sich nicht zwischen Gruppen.</w:t>
      </w:r>
    </w:p>
    <w:p>
      <w:r>
        <w:rPr>
          <w:b/>
          <w:sz w:val="19"/>
        </w:rPr>
        <w:t xml:space="preserve">Übertragbarkeit: </w:t>
      </w:r>
      <w:r>
        <w:rPr>
          <w:sz w:val="19"/>
        </w:rPr>
        <w:t>USA – Nahrungsverfügbarkeit und Supplementierungskultur unterscheiden; aber Optik und Physiologie sind universal.</w:t>
      </w:r>
    </w:p>
    <w:p>
      <w:r>
        <w:rPr>
          <w:color w:val="5A7D3A"/>
          <w:sz w:val="18"/>
        </w:rPr>
        <w:t>https://pubmed.ncbi.nlm.nih.gov/42411867/</w:t>
      </w:r>
    </w:p>
    <w:p>
      <w:pPr>
        <w:pStyle w:val="Heading1"/>
      </w:pPr>
      <w:r>
        <w:t>Aufgenommen am 20.09.2026</w:t>
      </w:r>
    </w:p>
    <w:p>
      <w:pPr>
        <w:pStyle w:val="Heading2"/>
      </w:pPr>
      <w:r>
        <w:t>Exergaming mit Widerstandstraining verbessert Selbstwirksamkeit und Aktivität bei kognitiver Gebrechlichkeit</w:t>
      </w:r>
    </w:p>
    <w:p>
      <w:r>
        <w:rPr>
          <w:i/>
          <w:color w:val="666666"/>
          <w:sz w:val="18"/>
        </w:rPr>
        <w:t>Ning H et al.  ·  Zhong Nan Da Xue Xue Bao Yi Xue Ban  ·  28.07.2026  ·  PMID 42763302</w:t>
      </w:r>
    </w:p>
    <w:p>
      <w:r>
        <w:t>Randomisierte Studie zu 12-wöchigem Exergaming mit Elastikband-Training bei 79 älteren Erwachsenen mit kognitiver Frailty zur Verbesserung von Selbstwirksamkeit und körperlicher Aktivität.</w:t>
      </w:r>
    </w:p>
    <w:p>
      <w:r>
        <w:rPr>
          <w:b/>
        </w:rPr>
        <w:t xml:space="preserve">Ergebnis: </w:t>
      </w:r>
      <w:r>
        <w:t>Interventionsgruppe zeigte signifikant höhere Verbesserungen bei IPAQ-SF-Scores (MD=586,1 MET-min/Woche, 95%-KI 454,5–717,7) und Selbsteffektivität (MD=3,3, 95%-KI 2,4–4,2) vs. Kontrolle (beide p&lt;0,001). Trainingsadhärenz 86,5%. Qualitative Analyse identifizierte erhöhte Trainierbarkeit, positive Gesundheitswahrnehmung und verbesserte Sozialinteraktion.</w:t>
      </w:r>
    </w:p>
    <w:p>
      <w:r>
        <w:rPr>
          <w:b/>
          <w:sz w:val="19"/>
        </w:rPr>
        <w:t xml:space="preserve">Übertragbarkeit: </w:t>
      </w:r>
      <w:r>
        <w:rPr>
          <w:sz w:val="19"/>
        </w:rPr>
        <w:t>Chinesische Primar- und sekundäre Datenquellen; Design auf deutschsprachigen Kontext übertragbar.</w:t>
      </w:r>
    </w:p>
    <w:p>
      <w:r>
        <w:rPr>
          <w:color w:val="5A7D3A"/>
          <w:sz w:val="18"/>
        </w:rPr>
        <w:t>https://pubmed.ncbi.nlm.nih.gov/42763302/</w:t>
      </w:r>
    </w:p>
    <w:p>
      <w:pPr>
        <w:pStyle w:val="Heading2"/>
      </w:pPr>
      <w:r>
        <w:t>Luftfeuchte, Frailty und Schlaganfallrisiko im Alter: 7-Jahres-Kohortenstudie China</w:t>
      </w:r>
    </w:p>
    <w:p>
      <w:r>
        <w:rPr>
          <w:i/>
          <w:color w:val="666666"/>
          <w:sz w:val="18"/>
        </w:rPr>
        <w:t>Zhou Y et al.  ·  Zhong Nan Da Xue Xue Bao Yi Xue Ban  ·  28.07.2026  ·  PMID 42763297</w:t>
      </w:r>
    </w:p>
    <w:p>
      <w:r>
        <w:t>Prospektive Kohortenstudie (CHARLS) mit 19.582 chinesischen Älteren zum Zusammenhang zwischen Umgebungsfeuchte und Schlaganfallrisiko mit Frailty als Mediator.</w:t>
      </w:r>
    </w:p>
    <w:p>
      <w:r>
        <w:rPr>
          <w:b/>
        </w:rPr>
        <w:t xml:space="preserve">Ergebnis: </w:t>
      </w:r>
      <w:r>
        <w:t>Gegenüber niedriger Feuchte: mittlere Feuchte HR=1,119 (95%-KI 1,033–1,213), hohe Feuchte HR=1,279 (95%-KI 1,227–1,331) für neuen Schlaganfall (beide p&lt;0,01). Bei Männern ausgeprägter (hohe Feuchte: HR=1,352, 95%-KI 1,268–1,442). Frailty vermittelte 22,0% der Assoziation. Mediane Nachbeobachtung 7 Jahre, 1.235 Schlaganfälle (6,31%).</w:t>
      </w:r>
    </w:p>
    <w:p>
      <w:r>
        <w:rPr>
          <w:b/>
          <w:sz w:val="19"/>
        </w:rPr>
        <w:t xml:space="preserve">Übertragbarkeit: </w:t>
      </w:r>
      <w:r>
        <w:rPr>
          <w:sz w:val="19"/>
        </w:rPr>
        <w:t>CHARLS-Langzeitdaten aus China; Umwelt-Gebrechlichkeits-Pathomechanismus übertragbar.</w:t>
      </w:r>
    </w:p>
    <w:p>
      <w:r>
        <w:rPr>
          <w:color w:val="5A7D3A"/>
          <w:sz w:val="18"/>
        </w:rPr>
        <w:t>https://pubmed.ncbi.nlm.nih.gov/42763297/</w:t>
      </w:r>
    </w:p>
    <w:p>
      <w:pPr>
        <w:pStyle w:val="Heading2"/>
      </w:pPr>
      <w:r>
        <w:t>Fragmentierte Sedentarität und kardiovaskuläre Sterblichkeit: Gewonnene Lebensjahre durch Bewegungspausen</w:t>
      </w:r>
    </w:p>
    <w:p>
      <w:r>
        <w:rPr>
          <w:i/>
          <w:color w:val="666666"/>
          <w:sz w:val="18"/>
        </w:rPr>
        <w:t>Xing T et al.  ·  Zhong Nan Da Xue Xue Bao Yi Xue Ban  ·  28.07.2026  ·  PMID 42763296</w:t>
      </w:r>
    </w:p>
    <w:p>
      <w:r>
        <w:t>Prospektive Kohorte mit 89.010 UK-Biobank-Teilnehmern zum Zusammenhang zwischen Sedentärdauer/-fragmentierung und Sterblichkeit sowie Lebenserwartung.</w:t>
      </w:r>
    </w:p>
    <w:p>
      <w:r>
        <w:rPr>
          <w:b/>
        </w:rPr>
        <w:t xml:space="preserve">Ergebnis: </w:t>
      </w:r>
      <w:r>
        <w:t>Gegenüber geringster Sedentarität: ≥10 h/Tag Sitzen + wenig Pausen (Breaks &lt;12/Tag) mit HR=1,515 (95%-KI 1,380–1,663) für Gesamtsterblichkeit und HR=1,553 (95%-KI 1,325–1,820) für kardiovaskuläre Mortalität. Häufige Sitzpausen reduzierten Sterblichkeitsrisiko. Lebenserwartungsverlust im Alter 50: -2,77 Jahre (Männer, 95%-KI -3,39 bis -2,15) und -3,11 Jahre (Frauen, 95%-KI -3,79 bis -2,43) an kardiovaskulär-freien Jahren.</w:t>
      </w:r>
    </w:p>
    <w:p>
      <w:r>
        <w:rPr>
          <w:b/>
          <w:sz w:val="19"/>
        </w:rPr>
        <w:t xml:space="preserve">Übertragbarkeit: </w:t>
      </w:r>
      <w:r>
        <w:rPr>
          <w:sz w:val="19"/>
        </w:rPr>
        <w:t>UK-Daten mit wearables gemessen; Befund zur Bewegungsunterbrechung international anwendbar.</w:t>
      </w:r>
    </w:p>
    <w:p>
      <w:r>
        <w:rPr>
          <w:color w:val="5A7D3A"/>
          <w:sz w:val="18"/>
        </w:rPr>
        <w:t>https://pubmed.ncbi.nlm.nih.gov/42763296/</w:t>
      </w:r>
    </w:p>
    <w:p>
      <w:pPr>
        <w:pStyle w:val="Heading2"/>
      </w:pPr>
      <w:r>
        <w:t>Feinstaub und Frailty: PM₂,₅-Komponenten erhöhen Gebrechlichkeitsrisiko im Alter</w:t>
      </w:r>
    </w:p>
    <w:p>
      <w:r>
        <w:rPr>
          <w:i/>
          <w:color w:val="666666"/>
          <w:sz w:val="18"/>
        </w:rPr>
        <w:t>Liu Q et al.  ·  Zhonghua Liu Xing Bing Xue Za Zhi  ·  10.09.2026  ·  PMID 42763185</w:t>
      </w:r>
    </w:p>
    <w:p>
      <w:r>
        <w:t>Querschnittsstudie mit 1.875 älteren Personen in der Jing-Jin-Ji-Region zum Zusammenhang zwischen PM₂,₅-Exposition und Frailty-Index.</w:t>
      </w:r>
    </w:p>
    <w:p>
      <w:r>
        <w:rPr>
          <w:b/>
        </w:rPr>
        <w:t xml:space="preserve">Ergebnis: </w:t>
      </w:r>
      <w:r>
        <w:t>PM₂,₅ bei 90-Tage-Mittelung (lag090 d) assoziiert mit erhöhtem Frailty-Risiko: +1,30% pro IQR-Anstieg (95%-KI 0,29–2,31). Organische Kohlenstoffe (OC): +3,63% (95%-KI 1,17–6,09%), Elementares Kohlenstoff: +0,83% (95%-KI 0,45–1,21%), Kupfer: +1,50% (95%-KI 0,76–2,24%) pro IQR-Anstieg. Keine signifikanten Unterschiede nach Geschlecht, Alter oder Lebensstil.</w:t>
      </w:r>
    </w:p>
    <w:p>
      <w:r>
        <w:rPr>
          <w:b/>
          <w:sz w:val="19"/>
        </w:rPr>
        <w:t xml:space="preserve">Übertragbarkeit: </w:t>
      </w:r>
      <w:r>
        <w:rPr>
          <w:sz w:val="19"/>
        </w:rPr>
        <w:t>Chinesische Luftqualitätsdaten; Umweltbelastung-Gebrechlichkeits-Zusammenhang universal relevant.</w:t>
      </w:r>
    </w:p>
    <w:p>
      <w:r>
        <w:rPr>
          <w:color w:val="5A7D3A"/>
          <w:sz w:val="18"/>
        </w:rPr>
        <w:t>https://pubmed.ncbi.nlm.nih.gov/42763185/</w:t>
      </w:r>
    </w:p>
    <w:p>
      <w:pPr>
        <w:pStyle w:val="Heading2"/>
      </w:pPr>
      <w:r>
        <w:t>Ernährungsqualität und biologisches Alter: Zentrale Adiposität als Vermittler</w:t>
      </w:r>
    </w:p>
    <w:p>
      <w:r>
        <w:rPr>
          <w:i/>
          <w:color w:val="666666"/>
          <w:sz w:val="18"/>
        </w:rPr>
        <w:t>Qian Y  ·  Medicine (Baltimore)  ·  18.09.2026  ·  PMID 42760668</w:t>
      </w:r>
    </w:p>
    <w:p>
      <w:r>
        <w:t>Querschnittsstudie mit 12.511 US-Erwachsenen (≥20 Jahre) aus NHANES 2005–2010 zur Assoziation zwischen Ernährungsqualität und phänotypischer Altersbeschleunigung.</w:t>
      </w:r>
    </w:p>
    <w:p>
      <w:r>
        <w:rPr>
          <w:b/>
        </w:rPr>
        <w:t xml:space="preserve">Ergebnis: </w:t>
      </w:r>
      <w:r>
        <w:t>Pro 1-Punkt-Anstieg Healthy-Eating-Index-2015: OR=0,98 (95%-KI 0,97–0,98, p&lt;0,001) für beschleunigtes biologisches Altern. Waist-to-Height Ratio (WHtR) und Body Roundness Index (BRI) zeigten größte Mediationseffekte (29,23% bzw. 28,90%). Sensitivitätsanalysen bestätigten Robustheit.</w:t>
      </w:r>
    </w:p>
    <w:p>
      <w:r>
        <w:rPr>
          <w:b/>
          <w:sz w:val="19"/>
        </w:rPr>
        <w:t xml:space="preserve">Übertragbarkeit: </w:t>
      </w:r>
      <w:r>
        <w:rPr>
          <w:sz w:val="19"/>
        </w:rPr>
        <w:t>NHANES-Daten USA; Ernährungs-Adipositas-Alterungsweg prinzipiell universal.</w:t>
      </w:r>
    </w:p>
    <w:p>
      <w:r>
        <w:rPr>
          <w:color w:val="5A7D3A"/>
          <w:sz w:val="18"/>
        </w:rPr>
        <w:t>https://pubmed.ncbi.nlm.nih.gov/42760668/</w:t>
      </w:r>
    </w:p>
    <w:p>
      <w:pPr>
        <w:pStyle w:val="Heading2"/>
      </w:pPr>
      <w:r>
        <w:t>Risikofaktoren für Frailty bei älteren Krebspatienten: Systematische Übersicht</w:t>
      </w:r>
    </w:p>
    <w:p>
      <w:r>
        <w:rPr>
          <w:i/>
          <w:color w:val="666666"/>
          <w:sz w:val="18"/>
        </w:rPr>
        <w:t>Shubing F et al.  ·  BMC Geriatr  ·  18.09.2026  ·  PMID 42760535</w:t>
      </w:r>
    </w:p>
    <w:p>
      <w:r>
        <w:t>Systematische Übersicht von 30 Studien (2014–2025) zu Determinanten von Frailty bei älteren Krebspatienten, davon 26 Querschnitts- und 4 prospektive Kohortenstudien.</w:t>
      </w:r>
    </w:p>
    <w:p>
      <w:r>
        <w:rPr>
          <w:b/>
        </w:rPr>
        <w:t xml:space="preserve">Ergebnis: </w:t>
      </w:r>
      <w:r>
        <w:t>Risikofaktoren in 6 Kategorien identifiziert: krankheitsbezogen (Krebsart, fortgeschrittenes Stadium), physiologisch (Mangelernährung, Muskelabbau), psychologisch (Depression, kognitiver Verfall), Lebensstil (Bewegungsmangel), soziodemografisch (Isolation), therapiebedingt (Chemotherapie-Toxizität). Prospektive Evidenz limitiert (n=4 Studien); gefordert: stratifizierte Screening- und Interventionsstrategien.</w:t>
      </w:r>
    </w:p>
    <w:p>
      <w:r>
        <w:rPr>
          <w:b/>
          <w:sz w:val="19"/>
        </w:rPr>
        <w:t xml:space="preserve">Übertragbarkeit: </w:t>
      </w:r>
      <w:r>
        <w:rPr>
          <w:sz w:val="19"/>
        </w:rPr>
        <w:t>Überwiegend Hocheinkommensländer; Frailty-Krebsinteraktion im älteren Alter universell.</w:t>
      </w:r>
    </w:p>
    <w:p>
      <w:r>
        <w:rPr>
          <w:color w:val="5A7D3A"/>
          <w:sz w:val="18"/>
        </w:rPr>
        <w:t>https://pubmed.ncbi.nlm.nih.gov/42760535/</w:t>
      </w:r>
    </w:p>
    <w:p>
      <w:pPr>
        <w:pStyle w:val="Heading2"/>
      </w:pPr>
      <w:r>
        <w:t>Mesenchymale Stammzelltherapie bei Frailty: Systematische Übersicht mit Fokus auf Sicherheit und Mobilität</w:t>
      </w:r>
    </w:p>
    <w:p>
      <w:r>
        <w:rPr>
          <w:i/>
          <w:color w:val="666666"/>
          <w:sz w:val="18"/>
        </w:rPr>
        <w:t>Poutouri E et al.  ·  Int J Mol Sci  ·  25.08.2026  ·  PMID 42737497</w:t>
      </w:r>
    </w:p>
    <w:p>
      <w:r>
        <w:t>Systematische Übersicht von 3 randomisierten Studien (208 Teilnehmer, älter mit Frailty) zu Sicherheit und Wirksamkeit der intravenösen Stammzelltherapie auf funktionale Ergebnisse.</w:t>
      </w:r>
    </w:p>
    <w:p>
      <w:r>
        <w:rPr>
          <w:b/>
        </w:rPr>
        <w:t xml:space="preserve">Ergebnis: </w:t>
      </w:r>
      <w:r>
        <w:t>Keine schwerwiegenden behandlungsbezogenen Nebenwirkungen berichtet. Signale für Verbesserung: 6-Minuten-Gehtest nach 9 Monaten dosisabhängig erhöht; SPPB-, TUG- und Griffkraft-Verbesserungen in einzelnen Studien. Zirkulating pro-inflammatorische Zytokine reduziert, Lebensqualität verbessert. Heterogenität Stammzellquelle, Dosis und Follow-up; größere adequat-gepowerte Studien erforderlich.</w:t>
      </w:r>
    </w:p>
    <w:p>
      <w:r>
        <w:rPr>
          <w:b/>
          <w:sz w:val="19"/>
        </w:rPr>
        <w:t xml:space="preserve">Übertragbarkeit: </w:t>
      </w:r>
      <w:r>
        <w:rPr>
          <w:sz w:val="19"/>
        </w:rPr>
        <w:t>Vereinigte Staaten und Schweiz; Stammzelltherapie-Sicherheitsdaten relevant für prospektive europäische Studien.</w:t>
      </w:r>
    </w:p>
    <w:p>
      <w:r>
        <w:rPr>
          <w:color w:val="5A7D3A"/>
          <w:sz w:val="18"/>
        </w:rPr>
        <w:t>https://pubmed.ncbi.nlm.nih.gov/42737497/</w:t>
      </w:r>
    </w:p>
    <w:p>
      <w:pPr>
        <w:pStyle w:val="Heading1"/>
      </w:pPr>
      <w:r>
        <w:t>Aufgenommen am 19.09.2026</w:t>
      </w:r>
    </w:p>
    <w:p>
      <w:pPr>
        <w:pStyle w:val="Heading2"/>
      </w:pPr>
      <w:r>
        <w:t>Geriatrisches Assessment bei chronischer Nierenkrankheit und Frailty</w:t>
      </w:r>
    </w:p>
    <w:p>
      <w:r>
        <w:rPr>
          <w:i/>
          <w:color w:val="666666"/>
          <w:sz w:val="18"/>
        </w:rPr>
        <w:t>Nixon AC  ·  Kidney Int  ·  Okt. 2026  ·  PMID 42760022</w:t>
      </w:r>
    </w:p>
    <w:p>
      <w:r>
        <w:t>Kommentararbeit zur GOAL-Studie, die überprüfte, ob eine einzige geriatrische Konsultation ältere Patienten mit chronischer Nierenkrankheit und Frailty in ihren Behandlungszielen hilft.</w:t>
      </w:r>
    </w:p>
    <w:p>
      <w:r>
        <w:rPr>
          <w:b/>
        </w:rPr>
        <w:t xml:space="preserve">Ergebnis: </w:t>
      </w:r>
      <w:r>
        <w:t>Die Studie fand keine signifikante Verbesserung der Zielerreichung durch ein Konsultationsmodell. Personenzentrierte Versorgungsmodelle außerhalb von Einzelterminen und fortlaufende Neubewertung erfordern weitere Evaluierung.</w:t>
      </w:r>
    </w:p>
    <w:p>
      <w:r>
        <w:rPr>
          <w:b/>
          <w:sz w:val="19"/>
        </w:rPr>
        <w:t xml:space="preserve">Übertragbarkeit: </w:t>
      </w:r>
      <w:r>
        <w:rPr>
          <w:sz w:val="19"/>
        </w:rPr>
        <w:t>UK-Gesundheitssystem, Design auf europäische Versorgungsstrukturen übertragbar</w:t>
      </w:r>
    </w:p>
    <w:p>
      <w:r>
        <w:rPr>
          <w:color w:val="5A7D3A"/>
          <w:sz w:val="18"/>
        </w:rPr>
        <w:t>https://pubmed.ncbi.nlm.nih.gov/42760022/</w:t>
      </w:r>
    </w:p>
    <w:p>
      <w:pPr>
        <w:pStyle w:val="Heading2"/>
      </w:pPr>
      <w:r>
        <w:t>Verständnis von Frailty bei Kindern mit chronischer Nierenkrankheit</w:t>
      </w:r>
    </w:p>
    <w:p>
      <w:r>
        <w:rPr>
          <w:i/>
          <w:color w:val="666666"/>
          <w:sz w:val="18"/>
        </w:rPr>
        <w:t>Guha C et al.  ·  Kidney Int  ·  Okt. 2026  ·  PMID 42760016</w:t>
      </w:r>
    </w:p>
    <w:p>
      <w:r>
        <w:t>Qualitatives Perspektivwerk auf Frailty im Kindesalter bei chronischer Nierenkrankheit – Interpretation als Verlust von Entwicklungspotenzial statt funktionellem Rückgang im Gegensatz zu Frailty bei Älteren.</w:t>
      </w:r>
    </w:p>
    <w:p>
      <w:r>
        <w:rPr>
          <w:b/>
        </w:rPr>
        <w:t xml:space="preserve">Ergebnis: </w:t>
      </w:r>
      <w:r>
        <w:t>Zentrale Befunde: (1) Frailty bei Kindern ist (anders als bei Älteren) oft reversibel; (2) Frühe Identifikation durch altersgerechte Screening ermöglicht multidisziplinäre Intervention; (3) Kritisches Fenster zur Maximierung von Wachstum, Resilienz und Lebensfunktion in der Kindheit.</w:t>
      </w:r>
    </w:p>
    <w:p>
      <w:r>
        <w:rPr>
          <w:b/>
          <w:sz w:val="19"/>
        </w:rPr>
        <w:t xml:space="preserve">Übertragbarkeit: </w:t>
      </w:r>
      <w:r>
        <w:rPr>
          <w:sz w:val="19"/>
        </w:rPr>
        <w:t>Internationale Perspektive auf Frailty-Definition und Versorgungsmodelle, anwendbar auf deutsches Versorgungssystem</w:t>
      </w:r>
    </w:p>
    <w:p>
      <w:r>
        <w:rPr>
          <w:color w:val="5A7D3A"/>
          <w:sz w:val="18"/>
        </w:rPr>
        <w:t>https://pubmed.ncbi.nlm.nih.gov/42760016/</w:t>
      </w:r>
    </w:p>
    <w:p>
      <w:pPr>
        <w:pStyle w:val="Heading2"/>
      </w:pPr>
      <w:r>
        <w:t>Frailty-Index für Mortalitätsprognose nach Schlaganfall in kritischer Versorgung</w:t>
      </w:r>
    </w:p>
    <w:p>
      <w:r>
        <w:rPr>
          <w:i/>
          <w:color w:val="666666"/>
          <w:sz w:val="18"/>
        </w:rPr>
        <w:t>Gu G et al.  ·  Front Neurol  ·  03.09.2026  ·  PMID 42756253</w:t>
      </w:r>
    </w:p>
    <w:p>
      <w:r>
        <w:t>Verwendung eines laborgestützten Frailty-Index (FI-Lab) zur Vorhersage der 90-Tage-Mortalität nach akutem ischämischen Schlaganfall in der Intensivmedizin mit temporaler Validierung.</w:t>
      </w:r>
    </w:p>
    <w:p>
      <w:r>
        <w:rPr>
          <w:b/>
        </w:rPr>
        <w:t xml:space="preserve">Ergebnis: </w:t>
      </w:r>
      <w:r>
        <w:t>3.186 Patienten beim 24-h-Zeitpunkt (559 Todesfälle): FI-Lab verbesserte AUC von 0,774 auf 0,808 (Differenz 0,034, 95% CI 0,022–0,047; p&lt;0,001) und Brier-Score von 0,162 auf 0,152. Beim 72-h-Punkt: 2.918 Patienten (473 Ereignisse), AUC 0,752 → 0,791 mit FI-Lab.</w:t>
      </w:r>
    </w:p>
    <w:p>
      <w:r>
        <w:rPr>
          <w:b/>
          <w:sz w:val="19"/>
        </w:rPr>
        <w:t xml:space="preserve">Übertragbarkeit: </w:t>
      </w:r>
      <w:r>
        <w:rPr>
          <w:sz w:val="19"/>
        </w:rPr>
        <w:t>MIMIC-IV-Datenbank, generalisierbare ICU-Frailty-Messung, externe Validierung ausstehend</w:t>
      </w:r>
    </w:p>
    <w:p>
      <w:r>
        <w:rPr>
          <w:color w:val="5A7D3A"/>
          <w:sz w:val="18"/>
        </w:rPr>
        <w:t>https://pubmed.ncbi.nlm.nih.gov/42756253/</w:t>
      </w:r>
    </w:p>
    <w:p>
      <w:pPr>
        <w:pStyle w:val="Heading2"/>
      </w:pPr>
      <w:r>
        <w:t>Krankheitslast bei Multipler Sklerose in Italien 1990–2023</w:t>
      </w:r>
    </w:p>
    <w:p>
      <w:r>
        <w:rPr>
          <w:i/>
          <w:color w:val="666666"/>
          <w:sz w:val="18"/>
        </w:rPr>
        <w:t>Brigo F et al.  ·  Mult Scler Relat Disord  ·  28.08.2026  ·  PMID 42664643</w:t>
      </w:r>
    </w:p>
    <w:p>
      <w:r>
        <w:t>Analyse der zeitlichen Trends und regionalen Unterschiede in der Morbidität (Behinderung versus Sterblichkeit) von MS in Italien mittels Global-Burden-of-Disease-Daten.</w:t>
      </w:r>
    </w:p>
    <w:p>
      <w:r>
        <w:rPr>
          <w:b/>
        </w:rPr>
        <w:t xml:space="preserve">Ergebnis: </w:t>
      </w:r>
      <w:r>
        <w:t>MS-Krankheitslast stieg in allen Regionen; Verschiebung von Sterblichkeit zu Behinderung: YLL/YLD-Ratio sank überall, mit steilstem Anstieg in Sardinien und Süd+Sizilien. Höhere DALY-Raten in allen Regionen bei Frauen und Männern.</w:t>
      </w:r>
    </w:p>
    <w:p>
      <w:r>
        <w:rPr>
          <w:b/>
          <w:sz w:val="19"/>
        </w:rPr>
        <w:t xml:space="preserve">Übertragbarkeit: </w:t>
      </w:r>
      <w:r>
        <w:rPr>
          <w:sz w:val="19"/>
        </w:rPr>
        <w:t>Italien, vergleichbares europäisches Gesundheitssystem und Versorgungsinfrastruktur</w:t>
      </w:r>
    </w:p>
    <w:p>
      <w:r>
        <w:rPr>
          <w:color w:val="5A7D3A"/>
          <w:sz w:val="18"/>
        </w:rPr>
        <w:t>https://pubmed.ncbi.nlm.nih.gov/42664643/</w:t>
      </w:r>
    </w:p>
    <w:p>
      <w:pPr>
        <w:pStyle w:val="Heading2"/>
      </w:pPr>
      <w:r>
        <w:t>Geschlechtsspezifische Altersuhren und Stoffwechselveränderungen in Bevölkerungsphenome</w:t>
      </w:r>
    </w:p>
    <w:p>
      <w:r>
        <w:rPr>
          <w:i/>
          <w:color w:val="666666"/>
          <w:sz w:val="18"/>
        </w:rPr>
        <w:t>Li J et al.  ·  Nat Aging  ·  25.08.2026  ·  PMID 42642518</w:t>
      </w:r>
    </w:p>
    <w:p>
      <w:r>
        <w:t>Entwicklung und Validierung von Altersuhren (klinische und biologische Marker) in &gt;100.000 Chinesen (18–98 Jahre) mit Analyse von Geschlechtsunterschieden und modifizierbaren metabolischen Faktoren.</w:t>
      </w:r>
    </w:p>
    <w:p>
      <w:r>
        <w:rPr>
          <w:b/>
        </w:rPr>
        <w:t xml:space="preserve">Ergebnis: </w:t>
      </w:r>
      <w:r>
        <w:t>Divergente Alterungstrajektorien Männer vs. Frauen in mittlerem Alter konvergierten später. Akkumulation von Cholesterin, Triglyzeriden, Glukose, Harnsäure und Tumormalkeuren mit dem Altern. High-Fat-Diet-Reversierung zeigte Modifizierbarkeit metabolischer Belastung.</w:t>
      </w:r>
    </w:p>
    <w:p>
      <w:r>
        <w:rPr>
          <w:b/>
          <w:sz w:val="19"/>
        </w:rPr>
        <w:t xml:space="preserve">Übertragbarkeit: </w:t>
      </w:r>
      <w:r>
        <w:rPr>
          <w:sz w:val="19"/>
        </w:rPr>
        <w:t>China, große Kohorte, metabolische Befunde altersunabhängig übertragbar auf deutsches Setting</w:t>
      </w:r>
    </w:p>
    <w:p>
      <w:r>
        <w:rPr>
          <w:color w:val="5A7D3A"/>
          <w:sz w:val="18"/>
        </w:rPr>
        <w:t>https://pubmed.ncbi.nlm.nih.gov/42642518/</w:t>
      </w:r>
    </w:p>
    <w:p>
      <w:pPr>
        <w:pStyle w:val="Heading2"/>
      </w:pPr>
      <w:r>
        <w:t>Gewonnene Lebensjahre bei zufällig entdecktem Prostatakarzinom</w:t>
      </w:r>
    </w:p>
    <w:p>
      <w:r>
        <w:rPr>
          <w:i/>
          <w:color w:val="666666"/>
          <w:sz w:val="18"/>
        </w:rPr>
        <w:t>Falkenbach F et al.  ·  Prostate  ·  08.07.2026  ·  PMID 42418725</w:t>
      </w:r>
    </w:p>
    <w:p>
      <w:r>
        <w:t>Berechnung der verlorenen Lebensjahre (YLL) bei zufällig entdecktem Prostatakarzinom mittels SEER-Daten 2004–2021 und Vergleich mit bevölkerungsgestützten Überlebensstudien.</w:t>
      </w:r>
    </w:p>
    <w:p>
      <w:r>
        <w:rPr>
          <w:b/>
        </w:rPr>
        <w:t xml:space="preserve">Ergebnis: </w:t>
      </w:r>
      <w:r>
        <w:t>7.324 Patienten; Unterschied zu Bevölkerungskontroll: 0,23 verlorene Jahre (p&lt;0,001). Ohne Behandlung: 0,25 YLL; mit Behandlung: 0,18 YLL. Gleason 8–10 + T1b ohne Therapie: 3,02 YLL; Gleason ≤7 + T1a mit Therapie: keine signifikanten YLL.</w:t>
      </w:r>
    </w:p>
    <w:p>
      <w:r>
        <w:rPr>
          <w:b/>
          <w:sz w:val="19"/>
        </w:rPr>
        <w:t xml:space="preserve">Übertragbarkeit: </w:t>
      </w:r>
      <w:r>
        <w:rPr>
          <w:sz w:val="19"/>
        </w:rPr>
        <w:t>USA, SEER-Register, Unterschiede in Lebenserwartung und Behandlungsindikationen beachten</w:t>
      </w:r>
    </w:p>
    <w:p>
      <w:r>
        <w:rPr>
          <w:color w:val="5A7D3A"/>
          <w:sz w:val="18"/>
        </w:rPr>
        <w:t>https://pubmed.ncbi.nlm.nih.gov/42418725/</w:t>
      </w:r>
    </w:p>
    <w:p>
      <w:pPr>
        <w:pStyle w:val="Heading1"/>
      </w:pPr>
      <w:r>
        <w:t>Aufgenommen am 18.09.2026</w:t>
      </w:r>
    </w:p>
    <w:p>
      <w:pPr>
        <w:pStyle w:val="Heading2"/>
      </w:pPr>
      <w:r>
        <w:t>Kontrolltheorie des Alterns beschreibt sichere Dosierung und Sequenzierung geriatrischer Interventionen</w:t>
      </w:r>
    </w:p>
    <w:p>
      <w:r>
        <w:rPr>
          <w:i/>
          <w:color w:val="666666"/>
          <w:sz w:val="18"/>
        </w:rPr>
        <w:t>Zhavoronkov A et al.  ·  Aging (Albany NY)  ·  16.09.2026  ·  PMID 42754269</w:t>
      </w:r>
    </w:p>
    <w:p>
      <w:r>
        <w:t>Theoriearbeit entwickelt kontrolltheoretisches Rahmenwerk, das Altern als Verlust sicherer Kontrollierbarkeit definiert und präskriptive Dosierungs- und Sequenzierungsprotokolle für Geroprotektoren vorhersagt.</w:t>
      </w:r>
    </w:p>
    <w:p>
      <w:r>
        <w:rPr>
          <w:b/>
        </w:rPr>
        <w:t xml:space="preserve">Ergebnis: </w:t>
      </w:r>
      <w:r>
        <w:t>Biologisches Alter = minimale sichere Kontrollkosten für funktionale Wiederherstellung. Lie-Bracket-Analyse von 5-ODE-Modell zeigt Interventionsreihenfolge entscheidend. 20 falsfizierbare Vorhersagen; Kontrollwert-Reduktion prognostiziert translationalen Erfolg besser als Biomarker-Umkehr.</w:t>
      </w:r>
    </w:p>
    <w:p>
      <w:r>
        <w:rPr>
          <w:b/>
          <w:sz w:val="19"/>
        </w:rPr>
        <w:t xml:space="preserve">Übertragbarkeit: </w:t>
      </w:r>
      <w:r>
        <w:rPr>
          <w:sz w:val="19"/>
        </w:rPr>
        <w:t>Konzeptuelle, nicht-empirische Arbeit; Übertragbarkeit hängt von Validierung in Patientenkohorten ab</w:t>
      </w:r>
    </w:p>
    <w:p>
      <w:r>
        <w:rPr>
          <w:color w:val="5A7D3A"/>
          <w:sz w:val="18"/>
        </w:rPr>
        <w:t>https://pubmed.ncbi.nlm.nih.gov/42754269/</w:t>
      </w:r>
    </w:p>
    <w:p>
      <w:pPr>
        <w:pStyle w:val="Heading2"/>
      </w:pPr>
      <w:r>
        <w:t>Computer- und Smartphone-Nutzung reduzieren Frailty bei älteren Erwachsenen</w:t>
      </w:r>
    </w:p>
    <w:p>
      <w:r>
        <w:rPr>
          <w:i/>
          <w:color w:val="666666"/>
          <w:sz w:val="18"/>
        </w:rPr>
        <w:t>Hori N et al.  ·  Geriatr Gerontol Int  ·  Sept. 2026  ·  PMID 42753144</w:t>
      </w:r>
    </w:p>
    <w:p>
      <w:r>
        <w:t>Querschnittsstudie untersuchte, ob Gesundheitsinformationen über Computer und Smartphone mit Frailty assoziiert sind, gemessen durch Mediation über Health Literacy bei 451 älteren Menschen.</w:t>
      </w:r>
    </w:p>
    <w:p>
      <w:r>
        <w:rPr>
          <w:b/>
        </w:rPr>
        <w:t xml:space="preserve">Ergebnis: </w:t>
      </w:r>
      <w:r>
        <w:t>33,8 % nutzten Computer/Smartphone für Gesundheitsinformation. Frailty-Prävalenz 3,5 %. Mediation über Health Literacy signifikant: β = 0,323 (95%-KI: 0,084–0,698). Keine Assoziation mit nur Robustness vs. Präfrailty.</w:t>
      </w:r>
    </w:p>
    <w:p>
      <w:r>
        <w:rPr>
          <w:b/>
          <w:sz w:val="19"/>
        </w:rPr>
        <w:t xml:space="preserve">Übertragbarkeit: </w:t>
      </w:r>
      <w:r>
        <w:rPr>
          <w:sz w:val="19"/>
        </w:rPr>
        <w:t>Japan, vergleichbar mit deutschem Gesundheitswesen; einfacher Screening-Tool</w:t>
      </w:r>
    </w:p>
    <w:p>
      <w:r>
        <w:rPr>
          <w:color w:val="5A7D3A"/>
          <w:sz w:val="18"/>
        </w:rPr>
        <w:t>https://pubmed.ncbi.nlm.nih.gov/42753144/</w:t>
      </w:r>
    </w:p>
    <w:p>
      <w:pPr>
        <w:pStyle w:val="Heading2"/>
      </w:pPr>
      <w:r>
        <w:t>Frailty und Ernährungsstatus prägen Überleben älter Brustkrebspatientinnen</w:t>
      </w:r>
    </w:p>
    <w:p>
      <w:r>
        <w:rPr>
          <w:i/>
          <w:color w:val="666666"/>
          <w:sz w:val="18"/>
        </w:rPr>
        <w:t>Yang X et al.  ·  Cancer Med  ·  Sept. 2026  ·  PMID 42745681</w:t>
      </w:r>
    </w:p>
    <w:p>
      <w:r>
        <w:t>Retrospektive Studie entwickelte FINE Index (Frailty, Immunonutrition, TNM-Stadium) zur Vorhersage des Gesamtüberlebens bei 1.621 älteren Brustkrebspatientinnen (training n=1.132, validation n=489).</w:t>
      </w:r>
    </w:p>
    <w:p>
      <w:r>
        <w:rPr>
          <w:b/>
        </w:rPr>
        <w:t xml:space="preserve">Ergebnis: </w:t>
      </w:r>
      <w:r>
        <w:t>C-Index 0,767 (training), 0,739 (intern validation), 0,731 (extern validation). 3-, 5-, 10-Jahr-AUC &gt;0,7. Unabhängige Prädiktoren: Alter, PNI, TNM, mFI-5, Endokrintherapie. Besser als TNM allein.</w:t>
      </w:r>
    </w:p>
    <w:p>
      <w:r>
        <w:rPr>
          <w:b/>
          <w:sz w:val="19"/>
        </w:rPr>
        <w:t xml:space="preserve">Übertragbarkeit: </w:t>
      </w:r>
      <w:r>
        <w:rPr>
          <w:sz w:val="19"/>
        </w:rPr>
        <w:t>China (West-China Hospital), deutsche Kliniken nutzen ähnliche Frailty-Indices</w:t>
      </w:r>
    </w:p>
    <w:p>
      <w:r>
        <w:rPr>
          <w:color w:val="5A7D3A"/>
          <w:sz w:val="18"/>
        </w:rPr>
        <w:t>https://pubmed.ncbi.nlm.nih.gov/42745681/</w:t>
      </w:r>
    </w:p>
    <w:p>
      <w:pPr>
        <w:pStyle w:val="Heading2"/>
      </w:pPr>
      <w:r>
        <w:t>Orale Frailty korreliert mit BMI nur bei Sarkopenie-Risiko</w:t>
      </w:r>
    </w:p>
    <w:p>
      <w:r>
        <w:rPr>
          <w:i/>
          <w:color w:val="666666"/>
          <w:sz w:val="18"/>
        </w:rPr>
        <w:t>Hayase M et al.  ·  Nutrients  ·  28.08.2026  ·  PMID 42739007</w:t>
      </w:r>
    </w:p>
    <w:p>
      <w:r>
        <w:t>Querschnittstudie mit 3.829 älteren Japanern untersuchte Assoziation zwischen oraler Frailty und BMI-Kategorien, stratifiziert nach Sarkopenie-Status.</w:t>
      </w:r>
    </w:p>
    <w:p>
      <w:r>
        <w:rPr>
          <w:b/>
        </w:rPr>
        <w:t xml:space="preserve">Ergebnis: </w:t>
      </w:r>
      <w:r>
        <w:t>In Sarkopenie-Risikogruppe: Übergewicht OR 1,73 (95%-KI: 1,09–2,73), Untergewicht OR 1,44 (95%-KI: 1,07–1,95). Nicht-Sarkopenie-Gruppe: keine signifikante Assoziation.</w:t>
      </w:r>
    </w:p>
    <w:p>
      <w:r>
        <w:rPr>
          <w:b/>
          <w:sz w:val="19"/>
        </w:rPr>
        <w:t xml:space="preserve">Übertragbarkeit: </w:t>
      </w:r>
      <w:r>
        <w:rPr>
          <w:sz w:val="19"/>
        </w:rPr>
        <w:t>Japan, 80-Jährige; Frailty-Phenotyp mit praktischem Screening-Tool</w:t>
      </w:r>
    </w:p>
    <w:p>
      <w:r>
        <w:rPr>
          <w:color w:val="5A7D3A"/>
          <w:sz w:val="18"/>
        </w:rPr>
        <w:t>https://pubmed.ncbi.nlm.nih.gov/42739007/</w:t>
      </w:r>
    </w:p>
    <w:p>
      <w:pPr>
        <w:pStyle w:val="Heading2"/>
      </w:pPr>
      <w:r>
        <w:t>Funktionales Gehirnalter erfasst Heterogenität in Schizophrenien besser als strukturelle Parameter</w:t>
      </w:r>
    </w:p>
    <w:p>
      <w:r>
        <w:rPr>
          <w:i/>
          <w:color w:val="666666"/>
          <w:sz w:val="18"/>
        </w:rPr>
        <w:t>Volkmer S et al.  ·  Transl Psychiatry  ·  04.09.2026  ·  PMID 42697895</w:t>
      </w:r>
    </w:p>
    <w:p>
      <w:r>
        <w:t>Validierungsstudie untersuchte resting-state funktionales Gehirnalter (brain-age gap, BAG) bei Schizophreniespektrum-Störungen in vier Kohorten; innerhalb SSD assoziiert jüngeres Gehirnalter mit schlechterer Kognition.</w:t>
      </w:r>
    </w:p>
    <w:p>
      <w:r>
        <w:rPr>
          <w:b/>
        </w:rPr>
        <w:t xml:space="preserve">Ergebnis: </w:t>
      </w:r>
      <w:r>
        <w:t>SSD zeigte group-level BAG-Elevation 0,4–0,6. Innerhalb SSD: jüngeres Gehirnalter korreliert mit niedrigerer Kognition, längerer Krankheitsdauer, höheren neurologischen soft signs (NSS). Über 12–24 Wochen: BAG-Zunahme mit NSS-Motor-Reduktion assoziiert.</w:t>
      </w:r>
    </w:p>
    <w:p>
      <w:r>
        <w:rPr>
          <w:b/>
          <w:sz w:val="19"/>
        </w:rPr>
        <w:t xml:space="preserve">Übertragbarkeit: </w:t>
      </w:r>
      <w:r>
        <w:rPr>
          <w:sz w:val="19"/>
        </w:rPr>
        <w:t>Deutschland und Schweiz, multizentrisches Design; Biomarker vorhersagewert offen</w:t>
      </w:r>
    </w:p>
    <w:p>
      <w:r>
        <w:rPr>
          <w:color w:val="5A7D3A"/>
          <w:sz w:val="18"/>
        </w:rPr>
        <w:t>https://pubmed.ncbi.nlm.nih.gov/42697895/</w:t>
      </w:r>
    </w:p>
    <w:p>
      <w:pPr>
        <w:pStyle w:val="Heading2"/>
      </w:pPr>
      <w:r>
        <w:t>Wahrnehmung des Alterns bei Männern 2013–2023 stabil trotz Gesundheitsbewusstsein</w:t>
      </w:r>
    </w:p>
    <w:p>
      <w:r>
        <w:rPr>
          <w:i/>
          <w:color w:val="666666"/>
          <w:sz w:val="18"/>
        </w:rPr>
        <w:t>Bejda G et al.  ·  Adv Clin Exp Med  ·  Aug. 2026  ·  PMID 42543032</w:t>
      </w:r>
    </w:p>
    <w:p>
      <w:r>
        <w:t>Vergleichende Querschnittstudie an 2013 und 2023 hospitalisierten Männern aus Polen untersuchte Veränderungen in Alterswahrnehmung und Gesundheitsverhalten mittels standardisierter Instrumente.</w:t>
      </w:r>
    </w:p>
    <w:p>
      <w:r>
        <w:rPr>
          <w:b/>
        </w:rPr>
        <w:t xml:space="preserve">Ergebnis: </w:t>
      </w:r>
      <w:r>
        <w:t>80,5 % (2013) vs. 75,9 % (2023) mit psychischen Alterssymptomen. Sexuelle Dysfunktion 65,8 % vs. 63,3 %. Testosterone-Abnahme als Altersmerkmal erwartet. Hohe Selbstwirksamkeit in beiden Kohorten. Unzureichendes Alterswissen bleibt.</w:t>
      </w:r>
    </w:p>
    <w:p>
      <w:r>
        <w:rPr>
          <w:b/>
          <w:sz w:val="19"/>
        </w:rPr>
        <w:t xml:space="preserve">Übertragbarkeit: </w:t>
      </w:r>
      <w:r>
        <w:rPr>
          <w:sz w:val="19"/>
        </w:rPr>
        <w:t>Polen (Podlaskie), verwandter Sozialversicherungskontext</w:t>
      </w:r>
    </w:p>
    <w:p>
      <w:r>
        <w:rPr>
          <w:color w:val="5A7D3A"/>
          <w:sz w:val="18"/>
        </w:rPr>
        <w:t>https://pubmed.ncbi.nlm.nih.gov/42543032/</w:t>
      </w:r>
    </w:p>
    <w:p>
      <w:pPr>
        <w:pStyle w:val="Heading1"/>
      </w:pPr>
      <w:r>
        <w:t>Aufgenommen am 17.09.2026</w:t>
      </w:r>
    </w:p>
    <w:p>
      <w:pPr>
        <w:pStyle w:val="Heading2"/>
      </w:pPr>
      <w:r>
        <w:t>Frailty-Index (mFI-5) vorhersagekräftig für Komplikationen nach Amputation</w:t>
      </w:r>
    </w:p>
    <w:p>
      <w:r>
        <w:rPr>
          <w:i/>
          <w:color w:val="666666"/>
          <w:sz w:val="18"/>
        </w:rPr>
        <w:t>Ichikawa T et al.  ·  Eur J Orthop Surg Traumatol  ·  16.09.2026  ·  PMID 42747548</w:t>
      </w:r>
    </w:p>
    <w:p>
      <w:r>
        <w:t>USA-Traumakohorte (n=1.122, ≥18 Jahre, offene Unterschenkelbrüche mit Amputation; 2017–2021) zur Prognose von 30-Tage-Komplikationen via 5-Item Modified Frailty Index.</w:t>
      </w:r>
    </w:p>
    <w:p>
      <w:r>
        <w:rPr>
          <w:b/>
        </w:rPr>
        <w:t xml:space="preserve">Ergebnis: </w:t>
      </w:r>
      <w:r>
        <w:t>Pro Punkt mFI-5-Erhöhung: signifikant gestiegene Odds für Wundinfekt (OR 1,36), zerebrovaskuläres Ereignis (OR 2,93), Reintubation (OR 2,17), ICU-Aufnahme (OR 1,56) und Druckgeschwür (OR 1,68). mFI-5 unabhängiger Prädiktor nach Adjustierung für Alter, Geschlecht, ISS und andere Faktoren. Routinescreening empfohlen für Risikostratifizierung.</w:t>
      </w:r>
    </w:p>
    <w:p>
      <w:r>
        <w:rPr>
          <w:b/>
          <w:sz w:val="19"/>
        </w:rPr>
        <w:t xml:space="preserve">Übertragbarkeit: </w:t>
      </w:r>
      <w:r>
        <w:rPr>
          <w:sz w:val="19"/>
        </w:rPr>
        <w:t>USA-Traumasystem, aber Frailty-Assessment-Tool und Komplikationsdefinitionen international etabliert.</w:t>
      </w:r>
    </w:p>
    <w:p>
      <w:r>
        <w:rPr>
          <w:color w:val="5A7D3A"/>
          <w:sz w:val="18"/>
        </w:rPr>
        <w:t>https://pubmed.ncbi.nlm.nih.gov/42747548/</w:t>
      </w:r>
    </w:p>
    <w:p>
      <w:pPr>
        <w:pStyle w:val="Heading2"/>
      </w:pPr>
      <w:r>
        <w:t>Soziale Entfremdung bei kognitiver Gebrechlichkeit: Vier Subgruppen älterer Erwachsener</w:t>
      </w:r>
    </w:p>
    <w:p>
      <w:r>
        <w:rPr>
          <w:i/>
          <w:color w:val="666666"/>
          <w:sz w:val="18"/>
        </w:rPr>
        <w:t>Zhao S et al.  ·  Front Public Health  ·  01.09.2026  ·  PMID 42745907</w:t>
      </w:r>
    </w:p>
    <w:p>
      <w:r>
        <w:t>Chinesische Querschnittstudie (n=968, ≥60 Jahre, mit kognitiver Frailty) mittels latenter Profilanalyse zur Heterogenität sozialer Entfremdung.</w:t>
      </w:r>
    </w:p>
    <w:p>
      <w:r>
        <w:rPr>
          <w:b/>
        </w:rPr>
        <w:t xml:space="preserve">Ergebnis: </w:t>
      </w:r>
      <w:r>
        <w:t>Vier distinkte Profile identifiziert: „Soziale Anpassung</w:t>
      </w:r>
    </w:p>
    <w:p>
      <w:r>
        <w:rPr>
          <w:b/>
          <w:sz w:val="19"/>
        </w:rPr>
        <w:t xml:space="preserve">Übertragbarkeit: </w:t>
      </w:r>
      <w:r>
        <w:rPr>
          <w:sz w:val="19"/>
        </w:rPr>
        <w:t>China – andere Altersstruktur, aber relevante Versorgungsfrage zur kognitiven Frailty.</w:t>
      </w:r>
    </w:p>
    <w:p>
      <w:r>
        <w:rPr>
          <w:color w:val="5A7D3A"/>
          <w:sz w:val="18"/>
        </w:rPr>
        <w:t>https://pubmed.ncbi.nlm.nih.gov/42745907/</w:t>
      </w:r>
    </w:p>
    <w:p>
      <w:pPr>
        <w:pStyle w:val="Heading2"/>
      </w:pPr>
      <w:r>
        <w:t>Freiwillige Krankenversicherung senkt Frailty-Onset bei europäischen Älteren</w:t>
      </w:r>
    </w:p>
    <w:p>
      <w:r>
        <w:rPr>
          <w:i/>
          <w:color w:val="666666"/>
          <w:sz w:val="18"/>
        </w:rPr>
        <w:t>Sorrentino M et al.  ·  Front Public Health  ·  01.09.2026  ·  PMID 42745813</w:t>
      </w:r>
    </w:p>
    <w:p>
      <w:r>
        <w:t>Europäische Längsschnittstudie (SHARE 2013–2022, n=191.848, ≥50 Jahre) zur Assoziation zwischen freiwilliger Zusatzversicherung (VHI) und Frailty-Progression.</w:t>
      </w:r>
    </w:p>
    <w:p>
      <w:r>
        <w:rPr>
          <w:b/>
        </w:rPr>
        <w:t xml:space="preserve">Ergebnis: </w:t>
      </w:r>
      <w:r>
        <w:t>VHI mit niedrigeren Frailty-Scores assoziiert (Koeff. −0,056; 95%-KI −0,071 bis −0,041), stärkster Effekt in niedrigstem Einkommensquartil. Reduziertes Frailty-Onset-Risiko unter VHI (HR 0,862; 95%-KI 0,763–0,973), besonders in Spanien (HR 0,626). Allerdings: VHI könnte als Out-of-Pocket-Ausgabe Ungleichheiten verstärken.</w:t>
      </w:r>
    </w:p>
    <w:p>
      <w:r>
        <w:rPr>
          <w:b/>
          <w:sz w:val="19"/>
        </w:rPr>
        <w:t xml:space="preserve">Übertragbarkeit: </w:t>
      </w:r>
      <w:r>
        <w:rPr>
          <w:sz w:val="19"/>
        </w:rPr>
        <w:t>Europäische SHARE-Daten, vergleichbare Sozialsysteme, direkt auf deutsche Sozialversicherung übertragbar.</w:t>
      </w:r>
    </w:p>
    <w:p>
      <w:r>
        <w:rPr>
          <w:color w:val="5A7D3A"/>
          <w:sz w:val="18"/>
        </w:rPr>
        <w:t>https://pubmed.ncbi.nlm.nih.gov/42745813/</w:t>
      </w:r>
    </w:p>
    <w:p>
      <w:pPr>
        <w:pStyle w:val="Heading2"/>
      </w:pPr>
      <w:r>
        <w:t>Determinanten der Lebenserwartung in der EU: Präventive Mortalität geht über Wohlstand hinaus</w:t>
      </w:r>
    </w:p>
    <w:p>
      <w:r>
        <w:rPr>
          <w:i/>
          <w:color w:val="666666"/>
          <w:sz w:val="18"/>
        </w:rPr>
        <w:t>Antohi VM et al.  ·  Inquiry  ·  16.09.2026  ·  PMID 42745694</w:t>
      </w:r>
    </w:p>
    <w:p>
      <w:r>
        <w:t>Panel-Regressionsanalyse (6 EU-Länder: Rumänien, Bulgarien, Lettland, Deutschland, Italien, Spanien; 2011–2021) zu Effekten wirtschaftlicher, demografischer und Mortalitätsfaktoren auf Lebenserwartung.</w:t>
      </w:r>
    </w:p>
    <w:p>
      <w:r>
        <w:rPr>
          <w:b/>
        </w:rPr>
        <w:t xml:space="preserve">Ergebnis: </w:t>
      </w:r>
      <w:r>
        <w:t>CO₂-Emissionen und Bevölkerungswachstum senken Lebenserwartung (LE) signifikant. BIP pro Kopf, Gesundheitsausgaben, Bildung, Rechtsstaatlichkeit und Regierungseffektivität heben LE – aber nach Kontrolle für Mortalitätsindikatoren sinkt BIP-Effekt. Krude Mortalitätslast und Lebensjahre verloren durch Unfälle zeigen stärkste Assoziationen mit LE. Schlussfolgerung: Nachhaltige LE-Gewinne hängen weniger an Wachstum, mehr an Prävention.</w:t>
      </w:r>
    </w:p>
    <w:p>
      <w:r>
        <w:rPr>
          <w:b/>
          <w:sz w:val="19"/>
        </w:rPr>
        <w:t xml:space="preserve">Übertragbarkeit: </w:t>
      </w:r>
      <w:r>
        <w:rPr>
          <w:sz w:val="19"/>
        </w:rPr>
        <w:t>Deutschland, Italien, Spanien im Sample; europäische Sozialsysteme, direkt vergleichbar.</w:t>
      </w:r>
    </w:p>
    <w:p>
      <w:r>
        <w:rPr>
          <w:color w:val="5A7D3A"/>
          <w:sz w:val="18"/>
        </w:rPr>
        <w:t>https://pubmed.ncbi.nlm.nih.gov/42745694/</w:t>
      </w:r>
    </w:p>
    <w:p>
      <w:pPr>
        <w:pStyle w:val="Heading2"/>
      </w:pPr>
      <w:r>
        <w:t>Körperliche Aktivität puffert alternsbedingte Hippocampus-Veränderungen ab</w:t>
      </w:r>
    </w:p>
    <w:p>
      <w:r>
        <w:rPr>
          <w:i/>
          <w:color w:val="666666"/>
          <w:sz w:val="18"/>
        </w:rPr>
        <w:t>Montero-Herrera B et al.  ·  Hippocampus  ·  Sept. 2026  ·  PMID 42740373</w:t>
      </w:r>
    </w:p>
    <w:p>
      <w:r>
        <w:t>Querschnittsstudie (n=555, 36–90 Jahre, Human Connectome Project-Aging) zur Assoziation von moderater bis vigoroster Aktivität mit Hippocampus-Struktur (Dicke, Oberfläche, mikrostrukturelle T1w/T2w-Ratio).</w:t>
      </w:r>
    </w:p>
    <w:p>
      <w:r>
        <w:rPr>
          <w:b/>
        </w:rPr>
        <w:t xml:space="preserve">Ergebnis: </w:t>
      </w:r>
      <w:r>
        <w:t>Bei niedriger Aktivität (&lt;150 Min/Wo): Alter assoziiert mit diffusen Unterschieden in Hippocampus-Makro- und Mikrostruktur (niedrigere Dicke/Oberfläche, höhere T1w/T2w-Ratio). Moderate bis hohe Aktivität (≥150 Min/Wo) moderiert diese Alterseffekte in linkem Hippocampus signifikant; signifikante Unterschiede in Oberfläche und Ratio bei aktiveren Älteren. Befund deutet auf erhaltene plastische Kapazität hin.</w:t>
      </w:r>
    </w:p>
    <w:p>
      <w:r>
        <w:rPr>
          <w:b/>
          <w:sz w:val="19"/>
        </w:rPr>
        <w:t xml:space="preserve">Übertragbarkeit: </w:t>
      </w:r>
      <w:r>
        <w:rPr>
          <w:sz w:val="19"/>
        </w:rPr>
        <w:t>USA – Neuroimaging-Methodik unabhängig von System; Aktivitätsempfehlung universal anwendbar.</w:t>
      </w:r>
    </w:p>
    <w:p>
      <w:r>
        <w:rPr>
          <w:color w:val="5A7D3A"/>
          <w:sz w:val="18"/>
        </w:rPr>
        <w:t>https://pubmed.ncbi.nlm.nih.gov/42740373/</w:t>
      </w:r>
    </w:p>
    <w:p>
      <w:pPr>
        <w:pStyle w:val="Heading2"/>
      </w:pPr>
      <w:r>
        <w:t>Moralische Verantwortung im Alter: Klimahandeln unter Alltagsbedingungen</w:t>
      </w:r>
    </w:p>
    <w:p>
      <w:r>
        <w:rPr>
          <w:i/>
          <w:color w:val="666666"/>
          <w:sz w:val="18"/>
        </w:rPr>
        <w:t>Grand J  ·  J Aging Stud  ·  29.06.2026  ·  PMID 42705825</w:t>
      </w:r>
    </w:p>
    <w:p>
      <w:r>
        <w:t>Qualitative Studie (Interviews, Fokusgruppen) mit Schweizer Älteren (65–83 Jahre) zu deren Verständnis und Umsetzung von Verantwortung für Klimaschutz im Alltag.</w:t>
      </w:r>
    </w:p>
    <w:p>
      <w:r>
        <w:rPr>
          <w:b/>
        </w:rPr>
        <w:t xml:space="preserve">Ergebnis: </w:t>
      </w:r>
      <w:r>
        <w:t>Ältere Erwachsene verhandeln Klimaverantwortung pragmatisch im Spannungsfeld zwischen persönlicher Handlungsfähigkeit und körperlichen Grenzen des Alterns. Zeitliche Beschränkung und Mobilitätseinbußen prägen Deutung und Umfang ihres Engagements; Fokus liegt auf Haushalt und Familie statt großflächiger Aktivismus. Kernbefund: Spätes Leben restrukturiert, realisiert aber nicht negiert Umweltverantwortung.</w:t>
      </w:r>
    </w:p>
    <w:p>
      <w:r>
        <w:rPr>
          <w:b/>
          <w:sz w:val="19"/>
        </w:rPr>
        <w:t xml:space="preserve">Übertragbarkeit: </w:t>
      </w:r>
      <w:r>
        <w:rPr>
          <w:sz w:val="19"/>
        </w:rPr>
        <w:t>Schweiz, deutschsprachig, Sozialkontext vergleichbar; Erkenntnisse zu älteren Bürgern in Transformationen.</w:t>
      </w:r>
    </w:p>
    <w:p>
      <w:r>
        <w:rPr>
          <w:color w:val="5A7D3A"/>
          <w:sz w:val="18"/>
        </w:rPr>
        <w:t>https://pubmed.ncbi.nlm.nih.gov/42705825/</w:t>
      </w:r>
    </w:p>
    <w:p>
      <w:pPr>
        <w:pStyle w:val="Heading1"/>
      </w:pPr>
      <w:r>
        <w:t>Aufgenommen am 16.09.2026</w:t>
      </w:r>
    </w:p>
    <w:p>
      <w:pPr>
        <w:pStyle w:val="Heading2"/>
      </w:pPr>
      <w:r>
        <w:t>Orale Gebrechlichkeit beeinträchtigt Alltagsfähigkeit durch schlechte Ernährung – Ernährungsstatus vermittelt</w:t>
      </w:r>
    </w:p>
    <w:p>
      <w:r>
        <w:rPr>
          <w:i/>
          <w:color w:val="666666"/>
          <w:sz w:val="18"/>
        </w:rPr>
        <w:t>Jiang W et al.  ·  Front Public Health  ·  31.08.2026  ·  PMID 42741152</w:t>
      </w:r>
    </w:p>
    <w:p>
      <w:r>
        <w:t>Querschnittsstudie mit 401 älteren Chengdu-Bewohnern (≥60 Jahre): untersuchte, ob orale Frailty (Zahnprobleme, Kaustörungen) die Alltagsfunktion beeinträchtigt und ob Malnutritionsrisiko diesen Zusammenhang mediert.</w:t>
      </w:r>
    </w:p>
    <w:p>
      <w:r>
        <w:rPr>
          <w:b/>
        </w:rPr>
        <w:t xml:space="preserve">Ergebnis: </w:t>
      </w:r>
      <w:r>
        <w:t>Orale Frailty korrelierte mit schlecherer Ernährung (B=–0,116; p=0,001) und niedriger ADL-Fähigkeit (Barthel-Index). Der direkte Assoziationseffekt blieb signifikant (B=–2,261; p=0,012), die indirekte Assoziation über Ernährung war klein aber signifikant (indirekt=–0,363; 95%-Bootstrap: –0,798 bis –0,044). Orale Frailty liegt bei 40,9 % vor, Malnutritionsrisiko bei 12,0 %.</w:t>
      </w:r>
    </w:p>
    <w:p>
      <w:r>
        <w:rPr>
          <w:b/>
          <w:sz w:val="19"/>
        </w:rPr>
        <w:t xml:space="preserve">Übertragbarkeit: </w:t>
      </w:r>
      <w:r>
        <w:rPr>
          <w:sz w:val="19"/>
        </w:rPr>
        <w:t>Chinesische Primärversorgung, Instrument ORALFRAIL übertragbar, Modell validierungsbedürftig für Deutschland</w:t>
      </w:r>
    </w:p>
    <w:p>
      <w:r>
        <w:rPr>
          <w:color w:val="5A7D3A"/>
          <w:sz w:val="18"/>
        </w:rPr>
        <w:t>https://pubmed.ncbi.nlm.nih.gov/42741152/</w:t>
      </w:r>
    </w:p>
    <w:p>
      <w:pPr>
        <w:pStyle w:val="Heading2"/>
      </w:pPr>
      <w:r>
        <w:t>Kurzzeitliches Prehab-Training steigert präoperative Funktionsfähigkeit fragiler Prostatapatienten</w:t>
      </w:r>
    </w:p>
    <w:p>
      <w:r>
        <w:rPr>
          <w:i/>
          <w:color w:val="666666"/>
          <w:sz w:val="18"/>
        </w:rPr>
        <w:t>Wang Z et al.  ·  BMC Geriatr  ·  24.07.2026  ·  PMID 42736541</w:t>
      </w:r>
    </w:p>
    <w:p>
      <w:r>
        <w:t>Randomisierte, verblindete Studie mit 80 älteren Männern (≥60 Jahre) mit Prostatakarzinom in prefrail/frail Zustand; geprüft, ob 12-tägiges Home-Prehabilitation (Bewegung, Ernährung, psychische Unterstützung) vor geplanter Prostatektomie die perioperative funktionelle Leistung verbessert.</w:t>
      </w:r>
    </w:p>
    <w:p>
      <w:r>
        <w:rPr>
          <w:b/>
        </w:rPr>
        <w:t xml:space="preserve">Ergebnis: </w:t>
      </w:r>
      <w:r>
        <w:t>Prehab-Gruppe verbesserte 6-Minuten-Gehstrecke um 27,70±16,86 m vor OP, Kontrollgruppe nur um –3,12±3,62 m; Differenz 30,82 m (95%-KI 25,32–36,33; p&lt;0,001). Postoperativ schnellere Mobilisierung, schnellere Magen-Darm-Erholung, kürzere Krankenhausliegedauer. Keine interventionsbezogenen Nebenereignisse.</w:t>
      </w:r>
    </w:p>
    <w:p>
      <w:r>
        <w:rPr>
          <w:b/>
          <w:sz w:val="19"/>
        </w:rPr>
        <w:t xml:space="preserve">Übertragbarkeit: </w:t>
      </w:r>
      <w:r>
        <w:rPr>
          <w:sz w:val="19"/>
        </w:rPr>
        <w:t>Chinesische Klinikdaten, geriatrisches Prähabilitationskonzept übertragbar auf Deutschland</w:t>
      </w:r>
    </w:p>
    <w:p>
      <w:r>
        <w:rPr>
          <w:color w:val="5A7D3A"/>
          <w:sz w:val="18"/>
        </w:rPr>
        <w:t>https://pubmed.ncbi.nlm.nih.gov/42736541/</w:t>
      </w:r>
    </w:p>
    <w:p>
      <w:pPr>
        <w:pStyle w:val="Heading2"/>
      </w:pPr>
      <w:r>
        <w:t>Automatisierter Frailty-Index aus Labortests (FI-Lab) validiert akutes Mortalitätsrisiko</w:t>
      </w:r>
    </w:p>
    <w:p>
      <w:r>
        <w:rPr>
          <w:i/>
          <w:color w:val="666666"/>
          <w:sz w:val="18"/>
        </w:rPr>
        <w:t>Logan Ellis H et al.  ·  PLoS Med  ·  01.09.2026  ·  PMID 42678992</w:t>
      </w:r>
    </w:p>
    <w:p>
      <w:r>
        <w:t>Retrospektive multizentrische Studie an drei Kohorten (Boston, London, UK Biobank; insgesamt 872.744 Patienten), die einen aus 20-40 Standardlabortests berechneten automatisierten Frailty-Index zur Vorhersage der 1-Jahres-Mortalität in der Notaufnahme und klinischen Routine erprobte.</w:t>
      </w:r>
    </w:p>
    <w:p>
      <w:r>
        <w:rPr>
          <w:b/>
        </w:rPr>
        <w:t xml:space="preserve">Ergebnis: </w:t>
      </w:r>
      <w:r>
        <w:t>Der FI-Lab zeigte Hazard Ratios für 1-Jahres-Mortalität von 2,04 (95%-KI [1,99–2,09]) in MIMIC-IV-ED, 2,55 (95%-KI [2,42–2,69]) in King's College Hospital und 1,87 (95%-KI [1,80–1,94]) in UK Biobank pro Standardabweichung Anstieg – und übertraf damit den National Early Warning Score 2. Die Unterscheidungsfähigkeit stabilisierte sich bei 20–40 Tests. Ein pragmatisches, ohne zusätzliche Messungen anwendbares Instrument.</w:t>
      </w:r>
    </w:p>
    <w:p>
      <w:r>
        <w:rPr>
          <w:b/>
          <w:sz w:val="19"/>
        </w:rPr>
        <w:t xml:space="preserve">Übertragbarkeit: </w:t>
      </w:r>
      <w:r>
        <w:rPr>
          <w:sz w:val="19"/>
        </w:rPr>
        <w:t>UK-Klinikdaten, Notaufnahme-Dokumentation übertragbar auf deutsche Krankenhaussysteme</w:t>
      </w:r>
    </w:p>
    <w:p>
      <w:r>
        <w:rPr>
          <w:color w:val="5A7D3A"/>
          <w:sz w:val="18"/>
        </w:rPr>
        <w:t>https://pubmed.ncbi.nlm.nih.gov/42678992/</w:t>
      </w:r>
    </w:p>
    <w:p>
      <w:pPr>
        <w:pStyle w:val="Heading2"/>
      </w:pPr>
      <w:r>
        <w:t>Intrinsic Capacity senkt kardiovaskuläres Risiko durch multidimensionale Funktionsmessung</w:t>
      </w:r>
    </w:p>
    <w:p>
      <w:r>
        <w:rPr>
          <w:i/>
          <w:color w:val="666666"/>
          <w:sz w:val="18"/>
        </w:rPr>
        <w:t>Zhang Z et al.  ·  Maturitas  ·  15.08.2026  ·  PMID 42612584</w:t>
      </w:r>
    </w:p>
    <w:p>
      <w:r>
        <w:t>Gepoolte Analyse dreier Langzeitkohorten (China, England, USA; 13.807 Probanden) untersuchte, ob Beeinträchtigungen in Intrinsic Capacity (Kognition, Mobilität, Vitalität, psychische Funktion, Sinnesfunktion) unabhängig und gemeinsam mit Hypertonie das Herzinfarkt- und Schlaganfallrisiko vorhersagen.</w:t>
      </w:r>
    </w:p>
    <w:p>
      <w:r>
        <w:rPr>
          <w:b/>
        </w:rPr>
        <w:t xml:space="preserve">Ergebnis: </w:t>
      </w:r>
      <w:r>
        <w:t>Gegenüber intakter Kapazität und normalen Blutdruckwerten zeigten beeinträchtigte IC (HR 1,53; 95%-KI 1,34–1,74), Hypertonie allein (HR 1,68; 95%-KI 1,46–1,93) und beide kombiniert (HR 2,29; 95%-KI 2,02–2,59) erhöhte kardiovaskuläre Ereignisrisiken. Das Modell mit IC-Messung erhöhte die C-Index-Diskriminierung von 0,619 auf 0,649. Progressive Risikozunahme mit jeder zusätzlich beeinträchtigten IC-Domäne.</w:t>
      </w:r>
    </w:p>
    <w:p>
      <w:r>
        <w:rPr>
          <w:b/>
          <w:sz w:val="19"/>
        </w:rPr>
        <w:t xml:space="preserve">Übertragbarkeit: </w:t>
      </w:r>
      <w:r>
        <w:rPr>
          <w:sz w:val="19"/>
        </w:rPr>
        <w:t>Drei Kohorten auf vier Kontinenten, vergleichbare Outcomemessung, Übertragbarkeit hoch</w:t>
      </w:r>
    </w:p>
    <w:p>
      <w:r>
        <w:rPr>
          <w:color w:val="5A7D3A"/>
          <w:sz w:val="18"/>
        </w:rPr>
        <w:t>https://pubmed.ncbi.nlm.nih.gov/42612584/</w:t>
      </w:r>
    </w:p>
    <w:p>
      <w:pPr>
        <w:pStyle w:val="Heading2"/>
      </w:pPr>
      <w:r>
        <w:t>Multidomain-Rehabilitation nach Herzinfarkt wirkt auch bei Frailty – Frailty sollte nicht abschrecken</w:t>
      </w:r>
    </w:p>
    <w:p>
      <w:r>
        <w:rPr>
          <w:i/>
          <w:color w:val="666666"/>
          <w:sz w:val="18"/>
        </w:rPr>
        <w:t>Dal Passo B et al.  ·  Circ Popul Health Outcomes  ·  17.08.2026  ·  PMID 42605666</w:t>
      </w:r>
    </w:p>
    <w:p>
      <w:r>
        <w:t>Prespecified-Subgruppen-Analyse der italienischen PIpELINe-RCT mit 512 Patienten ≥65 Jahren nach Myokardinfarkt; getestet, ob Gebrechlichkeit (Fried-Phänotyp) den Nutzen von multidomäner Rehabilitation (Bewegung, Ernährung, Psyche, Beckenbodentraining) mindert.</w:t>
      </w:r>
    </w:p>
    <w:p>
      <w:r>
        <w:rPr>
          <w:b/>
        </w:rPr>
        <w:t xml:space="preserve">Ergebnis: </w:t>
      </w:r>
      <w:r>
        <w:t>68,4 % (350 von 512) waren prefrail/frail; davon profitierten die 232 der Interventionsgruppe signifikant mit 43 % relativem Risikoreduktion (HR 0,57; 95%-KI 0,34–0,94; p=0,028) für die primäre Endpunkte (kardiovaskulärer Tod oder ungeplante Hospitalisierung). Kein signifikanter Interaktionseffekt: Frailty mindert den Rehabilitations-Nutzen nicht.</w:t>
      </w:r>
    </w:p>
    <w:p>
      <w:r>
        <w:rPr>
          <w:b/>
          <w:sz w:val="19"/>
        </w:rPr>
        <w:t xml:space="preserve">Übertragbarkeit: </w:t>
      </w:r>
      <w:r>
        <w:rPr>
          <w:sz w:val="19"/>
        </w:rPr>
        <w:t>Multizentrische italienische RCT, europäisches Setting, direkt auf deutsches Gesundheitswesen übertragbar</w:t>
      </w:r>
    </w:p>
    <w:p>
      <w:r>
        <w:rPr>
          <w:color w:val="5A7D3A"/>
          <w:sz w:val="18"/>
        </w:rPr>
        <w:t>https://pubmed.ncbi.nlm.nih.gov/42605666/</w:t>
      </w:r>
    </w:p>
    <w:p>
      <w:pPr>
        <w:pStyle w:val="Heading2"/>
      </w:pPr>
      <w:r>
        <w:t>Gebrechlichkeit steigert Demenzrisiko durch Entzündung, Stoffwechsel und vorzeigte Hirnalterung</w:t>
      </w:r>
    </w:p>
    <w:p>
      <w:r>
        <w:rPr>
          <w:i/>
          <w:color w:val="666666"/>
          <w:sz w:val="18"/>
        </w:rPr>
        <w:t>Chen W et al.  ·  J Nutr Health Aging  ·  10.07.2026  ·  PMID 42430904</w:t>
      </w:r>
    </w:p>
    <w:p>
      <w:r>
        <w:t>Kohortenstudie mit 452.516 UK-Biobank-Probanden ohne Demenz-Baseline, Verfolgung 13,7 Jahre: untersucht, ob der Fried-Frailty-Phänotyp das Demenzrisiko steigert und welche Pfade (Entzündung, Stoffwechsel, Hirn-Age-Gap) diese Assoziation vermitteln.</w:t>
      </w:r>
    </w:p>
    <w:p>
      <w:r>
        <w:rPr>
          <w:b/>
        </w:rPr>
        <w:t xml:space="preserve">Ergebnis: </w:t>
      </w:r>
      <w:r>
        <w:t>7.777 Demenzneuerkrankungen; Frailty erhöhte Risiko mit HR 2,21 (95%-KI 2,02–2,42). Mediation: Entzündungs-Score vermittelte 4 %, Stoffwechsel-Score 13 %, beschleunigtes Hirn-Alter (brain-age-gap) 20 % der Frailty-Demenz-Assoziation. Genetische Interaktion nachgewiesen (p=0,033).</w:t>
      </w:r>
    </w:p>
    <w:p>
      <w:r>
        <w:rPr>
          <w:b/>
          <w:sz w:val="19"/>
        </w:rPr>
        <w:t xml:space="preserve">Übertragbarkeit: </w:t>
      </w:r>
      <w:r>
        <w:rPr>
          <w:sz w:val="19"/>
        </w:rPr>
        <w:t>UK Biobank, Bildgebung, Biomarker, Konzept der Frailty-Prävention gegen Demenz auf deutsches Gesundheitswesen übertragbar</w:t>
      </w:r>
    </w:p>
    <w:p>
      <w:r>
        <w:rPr>
          <w:color w:val="5A7D3A"/>
          <w:sz w:val="18"/>
        </w:rPr>
        <w:t>https://pubmed.ncbi.nlm.nih.gov/42430904/</w:t>
      </w:r>
    </w:p>
    <w:p>
      <w:pPr>
        <w:pStyle w:val="Heading2"/>
      </w:pPr>
      <w:r>
        <w:t>Operative Belastung beschleunigt biologisches Altern, körperliche Aktivität puffert Effekt</w:t>
      </w:r>
    </w:p>
    <w:p>
      <w:r>
        <w:rPr>
          <w:i/>
          <w:color w:val="666666"/>
          <w:sz w:val="18"/>
        </w:rPr>
        <w:t>Wang X et al.  ·  J Nutr Health Aging  ·  09.07.2026  ·  PMID 42424841</w:t>
      </w:r>
    </w:p>
    <w:p>
      <w:r>
        <w:t>Querschnittanalyse von 126.668 UK-Biobank-Probanden ≥60 Jahren mit Operationsgeschichte: geprüft, ob Anzahl, Häufigkeit und zeitliche Nähe von Operationen das biologische Alter (PhenoAge-Acceleration) steigern und ob sportliche Aktivität diesen Effekt abschwächt.</w:t>
      </w:r>
    </w:p>
    <w:p>
      <w:r>
        <w:rPr>
          <w:b/>
        </w:rPr>
        <w:t xml:space="preserve">Ergebnis: </w:t>
      </w:r>
      <w:r>
        <w:t>≥4 Operationen assoziiert mit 0,14–0,39 Jahren PhenoAge-Acceleration. Operationen im Abstand ≤1 Jahr: +0,11 Jahre Beschleunigung. Operation ≤1 Jahr zurück: +0,35 Jahre Beschleunigung. Hohe körperliche Aktivität (≥600 MET-min/Woche) minderte diese Effekte deutlich; nur bei ≥5 Operationen blieb Beschleunigung signifikant.</w:t>
      </w:r>
    </w:p>
    <w:p>
      <w:r>
        <w:rPr>
          <w:b/>
          <w:sz w:val="19"/>
        </w:rPr>
        <w:t xml:space="preserve">Übertragbarkeit: </w:t>
      </w:r>
      <w:r>
        <w:rPr>
          <w:sz w:val="19"/>
        </w:rPr>
        <w:t>UK Biobank, Operationsdaten und PhenoAge-Biomarker verfügbar, Aktivitätsbewertung übertragbar</w:t>
      </w:r>
    </w:p>
    <w:p>
      <w:r>
        <w:rPr>
          <w:color w:val="5A7D3A"/>
          <w:sz w:val="18"/>
        </w:rPr>
        <w:t>https://pubmed.ncbi.nlm.nih.gov/42424841/</w:t>
      </w:r>
    </w:p>
    <w:p>
      <w:pPr>
        <w:pStyle w:val="Heading1"/>
      </w:pPr>
      <w:r>
        <w:t>Aufgenommen am 15.09.2026</w:t>
      </w:r>
    </w:p>
    <w:p>
      <w:pPr>
        <w:pStyle w:val="Heading2"/>
      </w:pPr>
      <w:r>
        <w:t>Loneliness und Benzodiazepine: Assoziationen bei älteren Kanadiern</w:t>
      </w:r>
    </w:p>
    <w:p>
      <w:r>
        <w:rPr>
          <w:i/>
          <w:color w:val="666666"/>
          <w:sz w:val="18"/>
        </w:rPr>
        <w:t>Watt JA et al.  ·  Age Ageing  ·  04.09.2026  ·  PMID 42735388</w:t>
      </w:r>
    </w:p>
    <w:p>
      <w:r>
        <w:t>Querschnittsstudie mit prospektiver Kohortennachbeobachtung (kanadische Longitudinal Study on Aging) zum Zusammenhang zwischen Einsamkeit und neuem Medikamentengebrauch (Benzodiazepine, Opioide).</w:t>
      </w:r>
    </w:p>
    <w:p>
      <w:r>
        <w:rPr>
          <w:b/>
        </w:rPr>
        <w:t xml:space="preserve">Ergebnis: </w:t>
      </w:r>
      <w:r>
        <w:t>Von 29.976 Teilnehmern waren 10,8% einsam. Einsame Teilnehmer hatten höhere Quote neuer Benzodiazepinnutzung (aOR 1,94, 95%-KI 1,47–2,57) und Opioidnutzung (aOR 1,43, 95%-KI 1,05–1,93) als nicht einsame. Einsamkeit blieb mit Benzodiazepinen assoziiert nach Adjustierung für Stimmungs- und Angststörungen. Multimodale Interventionen gegen Einsamkeit könnten Deprescribing unterstützen.</w:t>
      </w:r>
    </w:p>
    <w:p>
      <w:r>
        <w:rPr>
          <w:b/>
          <w:sz w:val="19"/>
        </w:rPr>
        <w:t xml:space="preserve">Übertragbarkeit: </w:t>
      </w:r>
      <w:r>
        <w:rPr>
          <w:sz w:val="19"/>
        </w:rPr>
        <w:t>Kanada, vergleichbares Sozialversicherungssystem, hohe Relevanz für deutsche Versorgung</w:t>
      </w:r>
    </w:p>
    <w:p>
      <w:r>
        <w:rPr>
          <w:color w:val="5A7D3A"/>
          <w:sz w:val="18"/>
        </w:rPr>
        <w:t>https://pubmed.ncbi.nlm.nih.gov/42735388/</w:t>
      </w:r>
    </w:p>
    <w:p>
      <w:pPr>
        <w:pStyle w:val="Heading2"/>
      </w:pPr>
      <w:r>
        <w:t>Schweregrad der Frailty: Schwellen und minimale klinisch relevante Unterschiede</w:t>
      </w:r>
    </w:p>
    <w:p>
      <w:r>
        <w:rPr>
          <w:i/>
          <w:color w:val="666666"/>
          <w:sz w:val="18"/>
        </w:rPr>
        <w:t>Álvarez-Bustos A et al.  ·  Age Ageing  ·  04.09.2026  ·  PMID 42735387</w:t>
      </w:r>
    </w:p>
    <w:p>
      <w:r>
        <w:t>Prospektive Kohortenstudie (n=1.811, Alter ≥65 Jahre) zur Validation der Frailty Trait Scale (FTS) mit Outcomes Behinderung, Hospitalisierung und Mortalität.</w:t>
      </w:r>
    </w:p>
    <w:p>
      <w:r>
        <w:rPr>
          <w:b/>
        </w:rPr>
        <w:t xml:space="preserve">Ergebnis: </w:t>
      </w:r>
      <w:r>
        <w:t>Dosis-Wirkungs-Beziehung zwischen Frailty-Score und allen Outcomes mit unterschiedlichen Schwellen: Behinderungsrisiko ab 25/100 FTS, Hospitalisierung ab 40/100, Mortalität ab 50/100. Reductions in FTS-Scores ≥10,3 schützten vor Hospitalisierung (HR 0,74, 95%-KI 0,56–0,99) und ≥4,5 vor Mortalität (HR 0,65, 95%-KI 0,45–0,95). Tool überwindet Grenzen klassischer Assessment-Instrumente.</w:t>
      </w:r>
    </w:p>
    <w:p>
      <w:r>
        <w:rPr>
          <w:b/>
          <w:sz w:val="19"/>
        </w:rPr>
        <w:t xml:space="preserve">Übertragbarkeit: </w:t>
      </w:r>
      <w:r>
        <w:rPr>
          <w:sz w:val="19"/>
        </w:rPr>
        <w:t>Spanien, vergleichbares europäisches Sozialversicherungssystem und Altersstruktur</w:t>
      </w:r>
    </w:p>
    <w:p>
      <w:r>
        <w:rPr>
          <w:color w:val="5A7D3A"/>
          <w:sz w:val="18"/>
        </w:rPr>
        <w:t>https://pubmed.ncbi.nlm.nih.gov/42735387/</w:t>
      </w:r>
    </w:p>
    <w:p>
      <w:pPr>
        <w:pStyle w:val="Heading2"/>
      </w:pPr>
      <w:r>
        <w:t>Internet-Nutzung und kognitive Funktionsfähigkeit: Effekt bei älteren Erwachsenen während COVID-19</w:t>
      </w:r>
    </w:p>
    <w:p>
      <w:r>
        <w:rPr>
          <w:i/>
          <w:color w:val="666666"/>
          <w:sz w:val="18"/>
        </w:rPr>
        <w:t>Xu J et al.  ·  Arch Clin Neuropsychol  ·  09.09.2026  ·  PMID 42734926</w:t>
      </w:r>
    </w:p>
    <w:p>
      <w:r>
        <w:t>Längsschnittstudie (China Health and Retirement Longitudinal Study, n=3.346 Baseline-Offline-Nutzer, davon 1.699 neue Internet-Adopter) zu kognitiven und depressiven Veränderungen nach Internetadoption.</w:t>
      </w:r>
    </w:p>
    <w:p>
      <w:r>
        <w:rPr>
          <w:b/>
        </w:rPr>
        <w:t xml:space="preserve">Ergebnis: </w:t>
      </w:r>
      <w:r>
        <w:t>Neue Internet-Adoption war assoziiert mit stärkerer Zunahme der kognitiven Funktion (10-Punkt MMSE-Score β=0,28, 95%-KI 0,11–0,44, p&lt;0,001) gegenüber konstanter Nicht-Nutzung. Effekt blieb in Sensitivitätsanalysen stabil. Keine signifikante Assoziation mit depressiven Symptomveränderungen (β=-0,18, p=0,40). Digital inclusion relevant für kognitive Gesundheit älterer Erwachsener.</w:t>
      </w:r>
    </w:p>
    <w:p>
      <w:r>
        <w:rPr>
          <w:b/>
          <w:sz w:val="19"/>
        </w:rPr>
        <w:t xml:space="preserve">Übertragbarkeit: </w:t>
      </w:r>
      <w:r>
        <w:rPr>
          <w:sz w:val="19"/>
        </w:rPr>
        <w:t>China, andere Altersstruktur und Digitalisierungskontext; kognitiver Effekt kulturunabhängig wahrscheinlich</w:t>
      </w:r>
    </w:p>
    <w:p>
      <w:r>
        <w:rPr>
          <w:color w:val="5A7D3A"/>
          <w:sz w:val="18"/>
        </w:rPr>
        <w:t>https://pubmed.ncbi.nlm.nih.gov/42734926/</w:t>
      </w:r>
    </w:p>
    <w:p>
      <w:pPr>
        <w:pStyle w:val="Heading2"/>
      </w:pPr>
      <w:r>
        <w:t>Frailty-Konzept in der Patientenkommunikation: kreative Beteiligungsmethoden</w:t>
      </w:r>
    </w:p>
    <w:p>
      <w:r>
        <w:rPr>
          <w:i/>
          <w:color w:val="666666"/>
          <w:sz w:val="18"/>
        </w:rPr>
        <w:t>Lammons W et al.  ·  Health Expect  ·  Okt. 2026  ·  PMID 42734162</w:t>
      </w:r>
    </w:p>
    <w:p>
      <w:r>
        <w:t>Qualitative Studie mit 3 kreativen Public-Involvement-Workshops (Gedichte, Quilting, n=22) zur Exploration von Patientenperspektiven auf Gebrechlichkeit und Patientenkommunikation.</w:t>
      </w:r>
    </w:p>
    <w:p>
      <w:r>
        <w:rPr>
          <w:b/>
        </w:rPr>
        <w:t xml:space="preserve">Ergebnis: </w:t>
      </w:r>
      <w:r>
        <w:t>Partizipanten kritisierten Begriff 'Frailty' als stigmatisierend und ungenau; forderten personalisierte, erfahrungsorientierte Kommunikation. Themen: Schwierigkeiten mit Frailty-Begriff, Personalisierung in Patientengesprächsen, Zeitdruck im Gesundheitswesen. Kreative Methoden ermöglichten nicht-diskursiven Zugang zu kontroversen Konzepten, verbesserten Topic Guide und Datenanalyse der Forschung.</w:t>
      </w:r>
    </w:p>
    <w:p>
      <w:r>
        <w:rPr>
          <w:b/>
          <w:sz w:val="19"/>
        </w:rPr>
        <w:t xml:space="preserve">Übertragbarkeit: </w:t>
      </w:r>
      <w:r>
        <w:rPr>
          <w:sz w:val="19"/>
        </w:rPr>
        <w:t>Großbritannien, NHS-System; patientenzentrierte Versorgungsfragen gelten länderübergreifend</w:t>
      </w:r>
    </w:p>
    <w:p>
      <w:r>
        <w:rPr>
          <w:color w:val="5A7D3A"/>
          <w:sz w:val="18"/>
        </w:rPr>
        <w:t>https://pubmed.ncbi.nlm.nih.gov/42734162/</w:t>
      </w:r>
    </w:p>
    <w:p>
      <w:pPr>
        <w:pStyle w:val="Heading2"/>
      </w:pPr>
      <w:r>
        <w:t>Lebenserwartung USA 2024: Zuwächse nach Rückgang in Vorjahren</w:t>
      </w:r>
    </w:p>
    <w:p>
      <w:r>
        <w:rPr>
          <w:i/>
          <w:color w:val="666666"/>
          <w:sz w:val="18"/>
        </w:rPr>
        <w:t>Arias E et al.  ·  Natl Vital Stat Rep  ·  Aug. 2026  ·  PMID 42727234</w:t>
      </w:r>
    </w:p>
    <w:p>
      <w:r>
        <w:t>Amtliche amerikanische Sterbetafel basierend auf 2024-Mortalitätsdaten; Gesamtpopulation und stratifiziert nach Ethnie, Rasse und Geschlecht.</w:t>
      </w:r>
    </w:p>
    <w:p>
      <w:r>
        <w:rPr>
          <w:b/>
        </w:rPr>
        <w:t xml:space="preserve">Ergebnis: </w:t>
      </w:r>
      <w:r>
        <w:t>Gesamtlebenserwartung bei Geburt 79,0 Jahre (+0,6 vs. 2023). Männer +0,7 Jahre (75,8→76,5), Frauen +0,3 Jahre (81,1→81,4). Nach Ethnie: American Indian/Alaska Native +1,0 (70,1→71,1), Black +0,8 (74,0→74,8), Asian +0,6 (85,2→85,8), Hispanic +0,5 (81,3→81,8), White +0,5 (78,4→78,9). Fortsetzung des Wiederaufwärts-Trends nach COVID-19-Dip.</w:t>
      </w:r>
    </w:p>
    <w:p>
      <w:r>
        <w:rPr>
          <w:b/>
          <w:sz w:val="19"/>
        </w:rPr>
        <w:t xml:space="preserve">Übertragbarkeit: </w:t>
      </w:r>
      <w:r>
        <w:rPr>
          <w:sz w:val="19"/>
        </w:rPr>
        <w:t>USA, grundlegend andere Finanzierungsstruktur des Gesundheitswesens; Trend-Aussage transnational relevant</w:t>
      </w:r>
    </w:p>
    <w:p>
      <w:r>
        <w:rPr>
          <w:color w:val="5A7D3A"/>
          <w:sz w:val="18"/>
        </w:rPr>
        <w:t>https://pubmed.ncbi.nlm.nih.gov/42727234/</w:t>
      </w:r>
    </w:p>
    <w:p>
      <w:pPr>
        <w:pStyle w:val="Heading1"/>
      </w:pPr>
      <w:r>
        <w:t>Aufgenommen am 14.09.2026</w:t>
      </w:r>
    </w:p>
    <w:p>
      <w:pPr>
        <w:pStyle w:val="Heading2"/>
      </w:pPr>
      <w:r>
        <w:t>Umweltbelastung und Frailty bei älteren Menschen nach Trauma: WTC-Responder-Kohorte</w:t>
      </w:r>
    </w:p>
    <w:p>
      <w:r>
        <w:rPr>
          <w:i/>
          <w:color w:val="666666"/>
          <w:sz w:val="18"/>
        </w:rPr>
        <w:t>Krasnov H et al.  ·  Nat Commun  ·  11.09.2026  ·  PMID 42728266</w:t>
      </w:r>
    </w:p>
    <w:p>
      <w:r>
        <w:t>Analysierte in Längsschnittkohort (18.734 WTC-Responder) den Zusammenhang zwischen städtischen Umweltexpositionen (Feinstaub, Temperatur, Grünflächen) und Frailty sowie psychiatrischen Symptomen, adjustiert für Traumaexposition.</w:t>
      </w:r>
    </w:p>
    <w:p>
      <w:r>
        <w:rPr>
          <w:b/>
        </w:rPr>
        <w:t xml:space="preserve">Ergebnis: </w:t>
      </w:r>
      <w:r>
        <w:t>Ein Dezil-Anstieg der Gesamt-Expositionsmischung assoziiert mit erhöhter Frailty (0,56%; 95%-KI: 0,14%-0,98%) und Post-Traumatic-Stress-Disorder-Scores (0,31%; 95%-KI: 0,07%-0,55%); Effekte stärker bei Responders mit höherer WTC-Exposition. Deutet auf biologische Langzeitvulnerabilität nach Trauma und Toxinexposition hin.</w:t>
      </w:r>
    </w:p>
    <w:p>
      <w:r>
        <w:rPr>
          <w:b/>
          <w:sz w:val="19"/>
        </w:rPr>
        <w:t xml:space="preserve">Übertragbarkeit: </w:t>
      </w:r>
      <w:r>
        <w:rPr>
          <w:sz w:val="19"/>
        </w:rPr>
        <w:t>USA-Kohorte; Befunde zu Umwelteffekten auf Frailty übertragbar, aber langfristige Trauma-Exposition länderspezifisch</w:t>
      </w:r>
    </w:p>
    <w:p>
      <w:r>
        <w:rPr>
          <w:color w:val="5A7D3A"/>
          <w:sz w:val="18"/>
        </w:rPr>
        <w:t>https://pubmed.ncbi.nlm.nih.gov/42728266/</w:t>
      </w:r>
    </w:p>
    <w:p>
      <w:pPr>
        <w:pStyle w:val="Heading2"/>
      </w:pPr>
      <w:r>
        <w:t>Terpenoide und Seneszenz in Lungenkrebszellen: Versorgungsrelevanz begrenzt</w:t>
      </w:r>
    </w:p>
    <w:p>
      <w:r>
        <w:rPr>
          <w:i/>
          <w:color w:val="666666"/>
          <w:sz w:val="18"/>
        </w:rPr>
        <w:t>Niharika K et al.  ·  Daru  ·  11.09.2026  ·  PMID 42726380</w:t>
      </w:r>
    </w:p>
    <w:p>
      <w:r>
        <w:t>Übersichtsarbeit zu 46 Terpenoiden mit Effekten auf Autophagie und zelluläre Seneszenz in Lungenkrebszellen in vitro (ohne In-vivo-Studien oder klinische Endpunkte).</w:t>
      </w:r>
    </w:p>
    <w:p>
      <w:r>
        <w:rPr>
          <w:b/>
        </w:rPr>
        <w:t xml:space="preserve">Ergebnis: </w:t>
      </w:r>
      <w:r>
        <w:t>Terpenoide beeinflussen zentrale Signalweg-Knoten (AMPK, NF-κB, MAPK, PI3K/AKT/mTOR, ROS, p53); begrenzte klinische Translation durch schlechte Löslichkeit und Bioverfügbarkeit. Überblick ohne Angabe von Effektgrößen oder klinischen Ergebnissen - ausgeschlossen da keine gemessenen Endpunkte beim Menschen.</w:t>
      </w:r>
    </w:p>
    <w:p>
      <w:r>
        <w:rPr>
          <w:color w:val="5A7D3A"/>
          <w:sz w:val="18"/>
        </w:rPr>
        <w:t>https://pubmed.ncbi.nlm.nih.gov/42726380/</w:t>
      </w:r>
    </w:p>
    <w:p>
      <w:pPr>
        <w:pStyle w:val="Heading2"/>
      </w:pPr>
      <w:r>
        <w:t>Muskelkraft und Mortalität im Alter: Versorgungsepidemiologie und Prävention</w:t>
      </w:r>
    </w:p>
    <w:p>
      <w:r>
        <w:rPr>
          <w:i/>
          <w:color w:val="666666"/>
          <w:sz w:val="18"/>
        </w:rPr>
        <w:t>Puelles-Diaz A  ·  Front Public Health  ·  27.08.2026  ·  PMID 42724145</w:t>
      </w:r>
    </w:p>
    <w:p>
      <w:r>
        <w:t>Analysierte Evidenz zur Muskelgesundheit (Kraft, Masse, Funktion) als eigenständiges Versorgungsziel in der Altersmedizin und entwickelte einen Implementierungsrahmen für Primary-Care-Assessment und Resistenztraining.</w:t>
      </w:r>
    </w:p>
    <w:p>
      <w:r>
        <w:rPr>
          <w:b/>
        </w:rPr>
        <w:t xml:space="preserve">Ergebnis: </w:t>
      </w:r>
      <w:r>
        <w:t>Muskelkraft sagt Mortalität voraus, unabhängig von körperlicher Aktivität; Randomisierte Studien mit bis zu 36 Monaten Nachverfolgung zeigen größere Nutzen durch Widerstands- und multimodale Trainingsprogramme (speziell bei Personen mit funktioneller Beeinträchtigung). Identifizierte drei Versorgungslücken: begrenzte Assessment-Nutzung in der Primärversorgung, fragmentierte Prävention mit Unterbewertung von Resistenztraining, fehlende funktionale Kapazität in globalen NCD-Rahmen.</w:t>
      </w:r>
    </w:p>
    <w:p>
      <w:r>
        <w:rPr>
          <w:b/>
          <w:sz w:val="19"/>
        </w:rPr>
        <w:t xml:space="preserve">Übertragbarkeit: </w:t>
      </w:r>
      <w:r>
        <w:rPr>
          <w:sz w:val="19"/>
        </w:rPr>
        <w:t>Internationale Evidenz aus Japan, Europa, Nordamerika und Brasilien mit direktem deutschem Versorgungsbezug</w:t>
      </w:r>
    </w:p>
    <w:p>
      <w:r>
        <w:rPr>
          <w:color w:val="5A7D3A"/>
          <w:sz w:val="18"/>
        </w:rPr>
        <w:t>https://pubmed.ncbi.nlm.nih.gov/42724145/</w:t>
      </w:r>
    </w:p>
    <w:p>
      <w:pPr>
        <w:pStyle w:val="Heading2"/>
      </w:pPr>
      <w:r>
        <w:t>Transitions-Care-Programm in Australien: Effektivität und Kosten 2006-2024</w:t>
      </w:r>
    </w:p>
    <w:p>
      <w:r>
        <w:rPr>
          <w:i/>
          <w:color w:val="666666"/>
          <w:sz w:val="18"/>
        </w:rPr>
        <w:t>Reid N et al.  ·  Australas J Ageing  ·  Sept. 2026  ·  PMID 42712137</w:t>
      </w:r>
    </w:p>
    <w:p>
      <w:r>
        <w:t>Analysierte 18 Jahre öffentlicher Daten zum australischen Kurz-Rehabilitations-Programm nach Klinikaufenthalt (Demografie, Inanspruchnahme, Kosten, funktioneller Status mit Modified-Barthel-Index).</w:t>
      </w:r>
    </w:p>
    <w:p>
      <w:r>
        <w:rPr>
          <w:b/>
        </w:rPr>
        <w:t xml:space="preserve">Ergebnis: </w:t>
      </w:r>
      <w:r>
        <w:t>351.981 Klienten über Studienzeitraum; Fallzahlen pro anno +143% (2006-2007 bis 2016-2017), dann Rückgang auf 14.388 (2022-2023). Verweildauer +60% (48 auf 77 Tage), Durchschnittskosten pro Episode +261% (A$9.996 auf A$36.093), jedoch minimale Änderung in Ein- (69,7-72,1) oder Austritts-MBI (79,5-83). Weniger Menschen erhalten Zugang trotz wachsender Bevölkerung und steigender zugeteilter Plätze.</w:t>
      </w:r>
    </w:p>
    <w:p>
      <w:r>
        <w:rPr>
          <w:b/>
          <w:sz w:val="19"/>
        </w:rPr>
        <w:t xml:space="preserve">Übertragbarkeit: </w:t>
      </w:r>
      <w:r>
        <w:rPr>
          <w:sz w:val="19"/>
        </w:rPr>
        <w:t>Australien, ähnliche Versorgungsstrukturen und Finanzierung wie europäische Sozialsysteme</w:t>
      </w:r>
    </w:p>
    <w:p>
      <w:r>
        <w:rPr>
          <w:color w:val="5A7D3A"/>
          <w:sz w:val="18"/>
        </w:rPr>
        <w:t>https://pubmed.ncbi.nlm.nih.gov/42712137/</w:t>
      </w:r>
    </w:p>
    <w:p>
      <w:pPr>
        <w:pStyle w:val="Heading2"/>
      </w:pPr>
      <w:r>
        <w:t>Healthspan-Strategien im italienischen Gesundheitssystem: Rahmenbedingungen und Prioritäten</w:t>
      </w:r>
    </w:p>
    <w:p>
      <w:r>
        <w:rPr>
          <w:i/>
          <w:color w:val="666666"/>
          <w:sz w:val="18"/>
        </w:rPr>
        <w:t>Marino N et al.  ·  Aging (Albany NY)  ·  16.07.2026  ·  PMID 42467494</w:t>
      </w:r>
    </w:p>
    <w:p>
      <w:r>
        <w:t>Position Paper zur Integration von Longevity Medicine (Prävention mit mehromischen Biomarkern und Risikoschichtung) in das italienische SSN vor dem Hintergrund von 24,1% der Bevölkerung ≥65 Jahre und einer Healthspan-Lücke von 15-16 Jahren.</w:t>
      </w:r>
    </w:p>
    <w:p>
      <w:r>
        <w:rPr>
          <w:b/>
        </w:rPr>
        <w:t xml:space="preserve">Ergebnis: </w:t>
      </w:r>
      <w:r>
        <w:t>Italien: höchster EU-Anteil Älterer (24,1%), median age 51 Jahre bis 2050 projiziert; Lebenserw. 85,4 (Frauen) / 81,4 (Männer) Jahre vs. gesunde Lebensjahre 69,6 / 68,5 (Lücke: 15-18 Jahre); Multimorbiditäts- und Behinderungsprävalenz &gt;60% bei ≥75-Jährigen. Empfiehlt fünf Investitionsprioritäten: validierte Biomarker biologisches Alter, digitale Plattformen, adaptive Studien, explainable-AI-Risikoschichtung, Lehrcurricula.</w:t>
      </w:r>
    </w:p>
    <w:p>
      <w:r>
        <w:rPr>
          <w:b/>
          <w:sz w:val="19"/>
        </w:rPr>
        <w:t xml:space="preserve">Übertragbarkeit: </w:t>
      </w:r>
      <w:r>
        <w:rPr>
          <w:sz w:val="19"/>
        </w:rPr>
        <w:t>Italien mit deutschsprachigem Raum vergleichbare Bevölkerungsstruktur und Sozialversicherung</w:t>
      </w:r>
    </w:p>
    <w:p>
      <w:r>
        <w:rPr>
          <w:color w:val="5A7D3A"/>
          <w:sz w:val="18"/>
        </w:rPr>
        <w:t>https://pubmed.ncbi.nlm.nih.gov/42467494/</w:t>
      </w:r>
    </w:p>
    <w:p>
      <w:pPr>
        <w:pStyle w:val="Heading1"/>
      </w:pPr>
      <w:r>
        <w:t>Aufgenommen am 13.09.2026</w:t>
      </w:r>
    </w:p>
    <w:p>
      <w:pPr>
        <w:pStyle w:val="Heading2"/>
      </w:pPr>
      <w:r>
        <w:t>Altern von Personen mit Typ-1-Diabetes: prospektive Kohorte zur funktionellen Fähigkeit</w:t>
      </w:r>
    </w:p>
    <w:p>
      <w:r>
        <w:rPr>
          <w:i/>
          <w:color w:val="666666"/>
          <w:sz w:val="18"/>
        </w:rPr>
        <w:t>Nicklén J et al.  ·  BMJ Open  ·  11.09.2026  ·  PMID 42731824</w:t>
      </w:r>
    </w:p>
    <w:p>
      <w:r>
        <w:t>Studienprotokoll für prospektive Kohortenstudie (FinnDiane LifeOne) mit mindestens 300 älteren Personen mit Typ-1-Diabetes (&gt;65 Jahre) und 100 gematchten Kontrollen zur Untersuchung der funktionellen Fähigkeit und gesunden Alterns über 5 Jahre mit geriatrischem Assessment.</w:t>
      </w:r>
    </w:p>
    <w:p>
      <w:r>
        <w:rPr>
          <w:b/>
        </w:rPr>
        <w:t xml:space="preserve">Ergebnis: </w:t>
      </w:r>
      <w:r>
        <w:t>Eingeschlossene Studien: ≥300 Patienten mit T1D, ≥100 Kontrollen, gematchte Vergleichgruppe. Umfassendes geriatrisches Assessment mit 5-jährlichen Intervallen. Fokus auf fünf Domänen der intrinsic capacity: Kognition, Vitalität, Sensomotorisch, Lokomotion, Psychologisch. Follow-up-Strukturen und Vergleichsdesign etabliert; endgültige Ergebnisse stehen aus.</w:t>
      </w:r>
    </w:p>
    <w:p>
      <w:r>
        <w:rPr>
          <w:b/>
          <w:sz w:val="19"/>
        </w:rPr>
        <w:t xml:space="preserve">Übertragbarkeit: </w:t>
      </w:r>
      <w:r>
        <w:rPr>
          <w:sz w:val="19"/>
        </w:rPr>
        <w:t>Skandinavisches Gesundheitssystem, prospektiv designt mit europäischen Standards; übertragbar auf Deutschland.</w:t>
      </w:r>
    </w:p>
    <w:p>
      <w:r>
        <w:rPr>
          <w:color w:val="5A7D3A"/>
          <w:sz w:val="18"/>
        </w:rPr>
        <w:t>https://pubmed.ncbi.nlm.nih.gov/42731824/</w:t>
      </w:r>
    </w:p>
    <w:p>
      <w:pPr>
        <w:pStyle w:val="Heading2"/>
      </w:pPr>
      <w:r>
        <w:t>Sitzzeit und Funktionsfähigkeit im Alter: Längere Sitzzeit reduziert Muskelmasse und ADL</w:t>
      </w:r>
    </w:p>
    <w:p>
      <w:r>
        <w:rPr>
          <w:i/>
          <w:color w:val="666666"/>
          <w:sz w:val="18"/>
        </w:rPr>
        <w:t>Yoon TH et al.  ·  PeerJ  ·  08.09.2026  ·  PMID 42730319</w:t>
      </w:r>
    </w:p>
    <w:p>
      <w:r>
        <w:t>Querschnittstudie an 200 Älteren (65–96 Jahre) zur Assoziation von täglicher Sitzzeit (&lt;6, 6–8, &gt;8 h) mit Sarcopenia-Markern und funktioneller Unabhängigkeit in ADL und IADL.</w:t>
      </w:r>
    </w:p>
    <w:p>
      <w:r>
        <w:rPr>
          <w:b/>
        </w:rPr>
        <w:t xml:space="preserve">Ergebnis: </w:t>
      </w:r>
      <w:r>
        <w:t>Höhere Sitzzeit war negativ mit Appendicular Skeletal Muscle (β = −0,415; p &lt; 0,001), Wadenschritt (β = −0,442; p &lt; 0,001) und Griffstärke (β = −0,385; p &lt; 0,001) assoziiert und positiv mit 5-Stühle-Stand-Test (β = 0,465; p &lt; 0,001). Sitzzeit korrelierte negativ mit ADL-Summe (β = −0,308; p &lt; 0,001) und IADL-Summe (β = −0,410; p &lt; 0,001). Assoziationen blieben nach Altersadjustierung signifikant.</w:t>
      </w:r>
    </w:p>
    <w:p>
      <w:r>
        <w:rPr>
          <w:b/>
          <w:sz w:val="19"/>
        </w:rPr>
        <w:t xml:space="preserve">Übertragbarkeit: </w:t>
      </w:r>
      <w:r>
        <w:rPr>
          <w:sz w:val="19"/>
        </w:rPr>
        <w:t>Prävention durch Reduktion von Sitzzeit ist in allen europäischen Kontexten implementierbar.</w:t>
      </w:r>
    </w:p>
    <w:p>
      <w:r>
        <w:rPr>
          <w:color w:val="5A7D3A"/>
          <w:sz w:val="18"/>
        </w:rPr>
        <w:t>https://pubmed.ncbi.nlm.nih.gov/42730319/</w:t>
      </w:r>
    </w:p>
    <w:p>
      <w:pPr>
        <w:pStyle w:val="Heading2"/>
      </w:pPr>
      <w:r>
        <w:t>Frailty und kognitives Altern: Assoziationen mit ungünstigeren kognitiven Verlaufsmustern</w:t>
      </w:r>
    </w:p>
    <w:p>
      <w:r>
        <w:rPr>
          <w:i/>
          <w:color w:val="666666"/>
          <w:sz w:val="18"/>
        </w:rPr>
        <w:t>Wang X et al.  ·  Alzheimers Dement  ·  Sept. 2026  ·  PMID 42723149</w:t>
      </w:r>
    </w:p>
    <w:p>
      <w:r>
        <w:t>Längsschnittstudie an 19.586 Personen aus drei nationalen Kohorten (China, England, USA) zur Assoziation von Frailty-Status und kognitiver Veränderung über Zeit.</w:t>
      </w:r>
    </w:p>
    <w:p>
      <w:r>
        <w:rPr>
          <w:b/>
        </w:rPr>
        <w:t xml:space="preserve">Ergebnis: </w:t>
      </w:r>
      <w:r>
        <w:t>Baseline-Frailty war mit stärkerem jährlichen kognitiven Rückgang assoziiert (β = −0,023 SD/Jahr; p &lt; 0,001). Verschlechterung von robust zu pre-frail oder frail war mit mehr negativem Rückgang verbunden (β = −0,025 SD/Jahr). In trajektoriengestützen Analysen zeigten Baseline-Frailty, höhere mittlere Frailty-Last und Frailty-Verschlechterung Assoziationen mit weniger günstigen kognitiven Verläufen. Frailty-Verbesserung war direktional mit günstigeren Gruppen assoziiert.</w:t>
      </w:r>
    </w:p>
    <w:p>
      <w:r>
        <w:rPr>
          <w:b/>
          <w:sz w:val="19"/>
        </w:rPr>
        <w:t xml:space="preserve">Übertragbarkeit: </w:t>
      </w:r>
      <w:r>
        <w:rPr>
          <w:sz w:val="19"/>
        </w:rPr>
        <w:t>Vergleichbare nationale Gesundheitsdatenstrukturen; kognitives Altern als Endpunkt relevant für deutsche Versorgung.</w:t>
      </w:r>
    </w:p>
    <w:p>
      <w:r>
        <w:rPr>
          <w:color w:val="5A7D3A"/>
          <w:sz w:val="18"/>
        </w:rPr>
        <w:t>https://pubmed.ncbi.nlm.nih.gov/42723149/</w:t>
      </w:r>
    </w:p>
    <w:p>
      <w:pPr>
        <w:pStyle w:val="Heading2"/>
      </w:pPr>
      <w:r>
        <w:t>Frailty und COPD: bidirektionale Beziehung im Kontext von Systemalterung und Trainingsresponse</w:t>
      </w:r>
    </w:p>
    <w:p>
      <w:r>
        <w:rPr>
          <w:i/>
          <w:color w:val="666666"/>
          <w:sz w:val="18"/>
        </w:rPr>
        <w:t>Maniscalco M et al.  ·  Eur Respir Rev  ·  09.09.2026  ·  PMID 42716547</w:t>
      </w:r>
    </w:p>
    <w:p>
      <w:r>
        <w:t>Narrative Übersichtsarbeit zu biologischen und klinischen Verbindungen von COPD, Frailty und körperlicher Aktivität unter Anwendung von Geroscience-Prinzipien.</w:t>
      </w:r>
    </w:p>
    <w:p>
      <w:r>
        <w:rPr>
          <w:b/>
        </w:rPr>
        <w:t xml:space="preserve">Ergebnis: </w:t>
      </w:r>
      <w:r>
        <w:t>Gemeinsame biologische Mechanismen: chronische Entzündung, oxidativer Stress, Mitochondriendysfunktion, Muskelatrophie. Kombiniertes aerobes, Widerstands- und Balance-Training zeigt stärkste Evidenz zur Verbesserung von Funktionsstatus und Lebensqualität bei frail-COPD. Exercise induziert Hormeseeffekte: gesteigerte Mitochondriogenese, verbessertes Redox-Balance, Upregulation von antioxidativen Wegen und Zellreparaturmechanismen.</w:t>
      </w:r>
    </w:p>
    <w:p>
      <w:r>
        <w:rPr>
          <w:b/>
          <w:sz w:val="19"/>
        </w:rPr>
        <w:t xml:space="preserve">Übertragbarkeit: </w:t>
      </w:r>
      <w:r>
        <w:rPr>
          <w:sz w:val="19"/>
        </w:rPr>
        <w:t>Geroscience-Rahmen auf deutsche COPD-Versorgung und Rehabilitation übertragbar.</w:t>
      </w:r>
    </w:p>
    <w:p>
      <w:r>
        <w:rPr>
          <w:color w:val="5A7D3A"/>
          <w:sz w:val="18"/>
        </w:rPr>
        <w:t>https://pubmed.ncbi.nlm.nih.gov/42716547/</w:t>
      </w:r>
    </w:p>
    <w:p>
      <w:pPr>
        <w:pStyle w:val="Heading2"/>
      </w:pPr>
      <w:r>
        <w:t>Normaler altersgerechter Rückgang der Vitalkapazität: systematische Analyse und Metaanalyse</w:t>
      </w:r>
    </w:p>
    <w:p>
      <w:r>
        <w:rPr>
          <w:i/>
          <w:color w:val="666666"/>
          <w:sz w:val="18"/>
        </w:rPr>
        <w:t>Satia I et al.  ·  Eur Respir Rev  ·  09.09.2026  ·  PMID 42716546</w:t>
      </w:r>
    </w:p>
    <w:p>
      <w:r>
        <w:t>Systematische Übersichtsarbeit und Metaanalyse von 35 Kohorten mit über 365.000 Teilnehmern zu altersbezogenen Veränderungen der Vitalkapazität (FVC) bei Personen ohne Lungenerkrankung über bis zu 35 Jahre Follow-up.</w:t>
      </w:r>
    </w:p>
    <w:p>
      <w:r>
        <w:rPr>
          <w:b/>
        </w:rPr>
        <w:t xml:space="preserve">Ergebnis: </w:t>
      </w:r>
      <w:r>
        <w:t>FVC erreicht Spitzenwert Mitte 20er, sinkt kontinuierlich linear ab ohne Plateau. Bei Frauen Abfall von ca. 26 mL/Jahr, bei Männern biphasisch: ca. 22 mL/Jahr vor 40 Jahren, dann ca. 36 mL/Jahr. Durchschnittlicher altersgerechter Rückgang 20–30 mL pro Jahr. Diese normativen Trajektorien sind essentiell zur Differenzierung gesunden Alterns von pathologischem Rückgang.</w:t>
      </w:r>
    </w:p>
    <w:p>
      <w:r>
        <w:rPr>
          <w:b/>
          <w:sz w:val="19"/>
        </w:rPr>
        <w:t xml:space="preserve">Übertragbarkeit: </w:t>
      </w:r>
      <w:r>
        <w:rPr>
          <w:sz w:val="19"/>
        </w:rPr>
        <w:t>Deutschland und europäische Spirometriestandards; Benchmark ist grundlegend für klinische Interpretation.</w:t>
      </w:r>
    </w:p>
    <w:p>
      <w:r>
        <w:rPr>
          <w:color w:val="5A7D3A"/>
          <w:sz w:val="18"/>
        </w:rPr>
        <w:t>https://pubmed.ncbi.nlm.nih.gov/42716546/</w:t>
      </w:r>
    </w:p>
    <w:p>
      <w:pPr>
        <w:pStyle w:val="Heading2"/>
      </w:pPr>
      <w:r>
        <w:t>Netzwerk-Analyse der Lebensqualität bei älteren Koreanern: Depression dominiert das frail-Netzwerk</w:t>
      </w:r>
    </w:p>
    <w:p>
      <w:r>
        <w:rPr>
          <w:i/>
          <w:color w:val="666666"/>
          <w:sz w:val="18"/>
        </w:rPr>
        <w:t>Kim S et al.  ·  Geriatr Gerontol Int  ·  Sept. 2026  ·  PMID 42716517</w:t>
      </w:r>
    </w:p>
    <w:p>
      <w:r>
        <w:t>Netzwerk-Analyse an 1.311 älteren Koreanern (≥65 Jahre) zur Struktur der gesundheitsbezogenen Lebensqualität (HRQoL) im Vergleich zwischen frail und non-frail-Gruppen.</w:t>
      </w:r>
    </w:p>
    <w:p>
      <w:r>
        <w:rPr>
          <w:b/>
        </w:rPr>
        <w:t xml:space="preserve">Ergebnis: </w:t>
      </w:r>
      <w:r>
        <w:t>Bei frail-Gruppe war Depression-Glück die stärkste Assoziation mit hoher Zentralität bei Arbeit, Depression, Glück und Schlaf. Bei non-frail-Gruppe dominierten physikalisch-soziale Domänen (Treppensteigen-Schmerz stärkster Link, zentral: Arbeit, Treppensteigen, Schmerz). Arbeit zeigte konsistent hohe Zentralität in beiden Gruppen, was Rollenpartizipation als Hebel für HRQoL-Verbesserung unterstreicht.</w:t>
      </w:r>
    </w:p>
    <w:p>
      <w:r>
        <w:rPr>
          <w:b/>
          <w:sz w:val="19"/>
        </w:rPr>
        <w:t xml:space="preserve">Übertragbarkeit: </w:t>
      </w:r>
      <w:r>
        <w:rPr>
          <w:sz w:val="19"/>
        </w:rPr>
        <w:t>Strukturelle Vergleichbarkeit der Frailty-Definitionen mit europäischen Standards gegeben.</w:t>
      </w:r>
    </w:p>
    <w:p>
      <w:r>
        <w:rPr>
          <w:color w:val="5A7D3A"/>
          <w:sz w:val="18"/>
        </w:rPr>
        <w:t>https://pubmed.ncbi.nlm.nih.gov/42716517/</w:t>
      </w:r>
    </w:p>
    <w:p>
      <w:pPr>
        <w:pStyle w:val="Heading2"/>
      </w:pPr>
      <w:r>
        <w:t>Hereditäre hämorrhagische Teleangiektasie reduziert die Lebenserwartung um 7,5 Jahre</w:t>
      </w:r>
    </w:p>
    <w:p>
      <w:r>
        <w:rPr>
          <w:i/>
          <w:color w:val="666666"/>
          <w:sz w:val="18"/>
        </w:rPr>
        <w:t>Emanuelsson CA et al.  ·  J Intern Med  ·  06.07.2026  ·  PMID 42410718</w:t>
      </w:r>
    </w:p>
    <w:p>
      <w:r>
        <w:t>Schwedische populationsbasierte Registerstudie mit 393 HHT-Patienten und 1.965 alters- und geschlechtsgematchten Kontrollen zur Mortalität und Todesursachen über 17 Jahre Nachbeobachtung (2001–2018).</w:t>
      </w:r>
    </w:p>
    <w:p>
      <w:r>
        <w:rPr>
          <w:b/>
        </w:rPr>
        <w:t xml:space="preserve">Ergebnis: </w:t>
      </w:r>
      <w:r>
        <w:t>Lebenserwartung nach 30 Jahren bei HHT: 73,0 Jahre (68,0–77,2) vs. 80,5 Jahre (79,1–82,0) bei Kontrollen; Differenz 7,5 Jahre. Häufigere Todesursachen bei HHT: ischämische Herzerkrankung, arterielle Erkrankungen und Leberkrankheiten signifikant erhöht. HHT-Prävalenz: 9,3 pro 100.000 über 12 Jahre; mögliche Unterdiagnose bei milderen Symptomen.</w:t>
      </w:r>
    </w:p>
    <w:p>
      <w:r>
        <w:rPr>
          <w:b/>
          <w:sz w:val="19"/>
        </w:rPr>
        <w:t xml:space="preserve">Übertragbarkeit: </w:t>
      </w:r>
      <w:r>
        <w:rPr>
          <w:sz w:val="19"/>
        </w:rPr>
        <w:t>Skandinavisches Register mit Deutschland vergleichbar; Versorgungsplanning für rare diseases relevant.</w:t>
      </w:r>
    </w:p>
    <w:p>
      <w:r>
        <w:rPr>
          <w:color w:val="5A7D3A"/>
          <w:sz w:val="18"/>
        </w:rPr>
        <w:t>https://pubmed.ncbi.nlm.nih.gov/42410718/</w:t>
      </w:r>
    </w:p>
    <w:p>
      <w:pPr>
        <w:pStyle w:val="Heading1"/>
      </w:pPr>
      <w:r>
        <w:t>Aufgenommen am 12.09.2026</w:t>
      </w:r>
    </w:p>
    <w:p>
      <w:pPr>
        <w:pStyle w:val="Heading2"/>
      </w:pPr>
      <w:r>
        <w:t>Multimorbidität im hohen Alter: Krankheitsansammlung verlangsamt sich, Komplexität nimmt zu</w:t>
      </w:r>
    </w:p>
    <w:p>
      <w:r>
        <w:rPr>
          <w:i/>
          <w:color w:val="666666"/>
          <w:sz w:val="18"/>
        </w:rPr>
        <w:t>Zhang Y et al.  ·  Age Ageing  ·  04.09.2026  ·  PMID 42726903</w:t>
      </w:r>
    </w:p>
    <w:p>
      <w:r>
        <w:t>Schwedische Registeranalyse der Krankheitsansammlung bei 1920–1922 geborenen Personen von Alter 70 bis 100 Jahren.</w:t>
      </w:r>
    </w:p>
    <w:p>
      <w:r>
        <w:rPr>
          <w:b/>
        </w:rPr>
        <w:t xml:space="preserve">Ergebnis: </w:t>
      </w:r>
      <w:r>
        <w:t>Mit 90 Jahren durchschnittlich 3,9 Erkrankungen bei Männern und 3,5 bei Frauen; über die Hälfte der ≥95-Jährigen hatte ≥5 Erkrankungen. Krankheitsansammlung beschleunigte sich bis 80, stabilisierte sich 80–90, verlangsamte sich danach, aber Komplexität und Krankheitslast stiegen bis ins extreme Alter weiter. Kardiovaskuläre Erkrankungen dominierten durchgehend, Muskel- und Sinneserkrankungen wurden im hohen Alter wichtiger.</w:t>
      </w:r>
    </w:p>
    <w:p>
      <w:r>
        <w:rPr>
          <w:b/>
          <w:sz w:val="19"/>
        </w:rPr>
        <w:t xml:space="preserve">Übertragbarkeit: </w:t>
      </w:r>
      <w:r>
        <w:rPr>
          <w:sz w:val="19"/>
        </w:rPr>
        <w:t>Schweden, vergleichbare Lebenserwartung und Versorgungsstruktur</w:t>
      </w:r>
    </w:p>
    <w:p>
      <w:r>
        <w:rPr>
          <w:color w:val="5A7D3A"/>
          <w:sz w:val="18"/>
        </w:rPr>
        <w:t>https://pubmed.ncbi.nlm.nih.gov/42726903/</w:t>
      </w:r>
    </w:p>
    <w:p>
      <w:pPr>
        <w:pStyle w:val="Heading2"/>
      </w:pPr>
      <w:r>
        <w:t>Gebrechlichkeit bei Multimorbidität: Prävalenz und Risikofaktoren in der Gemeinde</w:t>
      </w:r>
    </w:p>
    <w:p>
      <w:r>
        <w:rPr>
          <w:i/>
          <w:color w:val="666666"/>
          <w:sz w:val="18"/>
        </w:rPr>
        <w:t>Feng S et al.  ·  Front Public Health  ·  27.08.2026  ·  PMID 42725090</w:t>
      </w:r>
    </w:p>
    <w:p>
      <w:r>
        <w:t>Querschnittsstudie bei 346 multimorbiden älteren Erwachsenen (≥60 Jahre) in fünf Gemeinden Chinas zur Prävalenz und unabhängigen Risikofaktoren für Gebrechlichkeit (Frailty).</w:t>
      </w:r>
    </w:p>
    <w:p>
      <w:r>
        <w:rPr>
          <w:b/>
        </w:rPr>
        <w:t xml:space="preserve">Ergebnis: </w:t>
      </w:r>
      <w:r>
        <w:t>52,9% (183/346) waren gebrechlich. Unabhängige Faktoren: Alter 70–80 Jahre (OR 2,64, 95%-KI 1,03–6,79), ≥80 Jahre (OR 4,92, 1,87–12,96); Krankenhausaufnahme wegen akuter Ereignisse im vergangenen Jahr (OR 1,84, 1,04–3,27); Landbewohner vs. städtisch (OR 0,34, 0,19–0,60). Normale Ernährung (OR 0,23, 0,16–0,50) und volle Aktivitätsunabhängigkeit (OR 0,21, 0,06–0,79) waren protektiv. Familienbetreuung vs. Selbstpflege (OR 0,39, 0,16–0,95) reduzierte Frailty-Risiko.</w:t>
      </w:r>
    </w:p>
    <w:p>
      <w:r>
        <w:rPr>
          <w:b/>
          <w:sz w:val="19"/>
        </w:rPr>
        <w:t xml:space="preserve">Übertragbarkeit: </w:t>
      </w:r>
      <w:r>
        <w:rPr>
          <w:sz w:val="19"/>
        </w:rPr>
        <w:t>China, andere Gesundheitsinfrastruktur; Screening-Muster teilweise übertragbar</w:t>
      </w:r>
    </w:p>
    <w:p>
      <w:r>
        <w:rPr>
          <w:color w:val="5A7D3A"/>
          <w:sz w:val="18"/>
        </w:rPr>
        <w:t>https://pubmed.ncbi.nlm.nih.gov/42725090/</w:t>
      </w:r>
    </w:p>
    <w:p>
      <w:pPr>
        <w:pStyle w:val="Heading2"/>
      </w:pPr>
      <w:r>
        <w:t>Präoperative Gebrechlichkeit und postoperative Komplikationen bei Hüftfrakturchirurgie</w:t>
      </w:r>
    </w:p>
    <w:p>
      <w:r>
        <w:rPr>
          <w:i/>
          <w:color w:val="666666"/>
          <w:sz w:val="18"/>
        </w:rPr>
        <w:t>Yonekura H et al.  ·  Geriatr Gerontol Int  ·  Sept. 2026  ·  PMID 42723340</w:t>
      </w:r>
    </w:p>
    <w:p>
      <w:r>
        <w:t>Analyse von 29.684 älteren Patienten (≥65 Jahre) in Japan mit Hüftfrakturoperationen (2005–2021) zu Assoziationen zwischen präoperativem Frailty-Risiko-Score und postoperativen Komplikationen mittels Krankenhausregister.</w:t>
      </w:r>
    </w:p>
    <w:p>
      <w:r>
        <w:rPr>
          <w:b/>
        </w:rPr>
        <w:t xml:space="preserve">Ergebnis: </w:t>
      </w:r>
      <w:r>
        <w:t>59,5% (17.656) waren gebrechlich (Hospital Frailty Risk Score ≥5). Präoperative Gebrechlichkeit nicht mit akutem Nierenversagen assoziiert (OR 0,97, KI 0,83–1,14; p=0,72) oder Major Adverse Kidney Events (OR 1,07, 0,80–1,44; p=0,65), aber signifikant mit Lungenkomplikationen (OR 1,68, 1,39–2,02; p&lt;0,001), postoperativem Delir (OR 1,35, 1,13–1,62; p&lt;0,001), höherer Transfusionsrate und längerer Krankenhausdauer assoziiert.</w:t>
      </w:r>
    </w:p>
    <w:p>
      <w:r>
        <w:rPr>
          <w:b/>
          <w:sz w:val="19"/>
        </w:rPr>
        <w:t xml:space="preserve">Übertragbarkeit: </w:t>
      </w:r>
      <w:r>
        <w:rPr>
          <w:sz w:val="19"/>
        </w:rPr>
        <w:t>Japan, vergleichbare Finanzierung, Operationsindikationen ähnlich zu Deutschland</w:t>
      </w:r>
    </w:p>
    <w:p>
      <w:r>
        <w:rPr>
          <w:color w:val="5A7D3A"/>
          <w:sz w:val="18"/>
        </w:rPr>
        <w:t>https://pubmed.ncbi.nlm.nih.gov/42723340/</w:t>
      </w:r>
    </w:p>
    <w:p>
      <w:pPr>
        <w:pStyle w:val="Heading2"/>
      </w:pPr>
      <w:r>
        <w:t>Gebrechlichkeit am Lebensende: wer hat Anspruch auf assistierten Freitod?</w:t>
      </w:r>
    </w:p>
    <w:p>
      <w:r>
        <w:rPr>
          <w:i/>
          <w:color w:val="666666"/>
          <w:sz w:val="18"/>
        </w:rPr>
        <w:t>Squeri T et al.  ·  Age Ageing  ·  04.09.2026  ·  PMID 42709408</w:t>
      </w:r>
    </w:p>
    <w:p>
      <w:r>
        <w:t>Vergleichende Analyse der Häufigkeit und rechtlichen Zulässigkeit von Gebrechlichkeit (Frailty) als Indikation für assistierten Freitod in Jurisdiktionen mit reguliertem Zugang.</w:t>
      </w:r>
    </w:p>
    <w:p>
      <w:r>
        <w:rPr>
          <w:b/>
        </w:rPr>
        <w:t xml:space="preserve">Ergebnis: </w:t>
      </w:r>
      <w:r>
        <w:t>Nur Kanada und Niederlande berichten die Häufigkeit: 9,07% der Freitode in Kanada 2023 waren mit Gebrechlichkeit assoziiert (als Hauptdiagnose oder Komorbidität), in den Niederlanden 3,85% mit multiplen geriatrischen Syndromen. 11 Jurisdiktionen: Gebrechlichkeit wahrscheinlich nicht zulässig; 6: schwere Gebrechlichkeit erfüllt Kriterien; 14: unklar. Erhebliches Reporting-Defizit und regulatorische Mehrdeutigkeit.</w:t>
      </w:r>
    </w:p>
    <w:p>
      <w:r>
        <w:rPr>
          <w:b/>
          <w:sz w:val="19"/>
        </w:rPr>
        <w:t xml:space="preserve">Übertragbarkeit: </w:t>
      </w:r>
      <w:r>
        <w:rPr>
          <w:sz w:val="19"/>
        </w:rPr>
        <w:t>Internationale Perspektive, begrenzte Relevanz für deutsches Recht</w:t>
      </w:r>
    </w:p>
    <w:p>
      <w:r>
        <w:rPr>
          <w:color w:val="5A7D3A"/>
          <w:sz w:val="18"/>
        </w:rPr>
        <w:t>https://pubmed.ncbi.nlm.nih.gov/42709408/</w:t>
      </w:r>
    </w:p>
    <w:p>
      <w:pPr>
        <w:pStyle w:val="Heading2"/>
      </w:pPr>
      <w:r>
        <w:t>Kognitive Alterung als sozial strukturierter Prozess: Lebenskurs, Ungleichheit und institutionelle Kontexte</w:t>
      </w:r>
    </w:p>
    <w:p>
      <w:r>
        <w:rPr>
          <w:i/>
          <w:color w:val="666666"/>
          <w:sz w:val="18"/>
        </w:rPr>
        <w:t>Bertogg A et al.  ·  Soc Sci Med  ·  01.08.2026  ·  PMID 42561791</w:t>
      </w:r>
    </w:p>
    <w:p>
      <w:r>
        <w:t>Editorial zu Spezialausgabe, die kognitives Altern als von Lebenslauf, sozialen Ungleichheiten und Institutionen geprägte Prozesse konzeptualisiert; Synthese länderübergreifender Studien aus Europa, Nordamerika, Lateinamerika und Asien.</w:t>
      </w:r>
    </w:p>
    <w:p>
      <w:r>
        <w:rPr>
          <w:b/>
        </w:rPr>
        <w:t xml:space="preserve">Ergebnis: </w:t>
      </w:r>
      <w:r>
        <w:t>Längsschnittstudien, Register, qualitative Interviews und ethnographische Arbeiten dokumentieren bleibende Einflüsse von Kindheitsbedingungen, Bildung, Berufslaufbahn, Familie, sozialer Partizipation, Nachbarschaft und Wohlfahrtsregimen auf späte kognitive Leistung. Ungleichheiten nach Geschlecht, Ethnie, Migrationshintergrund und Ort prägen kognitives Altern über die Lebensspanne. Infrastruktur, Gesundheitssysteme und politisch-ökonomische Veränderungen beeinflussen kognitive Reserven.</w:t>
      </w:r>
    </w:p>
    <w:p>
      <w:r>
        <w:rPr>
          <w:b/>
          <w:sz w:val="19"/>
        </w:rPr>
        <w:t xml:space="preserve">Übertragbarkeit: </w:t>
      </w:r>
      <w:r>
        <w:rPr>
          <w:sz w:val="19"/>
        </w:rPr>
        <w:t>Europäische und deutschsprachige Beiträge, vergleichbare Wohlfahrtssysteme</w:t>
      </w:r>
    </w:p>
    <w:p>
      <w:r>
        <w:rPr>
          <w:color w:val="5A7D3A"/>
          <w:sz w:val="18"/>
        </w:rPr>
        <w:t>https://pubmed.ncbi.nlm.nih.gov/42561791/</w:t>
      </w:r>
    </w:p>
    <w:p>
      <w:pPr>
        <w:pStyle w:val="Heading2"/>
      </w:pPr>
      <w:r>
        <w:t>Berufswahl Geriatrie: persönliche Zuneigung und Spezialisierungsanreize bei Medizinern</w:t>
      </w:r>
    </w:p>
    <w:p>
      <w:r>
        <w:rPr>
          <w:i/>
          <w:color w:val="666666"/>
          <w:sz w:val="18"/>
        </w:rPr>
        <w:t>Martín ML et al.  ·  Eur Geriatr Med  ·  11.07.2026  ·  PMID 42435263</w:t>
      </w:r>
    </w:p>
    <w:p>
      <w:r>
        <w:t>Qualitative Befragung (N=129) spanischer Medizinresidenten zu Faktoren, die die Wahl der Geriatrie beeinflussen, und Einfluss geriatrischer Schulung während des Studiums.</w:t>
      </w:r>
    </w:p>
    <w:p>
      <w:r>
        <w:rPr>
          <w:b/>
        </w:rPr>
        <w:t xml:space="preserve">Ergebnis: </w:t>
      </w:r>
      <w:r>
        <w:t>89% bereits mit Fachgebiet vertraut; 46% hatten theoretische und praktische geriatrische Schulung während des Studiums erhalten. Häufigste Faktoren: Affinität zu älteren Menschen (95%), Patientenkommunikation und Familie (90%), multidisziplinäres Arbeiten (86%), klinische Komplexität (84%), Multimorbidität (82%). Mit vollständiger geriatrischer Schulung 75% vs. 54% (p=0,02) erwogen Geriatrie als Fachgebiet; klinische Komplexität war signifikant wichtiger unter denen mit vollständiger Schulung (92% vs. 77%, p=0,027).</w:t>
      </w:r>
    </w:p>
    <w:p>
      <w:r>
        <w:rPr>
          <w:b/>
          <w:sz w:val="19"/>
        </w:rPr>
        <w:t xml:space="preserve">Übertragbarkeit: </w:t>
      </w:r>
      <w:r>
        <w:rPr>
          <w:sz w:val="19"/>
        </w:rPr>
        <w:t>Spanien, europäische Gesundheitspolitik, Ärztenachwuchs vergleichbar</w:t>
      </w:r>
    </w:p>
    <w:p>
      <w:r>
        <w:rPr>
          <w:color w:val="5A7D3A"/>
          <w:sz w:val="18"/>
        </w:rPr>
        <w:t>https://pubmed.ncbi.nlm.nih.gov/42435263/</w:t>
      </w:r>
    </w:p>
    <w:p>
      <w:pPr>
        <w:pStyle w:val="Heading1"/>
      </w:pPr>
      <w:r>
        <w:t>Aufgenommen am 11.09.2026</w:t>
      </w:r>
    </w:p>
    <w:p>
      <w:pPr>
        <w:pStyle w:val="Heading2"/>
      </w:pPr>
      <w:r>
        <w:t>Gesunde Arbeitsjahre: Länder- und individuelle Faktoren in multinationaler Kohorte</w:t>
      </w:r>
    </w:p>
    <w:p>
      <w:r>
        <w:rPr>
          <w:i/>
          <w:color w:val="666666"/>
          <w:sz w:val="18"/>
        </w:rPr>
        <w:t>Zhu J et al.  ·  PLoS Med  ·  10.09.2026  ·  PMID 42721193</w:t>
      </w:r>
    </w:p>
    <w:p>
      <w:r>
        <w:t>Multinational prospektive Kohortenstudie mit 79.833 Männern und 95.485 Frauen ≥50 Jahren aus 28 Ländern zu Einflussfaktoren auf die Anzahl gesunder, berufstätiger Lebensjahre.</w:t>
      </w:r>
    </w:p>
    <w:p>
      <w:r>
        <w:rPr>
          <w:b/>
        </w:rPr>
        <w:t xml:space="preserve">Ergebnis: </w:t>
      </w:r>
      <w:r>
        <w:t>Mit 50 Jahren: durchschnittliche Gesamtlebenserwartung 33,59 Jahre, davon 10,98 Jahre in Gesundheit und Erwerbstätigkeit (HWLE). Frauen: 9,82 Jahre HWLE, Männer: 12,36 Jahre. Verheiratung, höhere Bildung, gesunde Lebensstile verlängern HWLE. Schlaganfall reduziert HWLE um 5,49 Jahre. Länderebene: höhere Gesundheitsausgaben, höheres BIP pro Kopf, bessere Governance und flexible Arbeitsbedingungen assoziiert mit längerer HWLE. Höhere Ungleichheit (Gini-Index) und politische Instabilität reduzieren HWLE.</w:t>
      </w:r>
    </w:p>
    <w:p>
      <w:r>
        <w:rPr>
          <w:b/>
          <w:sz w:val="19"/>
        </w:rPr>
        <w:t xml:space="preserve">Übertragbarkeit: </w:t>
      </w:r>
      <w:r>
        <w:rPr>
          <w:sz w:val="19"/>
        </w:rPr>
        <w:t>Länderübergreifend, einzelne europäische Länder eingeschlossen, zeigt Wirksamkeit von Prävention und Arbeitsbedingungen</w:t>
      </w:r>
    </w:p>
    <w:p>
      <w:r>
        <w:rPr>
          <w:color w:val="5A7D3A"/>
          <w:sz w:val="18"/>
        </w:rPr>
        <w:t>https://pubmed.ncbi.nlm.nih.gov/42721193/</w:t>
      </w:r>
    </w:p>
    <w:p>
      <w:pPr>
        <w:pStyle w:val="Heading2"/>
      </w:pPr>
      <w:r>
        <w:t>Biologisches Altern und Osteoarthritis-Risiko: Kohortenstudie UK Biobank</w:t>
      </w:r>
    </w:p>
    <w:p>
      <w:r>
        <w:rPr>
          <w:i/>
          <w:color w:val="666666"/>
          <w:sz w:val="18"/>
        </w:rPr>
        <w:t>Liu S et al.  ·  Int J Rheum Dis  ·  Sept. 2026  ·  PMID 42687813</w:t>
      </w:r>
    </w:p>
    <w:p>
      <w:r>
        <w:t>Querschnitts- und Längsschnittanalyse an 332.261 UK-Biobank-Teilnehmern zu Assoziation zwischen biologischem Altern (gemessen durch PhenoAge und KDMAge) und Osteoarthritis-Inzidenz.</w:t>
      </w:r>
    </w:p>
    <w:p>
      <w:r>
        <w:rPr>
          <w:b/>
        </w:rPr>
        <w:t xml:space="preserve">Ergebnis: </w:t>
      </w:r>
      <w:r>
        <w:t>55,4 % der Kohorte zeigten jüngeres biologisches Alter (PhenoAge Acceleration). Im Querschnitt: höhere Odds für OA bei beschleunigtem biologischen Altern (OR 1,12 für PhenoAge, 95 % CI 1,09–1,14; OR 1,05 für KDMAge, 95 % CI 1,03–1,08). Längsschnittlich (Follow-up): PhenoAge-Beschleunigung erhöhte OA-Risiko (HR 1,12, 95 % CI 1,10–1,15). KDMAge zeigte keine signifikante Längsassoziaton. Effekt stärker bei &gt;60 Jahren. Biologische Altersbeschleunigung ist vom OA-Polygenic-Risk-Score unabhängig.</w:t>
      </w:r>
    </w:p>
    <w:p>
      <w:r>
        <w:rPr>
          <w:b/>
          <w:sz w:val="19"/>
        </w:rPr>
        <w:t xml:space="preserve">Übertragbarkeit: </w:t>
      </w:r>
      <w:r>
        <w:rPr>
          <w:sz w:val="19"/>
        </w:rPr>
        <w:t>UK Biobank, vergleichbares englisches Sozialversicherungssystem, biomarkergestützte Risikovorhersage</w:t>
      </w:r>
    </w:p>
    <w:p>
      <w:r>
        <w:rPr>
          <w:color w:val="5A7D3A"/>
          <w:sz w:val="18"/>
        </w:rPr>
        <w:t>https://pubmed.ncbi.nlm.nih.gov/42687813/</w:t>
      </w:r>
    </w:p>
    <w:p>
      <w:pPr>
        <w:pStyle w:val="Heading2"/>
      </w:pPr>
      <w:r>
        <w:t>Hochaltrige in Deutschland: Demografie, regionale Ungleichheiten und Gesundheit</w:t>
      </w:r>
    </w:p>
    <w:p>
      <w:r>
        <w:rPr>
          <w:i/>
          <w:color w:val="666666"/>
          <w:sz w:val="18"/>
        </w:rPr>
        <w:t>Wolter B et al.  ·  Bundesgesundheitsblatt Gesundheitsforschung Gesundheitsschutz  ·  18.08.2026  ·  PMID 42611051</w:t>
      </w:r>
    </w:p>
    <w:p>
      <w:r>
        <w:t>Deutschlandweite Beschreibung der Demografie, Lebenslage und Gesundheit von über 80-Jährigen auf Basis der repräsentativen Studien Gesundheit 65+ und D80+.</w:t>
      </w:r>
    </w:p>
    <w:p>
      <w:r>
        <w:rPr>
          <w:b/>
        </w:rPr>
        <w:t xml:space="preserve">Ergebnis: </w:t>
      </w:r>
      <w:r>
        <w:t>Etwa ein Viertel der Hochaltrigen hat starke funktionale Einschränkungen (beide Datensätze konsistent). Männer zeigen bessere Alltagsfunktionalität als Frauen. Ein Drittel ist beim Gehen &gt;1 km, ein Sechstel beim Treppensteigen stark beeinträchtigt. Schwere Sehverluste bei 10 %, Hörverluste bei 27 %. Harninkontinenz betrifft 40 % (Frauen häufiger). 43 % sind pre-frail, 8,6 % frail. Funktionale Einschränkungen sind besonders bei Frauen und Niedrigeinkommen ausgeprägt.</w:t>
      </w:r>
    </w:p>
    <w:p>
      <w:r>
        <w:rPr>
          <w:b/>
          <w:sz w:val="19"/>
        </w:rPr>
        <w:t xml:space="preserve">Übertragbarkeit: </w:t>
      </w:r>
      <w:r>
        <w:rPr>
          <w:sz w:val="19"/>
        </w:rPr>
        <w:t>Deutsche Daten aus RKI und ceres, direkt anwendbar</w:t>
      </w:r>
    </w:p>
    <w:p>
      <w:r>
        <w:rPr>
          <w:color w:val="5A7D3A"/>
          <w:sz w:val="18"/>
        </w:rPr>
        <w:t>https://pubmed.ncbi.nlm.nih.gov/42611051/</w:t>
      </w:r>
    </w:p>
    <w:p>
      <w:pPr>
        <w:pStyle w:val="Heading2"/>
      </w:pPr>
      <w:r>
        <w:t>Präventive Hausbesuche zur Gesundheitsförderung älterer Menschen</w:t>
      </w:r>
    </w:p>
    <w:p>
      <w:r>
        <w:rPr>
          <w:i/>
          <w:color w:val="666666"/>
          <w:sz w:val="18"/>
        </w:rPr>
        <w:t>Blotenberg B et al.  ·  Bundesgesundheitsblatt Gesundheitsforschung Gesundheitsschutz  ·  13.08.2026  ·  PMID 42593520</w:t>
      </w:r>
    </w:p>
    <w:p>
      <w:r>
        <w:t>Diskussionsbeitrag zu Konzeption, Effektivität und Finanzierungserfordernissen präventiver Hausbesuche als niedrigschwellige Versorgungsform in Deutschland.</w:t>
      </w:r>
    </w:p>
    <w:p>
      <w:r>
        <w:rPr>
          <w:b/>
        </w:rPr>
        <w:t xml:space="preserve">Ergebnis: </w:t>
      </w:r>
      <w:r>
        <w:t>In Deutschland wachsende Zahl von Projekten mit unterschiedlichen Konzepten. PHB können Sturzrisiken, soziale Isolation und Ernährungsmängel früh erkennen und Versorgungskompetenz stärken. Zentrale Herausforderung: Langzeitfinanzierung und Verstetigung bislang projektförmig organisierter Angebote. Forderung: Bessere Verankerung in gesetzlicher Kranken- und Pflegeversicherung.</w:t>
      </w:r>
    </w:p>
    <w:p>
      <w:r>
        <w:rPr>
          <w:b/>
          <w:sz w:val="19"/>
        </w:rPr>
        <w:t xml:space="preserve">Übertragbarkeit: </w:t>
      </w:r>
      <w:r>
        <w:rPr>
          <w:sz w:val="19"/>
        </w:rPr>
        <w:t>Deutsche Gesundheitslandschaft, unmittelbar relevant für Finanzierungsdiskurs</w:t>
      </w:r>
    </w:p>
    <w:p>
      <w:r>
        <w:rPr>
          <w:color w:val="5A7D3A"/>
          <w:sz w:val="18"/>
        </w:rPr>
        <w:t>https://pubmed.ncbi.nlm.nih.gov/42593520/</w:t>
      </w:r>
    </w:p>
    <w:p>
      <w:pPr>
        <w:pStyle w:val="Heading2"/>
      </w:pPr>
      <w:r>
        <w:t>Körperliche Funktionsfähigkeit und Frailty im sehr hohen Alter</w:t>
      </w:r>
    </w:p>
    <w:p>
      <w:r>
        <w:rPr>
          <w:i/>
          <w:color w:val="666666"/>
          <w:sz w:val="18"/>
        </w:rPr>
        <w:t>Nowossadeck S et al.  ·  Bundesgesundheitsblatt Gesundheitsforschung Gesundheitsschutz  ·  11.08.2026  ·  PMID 42579141</w:t>
      </w:r>
    </w:p>
    <w:p>
      <w:r>
        <w:t>Analyse von Funktionsfähigkeit und Frailty bei über 80-Jährigen in deutschen Privathaushalten mit GALI und spezifischen Funktionsindikatoren.</w:t>
      </w:r>
    </w:p>
    <w:p>
      <w:r>
        <w:rPr>
          <w:b/>
        </w:rPr>
        <w:t xml:space="preserve">Ergebnis: </w:t>
      </w:r>
      <w:r>
        <w:t>Ein Viertel hat schwere funktionale Einschränkungen (GALI). Mobilität: 33 % bei &gt;1 km Gehstrecke, 17 % beim Treppensteigen stark begrenzt. Sensorische Defizite: 10 % Sehstörungen, 27 % Hörstörungen. Harninkontinenz 40 %. Robustheit 49 %, Pre-Frailty 43 %, Frailty 8,6 %. Geschlechts- und teilweise einkommensspezifische Unterschiede vorhanden.</w:t>
      </w:r>
    </w:p>
    <w:p>
      <w:r>
        <w:rPr>
          <w:b/>
          <w:sz w:val="19"/>
        </w:rPr>
        <w:t xml:space="preserve">Übertragbarkeit: </w:t>
      </w:r>
      <w:r>
        <w:rPr>
          <w:sz w:val="19"/>
        </w:rPr>
        <w:t>Deutsche Alternssurvey (DEAS) und Gesundheit 65+, direkt auf deutsches System übertragbar</w:t>
      </w:r>
    </w:p>
    <w:p>
      <w:r>
        <w:rPr>
          <w:color w:val="5A7D3A"/>
          <w:sz w:val="18"/>
        </w:rPr>
        <w:t>https://pubmed.ncbi.nlm.nih.gov/42579141/</w:t>
      </w:r>
    </w:p>
    <w:p>
      <w:pPr>
        <w:pStyle w:val="Heading2"/>
      </w:pPr>
      <w:r>
        <w:t>Genexpression in Mikroglia über die Lebensspanne: nichtlineare Muster und AD-Implikationen</w:t>
      </w:r>
    </w:p>
    <w:p>
      <w:r>
        <w:rPr>
          <w:i/>
          <w:color w:val="666666"/>
          <w:sz w:val="18"/>
        </w:rPr>
        <w:t>Muedano-Sosa A et al.  ·  Exp Gerontol  ·  01.10.2026  ·  PMID 42551772</w:t>
      </w:r>
    </w:p>
    <w:p>
      <w:r>
        <w:t>In-silico-Transkriptomanalyse öffentlicher Datensätze zur Charakterisierung von Genexpressions-Trajektorien während physiologischen und pathologischen Alterns von Mikroglia.</w:t>
      </w:r>
    </w:p>
    <w:p>
      <w:r>
        <w:rPr>
          <w:b/>
        </w:rPr>
        <w:t xml:space="preserve">Ergebnis: </w:t>
      </w:r>
      <w:r>
        <w:t>Physiologisches Alter der Mikroglia zeigt nichtlineare, spiegelsymmetrische Expressionsmuster bei Genen der Mitochondrienfunktion, lysosomalen Degradation und Immunantwort. Dieses Muster ist in humanen Daten konserviert. Bei pathologischem Altern (APP/PS1 transgene Mäuse) wird dieses adaptive Muster gestört – anhaltende Entzündungs- und Mitochondriendysfunktion. Mittleres Alter könnte kritischer Übergangspunkt sein, bevor Neuroinflammation einsetzt. Gene, die in transgenen Mäusen dysreguliert sind, zeigen ähnliche Trends in AD-Patienten.</w:t>
      </w:r>
    </w:p>
    <w:p>
      <w:r>
        <w:rPr>
          <w:b/>
          <w:sz w:val="19"/>
        </w:rPr>
        <w:t xml:space="preserve">Übertragbarkeit: </w:t>
      </w:r>
      <w:r>
        <w:rPr>
          <w:sz w:val="19"/>
        </w:rPr>
        <w:t>Mausmodelle und humane Daten, grundlagenwissenschaftlich; translational zu AD</w:t>
      </w:r>
    </w:p>
    <w:p>
      <w:r>
        <w:rPr>
          <w:color w:val="5A7D3A"/>
          <w:sz w:val="18"/>
        </w:rPr>
        <w:t>https://pubmed.ncbi.nlm.nih.gov/42551772/</w:t>
      </w:r>
    </w:p>
    <w:p>
      <w:pPr>
        <w:pStyle w:val="Heading1"/>
      </w:pPr>
      <w:r>
        <w:t>Aufgenommen am 10.09.2026</w:t>
      </w:r>
    </w:p>
    <w:p>
      <w:pPr>
        <w:pStyle w:val="Heading2"/>
      </w:pPr>
      <w:r>
        <w:t>Altersgerechte Umgebungen reduzieren Motoric-Cognitive-Risk-Syndrom</w:t>
      </w:r>
    </w:p>
    <w:p>
      <w:r>
        <w:rPr>
          <w:i/>
          <w:color w:val="666666"/>
          <w:sz w:val="18"/>
        </w:rPr>
        <w:t>Zhang H et al.  ·  Alzheimers Dement  ·  Sept. 2026  ·  PMID 42712112</w:t>
      </w:r>
    </w:p>
    <w:p>
      <w:r>
        <w:t>Prospektive Kohortenstudie aus den USA, die den Zusammenhang zwischen altersgerechten Lebensumgebungen und Inzidenz des Motoric Cognitive Risk Syndrome (Prädemenzsyndrom) untersucht.</w:t>
      </w:r>
    </w:p>
    <w:p>
      <w:r>
        <w:rPr>
          <w:b/>
        </w:rPr>
        <w:t xml:space="preserve">Ergebnis: </w:t>
      </w:r>
      <w:r>
        <w:t>Über 4 Jahre Nachbeobachtung: 801 Neuerkrankungen bei 7.608 älteren Erwachsenen (Durchschnittsalter 76,8 Jahre). Mit höherem altersgerechten Umgebungsscore geringeres MCR-Risiko (Q3: HR 0,75; 95%-KI 0,61–0,91; Q4: HR 0,62; 95%-KI 0,50–0,78); Dosis-Wirkungs-Beziehung nachgewiesen (HR 0,96 pro Punkt; p&lt;0,01).</w:t>
      </w:r>
    </w:p>
    <w:p>
      <w:r>
        <w:rPr>
          <w:b/>
          <w:sz w:val="19"/>
        </w:rPr>
        <w:t xml:space="preserve">Übertragbarkeit: </w:t>
      </w:r>
      <w:r>
        <w:rPr>
          <w:sz w:val="19"/>
        </w:rPr>
        <w:t>USA-Daten – Umweltgestaltung ist länderübergreifend adaptierbar, Outcome-Messung jedoch populationsspezifisch.</w:t>
      </w:r>
    </w:p>
    <w:p>
      <w:r>
        <w:rPr>
          <w:color w:val="5A7D3A"/>
          <w:sz w:val="18"/>
        </w:rPr>
        <w:t>https://pubmed.ncbi.nlm.nih.gov/42712112/</w:t>
      </w:r>
    </w:p>
    <w:p>
      <w:pPr>
        <w:pStyle w:val="Heading2"/>
      </w:pPr>
      <w:r>
        <w:t>Mundgesundheit und Gebrechlichkeit bei Krebspatienten: Metaanalyse</w:t>
      </w:r>
    </w:p>
    <w:p>
      <w:r>
        <w:rPr>
          <w:i/>
          <w:color w:val="666666"/>
          <w:sz w:val="18"/>
        </w:rPr>
        <w:t>Liu W et al.  ·  Front Public Health  ·  24.08.2026  ·  PMID 42707137</w:t>
      </w:r>
    </w:p>
    <w:p>
      <w:r>
        <w:t>Systematische Übersicht und Metaanalyse von 13 Studien (n=3.524) zur Prävalenz und Einflussfaktoren von Mundgebrechlichkeit (oral frailty) bei Krebspatienten.</w:t>
      </w:r>
    </w:p>
    <w:p>
      <w:r>
        <w:rPr>
          <w:b/>
        </w:rPr>
        <w:t xml:space="preserve">Ergebnis: </w:t>
      </w:r>
      <w:r>
        <w:t>Mundgebrechlichkeit-Prävalenz 52 % (95%-KI: 46–59 %). Signifikante Assoziationen mit: Zahnersatz (OR 15,09; KI 6,78–33,58), schlechter Mundgesundheit (OR 4,70; KI 2,13–10,39), körperlicher Frailty (OR 3,63; KI 2,40–5,50), Rauchen (OR 3,53; KI 2,34–5,31), Mangelernährung (OR 3,40; KI 2,01–5,75), Xerostomie (OR 3,46; KI 2,11–5,68) und Radiotherapie (OR 2,62; KI 1,67–4,11).</w:t>
      </w:r>
    </w:p>
    <w:p>
      <w:r>
        <w:rPr>
          <w:b/>
          <w:sz w:val="19"/>
        </w:rPr>
        <w:t xml:space="preserve">Übertragbarkeit: </w:t>
      </w:r>
      <w:r>
        <w:rPr>
          <w:sz w:val="19"/>
        </w:rPr>
        <w:t>Internationale Metaanalyse – risikofaktoren geriatrierelevant, aber Mundhygiene-Standards regional unterschiedlich.</w:t>
      </w:r>
    </w:p>
    <w:p>
      <w:r>
        <w:rPr>
          <w:color w:val="5A7D3A"/>
          <w:sz w:val="18"/>
        </w:rPr>
        <w:t>https://pubmed.ncbi.nlm.nih.gov/42707137/</w:t>
      </w:r>
    </w:p>
    <w:p>
      <w:pPr>
        <w:pStyle w:val="Heading2"/>
      </w:pPr>
      <w:r>
        <w:t>Demenzkonversion bei milder kognitiver Beeinträchtigung: Inzidenzraten in Brasilien</w:t>
      </w:r>
    </w:p>
    <w:p>
      <w:r>
        <w:rPr>
          <w:i/>
          <w:color w:val="666666"/>
          <w:sz w:val="18"/>
        </w:rPr>
        <w:t>Engelmann GTO et al.  ·  Alzheimers Dement  ·  Sept. 2026  ·  PMID 42706593</w:t>
      </w:r>
    </w:p>
    <w:p>
      <w:r>
        <w:t>15-Jahres-Kohortenstudie der kognitiven Entwicklung brasilianischer Älterer, die Übergangsraten von milder kognitiver Beeinträchtigung zu Demenz vom Alzheimer-Typ quantifiziert.</w:t>
      </w:r>
    </w:p>
    <w:p>
      <w:r>
        <w:rPr>
          <w:b/>
        </w:rPr>
        <w:t xml:space="preserve">Ergebnis: </w:t>
      </w:r>
      <w:r>
        <w:t>Jährliche Demenzkonversionsrate in der MCI-Gruppe 10,72 pro 100 Personenjahre (95%-KI: 8,54–13,29 %); kumulative Inzidenz nach 3 Jahren 29,85 % (95%-KI: 22,74–36,96 %), unter Berücksichtigung von Sterblichkeit als konkurrierende Ereignis. Die Studie belegt rasche Progression in Ländern mit mittlerem und niedrigem Einkommen.</w:t>
      </w:r>
    </w:p>
    <w:p>
      <w:r>
        <w:rPr>
          <w:b/>
          <w:sz w:val="19"/>
        </w:rPr>
        <w:t xml:space="preserve">Übertragbarkeit: </w:t>
      </w:r>
      <w:r>
        <w:rPr>
          <w:sz w:val="19"/>
        </w:rPr>
        <w:t>Brasilien - Daten für Länder mit niedrigerer Lebenserwartung; Übertragbarkeit auf Deutschland begrenzt.</w:t>
      </w:r>
    </w:p>
    <w:p>
      <w:r>
        <w:rPr>
          <w:color w:val="5A7D3A"/>
          <w:sz w:val="18"/>
        </w:rPr>
        <w:t>https://pubmed.ncbi.nlm.nih.gov/42706593/</w:t>
      </w:r>
    </w:p>
    <w:p>
      <w:pPr>
        <w:pStyle w:val="Heading2"/>
      </w:pPr>
      <w:r>
        <w:t>Lifestyle und Telomerlänge bei psychischen Erkrankungen</w:t>
      </w:r>
    </w:p>
    <w:p>
      <w:r>
        <w:rPr>
          <w:i/>
          <w:color w:val="666666"/>
          <w:sz w:val="18"/>
        </w:rPr>
        <w:t>Mlakar V et al.  ·  Transl Psychiatry  ·  02.09.2026  ·  PMID 42706234</w:t>
      </w:r>
    </w:p>
    <w:p>
      <w:r>
        <w:t>Querschnittstudie, die den Zusammenhang zwischen Lebensstilfaktoren und biologischem Alterungsmarker (Telomerlänge) bei 410 Personen mit schweren psychischen Störungen untersucht.</w:t>
      </w:r>
    </w:p>
    <w:p>
      <w:r>
        <w:rPr>
          <w:b/>
        </w:rPr>
        <w:t xml:space="preserve">Ergebnis: </w:t>
      </w:r>
      <w:r>
        <w:t>Personen mit ungesundem Lebensstil hatten kürzere Telomere als solche mit gesundem Lebensstil (Cohens d = 0,58, F = 8,62, p = 0,004). Mit zunehmender Anzahl ungesunder Verhaltensweisen kürzere Telomere (F = 2,69, p = 0,02, adjustiert für Alter, Geschlecht, Ethnizität, Trauma, Medikation, Bildung, Diagnose). Gesunder Lebensstil assoziiert mit etwa 6 Jahren niedrigerem biologischem Alter.</w:t>
      </w:r>
    </w:p>
    <w:p>
      <w:r>
        <w:rPr>
          <w:b/>
          <w:sz w:val="19"/>
        </w:rPr>
        <w:t xml:space="preserve">Übertragbarkeit: </w:t>
      </w:r>
      <w:r>
        <w:rPr>
          <w:sz w:val="19"/>
        </w:rPr>
        <w:t>Norwegen-England – psychische Grundpopulation, methodisch solid; Übertragbarkeit auf deutsches Versorgungssystem moderat.</w:t>
      </w:r>
    </w:p>
    <w:p>
      <w:r>
        <w:rPr>
          <w:color w:val="5A7D3A"/>
          <w:sz w:val="18"/>
        </w:rPr>
        <w:t>https://pubmed.ncbi.nlm.nih.gov/42706234/</w:t>
      </w:r>
    </w:p>
    <w:p>
      <w:pPr>
        <w:pStyle w:val="Heading2"/>
      </w:pPr>
      <w:r>
        <w:t>Perspektivenübernahme reduziert Altersstereotypen bei Onlineinterventionen</w:t>
      </w:r>
    </w:p>
    <w:p>
      <w:r>
        <w:rPr>
          <w:i/>
          <w:color w:val="666666"/>
          <w:sz w:val="18"/>
        </w:rPr>
        <w:t>Stecker L et al.  ·  J Aging Stud  ·  08.08.2026  ·  PMID 42705830</w:t>
      </w:r>
    </w:p>
    <w:p>
      <w:r>
        <w:t>Experimentelle Studie, welche von drei Kurzzeitinterventionen gegen Altersdiskriminierung und Hassrede im Internet die Wirksamkeit vergleicht.</w:t>
      </w:r>
    </w:p>
    <w:p>
      <w:r>
        <w:rPr>
          <w:b/>
        </w:rPr>
        <w:t xml:space="preserve">Ergebnis: </w:t>
      </w:r>
      <w:r>
        <w:t>Perspektivenübernahme war die einzige Intervention, die explizite Stereotype signifikant reduzierte (zwischen den Gruppen gemessen mit IAT und Likert-Skalen); implizite Ageism-Verzerrung wurde durch keine der drei kurzen Interventionen verschoben. Altersangst moderierte die Effektivität nicht, sagte aber explizite Altersdiskriminierung voraus.</w:t>
      </w:r>
    </w:p>
    <w:p>
      <w:r>
        <w:rPr>
          <w:b/>
          <w:sz w:val="19"/>
        </w:rPr>
        <w:t xml:space="preserve">Übertragbarkeit: </w:t>
      </w:r>
      <w:r>
        <w:rPr>
          <w:sz w:val="19"/>
        </w:rPr>
        <w:t>Deutschland - universitäre Stichprobe, aber Onlineformat länderübergreifend einsetzbar.</w:t>
      </w:r>
    </w:p>
    <w:p>
      <w:r>
        <w:rPr>
          <w:color w:val="5A7D3A"/>
          <w:sz w:val="18"/>
        </w:rPr>
        <w:t>https://pubmed.ncbi.nlm.nih.gov/42705830/</w:t>
      </w:r>
    </w:p>
    <w:p>
      <w:pPr>
        <w:pStyle w:val="Heading2"/>
      </w:pPr>
      <w:r>
        <w:t>Schichtarbeit, biologische Altersbeschleunigung und Sterblichkeit</w:t>
      </w:r>
    </w:p>
    <w:p>
      <w:r>
        <w:rPr>
          <w:i/>
          <w:color w:val="666666"/>
          <w:sz w:val="18"/>
        </w:rPr>
        <w:t>Wang R et al.  ·  Int Arch Occup Environ Health  ·  06.09.2026  ·  PMID 42701914</w:t>
      </w:r>
    </w:p>
    <w:p>
      <w:r>
        <w:t>Prospektive Kohortenstudie von 7.548 US-Erwachsenen mit Mortality-Follow-up, die Assoziationen zwischen Schichtarbeit und All-cause-Mortalität sowie die Rolle biologischer Altersbeschleunigung untersucht.</w:t>
      </w:r>
    </w:p>
    <w:p>
      <w:r>
        <w:rPr>
          <w:b/>
        </w:rPr>
        <w:t xml:space="preserve">Ergebnis: </w:t>
      </w:r>
      <w:r>
        <w:t>Schichtarbeit assoziiert mit erhöhter Gesamtsterblichkeit (HR 1,52; 95%-KI 1,09–2,13). Schichtarbeiter zeigten stärkere PhenoAge-Beschleunigung (β = 0,39 Jahre). PhenoAge-Beschleunigung statistisch verantwortlich für 6,18 % der Assoziation zwischen Schichtarbeit und Sterblichkeit (kausale Mediation nicht inferierbar).</w:t>
      </w:r>
    </w:p>
    <w:p>
      <w:r>
        <w:rPr>
          <w:b/>
          <w:sz w:val="19"/>
        </w:rPr>
        <w:t xml:space="preserve">Übertragbarkeit: </w:t>
      </w:r>
      <w:r>
        <w:rPr>
          <w:sz w:val="19"/>
        </w:rPr>
        <w:t>USA-NHANES-Daten – Schichtarbeit-Definition international vergleichbar, aber Arbeitsmarkt und Sozialversicherung unterscheiden sich erheblich.</w:t>
      </w:r>
    </w:p>
    <w:p>
      <w:r>
        <w:rPr>
          <w:color w:val="5A7D3A"/>
          <w:sz w:val="18"/>
        </w:rPr>
        <w:t>https://pubmed.ncbi.nlm.nih.gov/42701914/</w:t>
      </w:r>
    </w:p>
    <w:p>
      <w:pPr>
        <w:pStyle w:val="Heading1"/>
      </w:pPr>
      <w:r>
        <w:t>Aufgenommen am 09.09.2026</w:t>
      </w:r>
    </w:p>
    <w:p>
      <w:pPr>
        <w:pStyle w:val="Heading2"/>
      </w:pPr>
      <w:r>
        <w:t>Sozioökonomische Ungleichheiten in der Lebenserwartung nach Diagnose: Dänemark 64 Erkrankungen</w:t>
      </w:r>
    </w:p>
    <w:p>
      <w:r>
        <w:rPr>
          <w:i/>
          <w:color w:val="666666"/>
          <w:sz w:val="18"/>
        </w:rPr>
        <w:t>Pallesen AVJ et al.  ·  Eur J Public Health  ·  04.08.2026  ·  PMID 42709676</w:t>
      </w:r>
    </w:p>
    <w:p>
      <w:r>
        <w:t>Bevölkerungsregister-Studie (4,4 Mio. Dänen) mit Multistate-Modellen zur Abbildung von Bildungs- und Einkommensungleichheiten in der Lebenserwartung nach Diagnose von 64 nichtübertragbaren Erkrankungen.</w:t>
      </w:r>
    </w:p>
    <w:p>
      <w:r>
        <w:rPr>
          <w:b/>
        </w:rPr>
        <w:t xml:space="preserve">Ergebnis: </w:t>
      </w:r>
      <w:r>
        <w:t>Bildungs- und Einkommensungleichheiten in der Lebenserwartung nach Diagnosestellung waren konsistent über alle 64 Erkrankungen hinweg vorhanden. Beispiel Leberzirrhose: Hochgebildete 50-Jährige mit Diagnose lebten 17 Jahre (Frauen) bzw. 13 Jahre (Männer) länger als Niedriggebildete (14 bzw. 10 Jahre). Befund zeigt universelles Muster: Sozioökonomische Position beeinflusst Krankheitsverlauf und Mortalität unabhängig von der Erkrankung.</w:t>
      </w:r>
    </w:p>
    <w:p>
      <w:r>
        <w:rPr>
          <w:b/>
          <w:sz w:val="19"/>
        </w:rPr>
        <w:t xml:space="preserve">Übertragbarkeit: </w:t>
      </w:r>
      <w:r>
        <w:rPr>
          <w:sz w:val="19"/>
        </w:rPr>
        <w:t>Dänische Vollpopulationsdaten, Sozialversicherungssystem vergleichbar mit Deutschland.</w:t>
      </w:r>
    </w:p>
    <w:p>
      <w:r>
        <w:rPr>
          <w:color w:val="5A7D3A"/>
          <w:sz w:val="18"/>
        </w:rPr>
        <w:t>https://pubmed.ncbi.nlm.nih.gov/42709676/</w:t>
      </w:r>
    </w:p>
    <w:p>
      <w:pPr>
        <w:pStyle w:val="Heading2"/>
      </w:pPr>
      <w:r>
        <w:t>Allostatic Load vorhersagt Frailty-Entwicklung: 12-Jahres-Längsschnittstudie</w:t>
      </w:r>
    </w:p>
    <w:p>
      <w:r>
        <w:rPr>
          <w:i/>
          <w:color w:val="666666"/>
          <w:sz w:val="18"/>
        </w:rPr>
        <w:t>Arkesteijn M et al.  ·  Stress Health  ·  Okt. 2026  ·  PMID 42708507</w:t>
      </w:r>
    </w:p>
    <w:p>
      <w:r>
        <w:t>English Longitudinal Survey on Ageing (ELSA): 3248 Personen 50–89 Jahre über 12 Jahre; Analyse, ob Allostatic Load (Multimarkerbiomarker chronischen Stresses) die Neuonset von Prä-Frailty oder Frailty vorhersagt.</w:t>
      </w:r>
    </w:p>
    <w:p>
      <w:r>
        <w:rPr>
          <w:b/>
        </w:rPr>
        <w:t xml:space="preserve">Ergebnis: </w:t>
      </w:r>
      <w:r>
        <w:t>Erhöhte Allostatic Load war signifikanter Prädiktor für Onset von Prä-Frailty und Frailty (Hazard Ratio nicht in Abstract beziffert). Soziale Unterstützung modifizierte diesen Effekt modifizierbar. Alter und Geschlecht interagierten nicht mit Allostatic Load und Frailty-Vorhersage. Allostatic Load könnte als Screening-Instrument für Frailty-Risiko bei aktuell nicht-frailem Individuen dienen.</w:t>
      </w:r>
    </w:p>
    <w:p>
      <w:r>
        <w:rPr>
          <w:b/>
          <w:sz w:val="19"/>
        </w:rPr>
        <w:t xml:space="preserve">Übertragbarkeit: </w:t>
      </w:r>
      <w:r>
        <w:rPr>
          <w:sz w:val="19"/>
        </w:rPr>
        <w:t>Großbritannien, NHS-System, nationale Surveydaten vergleichbar mit deutschem Setting.</w:t>
      </w:r>
    </w:p>
    <w:p>
      <w:r>
        <w:rPr>
          <w:color w:val="5A7D3A"/>
          <w:sz w:val="18"/>
        </w:rPr>
        <w:t>https://pubmed.ncbi.nlm.nih.gov/42708507/</w:t>
      </w:r>
    </w:p>
    <w:p>
      <w:pPr>
        <w:pStyle w:val="Heading2"/>
      </w:pPr>
      <w:r>
        <w:t>Zivilgesellschaftliche Beteiligung älterer Menschen und wahrgenommene Gesundheit</w:t>
      </w:r>
    </w:p>
    <w:p>
      <w:r>
        <w:rPr>
          <w:i/>
          <w:color w:val="666666"/>
          <w:sz w:val="18"/>
        </w:rPr>
        <w:t>Cantore M et al.  ·  Front Public Health  ·  24.08.2026  ·  PMID 42707366</w:t>
      </w:r>
    </w:p>
    <w:p>
      <w:r>
        <w:t>Qualitative Studie (Italien, 2025): 12 ältere Erwachsene (≥70 Jahre) zu Erfahrungen mit zivilgesellschaftlicher und politischer Partizipation und deren Auswirkungen auf Gesundheit und Wohlbefinden.</w:t>
      </w:r>
    </w:p>
    <w:p>
      <w:r>
        <w:rPr>
          <w:b/>
        </w:rPr>
        <w:t xml:space="preserve">Ergebnis: </w:t>
      </w:r>
      <w:r>
        <w:t>Freiwilliges Engagement fördert körperliche Mobilität, Handlungsfähigkeit und Selbstwirksamkeit. Politische Partizipation wirkt kognitiv stimulierend, führt aber häufig zu emotionaler Erschöpfung, Entfremdung und Frustration. Intergenerationale Lernprozesse und Dialog gelten als zentral für nachhaltiges Engagement. Befund belegt, dass emotionale Belastung durch politische Enttäuschung zu beachten ist.</w:t>
      </w:r>
    </w:p>
    <w:p>
      <w:r>
        <w:rPr>
          <w:b/>
          <w:sz w:val="19"/>
        </w:rPr>
        <w:t xml:space="preserve">Übertragbarkeit: </w:t>
      </w:r>
      <w:r>
        <w:rPr>
          <w:sz w:val="19"/>
        </w:rPr>
        <w:t>Italien, Südeuropa; Gesundheitssystem und zivilgesellschaftliche Strukturen unterscheiden sich von Deutschland.</w:t>
      </w:r>
    </w:p>
    <w:p>
      <w:r>
        <w:rPr>
          <w:color w:val="5A7D3A"/>
          <w:sz w:val="18"/>
        </w:rPr>
        <w:t>https://pubmed.ncbi.nlm.nih.gov/42707366/</w:t>
      </w:r>
    </w:p>
    <w:p>
      <w:pPr>
        <w:pStyle w:val="Heading2"/>
      </w:pPr>
      <w:r>
        <w:t>Altern ohne Verwandte: Transnigration, Sehnsucht und Desillusionierung</w:t>
      </w:r>
    </w:p>
    <w:p>
      <w:r>
        <w:rPr>
          <w:i/>
          <w:color w:val="666666"/>
          <w:sz w:val="18"/>
        </w:rPr>
        <w:t>Mishra J et al.  ·  J Aging Stud  ·  26.06.2026  ·  PMID 42705826</w:t>
      </w:r>
    </w:p>
    <w:p>
      <w:r>
        <w:t>Ethnografische Studie in Patiala (Nordindien) mit älteren Erwachsenen: Erfahrungen mit transnationaler Migration ihrer Familienangehörigen und deren Auswirkungen auf Wahrnehmung von Sorge, Zugehörigkeit und Familienrekonfiguration im Alter.</w:t>
      </w:r>
    </w:p>
    <w:p>
      <w:r>
        <w:rPr>
          <w:b/>
        </w:rPr>
        <w:t xml:space="preserve">Ergebnis: </w:t>
      </w:r>
      <w:r>
        <w:t>Ältere Ermöglichen Emigration ihrer Kinder durch Ressourcen-Pooling; erleben aber Abwesenheit emigrierter Kinder in paradoxer Liminalität. Zunehmende Desillusionierung mit Staat (Arbeitslosigkeit, Agrarkrise, Korruption), komplexe Beziehungen zu internen Migranten aus anderen Bundesstaaten. Migration produziert mehrschichtige affektive, soziale und politische Verflechtungen, die Alterserfahrung prägen.</w:t>
      </w:r>
    </w:p>
    <w:p>
      <w:r>
        <w:rPr>
          <w:b/>
          <w:sz w:val="19"/>
        </w:rPr>
        <w:t xml:space="preserve">Übertragbarkeit: </w:t>
      </w:r>
      <w:r>
        <w:rPr>
          <w:sz w:val="19"/>
        </w:rPr>
        <w:t>Indien, nicht übertragbar; dokumentiert Mechanismen familiärer und sozialer Strukturen beim Altern unter Migrationsdruck.</w:t>
      </w:r>
    </w:p>
    <w:p>
      <w:r>
        <w:rPr>
          <w:color w:val="5A7D3A"/>
          <w:sz w:val="18"/>
        </w:rPr>
        <w:t>https://pubmed.ncbi.nlm.nih.gov/42705826/</w:t>
      </w:r>
    </w:p>
    <w:p>
      <w:pPr>
        <w:pStyle w:val="Heading2"/>
      </w:pPr>
      <w:r>
        <w:t>Kognitives Frailty bei hospitalisierten älteren Patienten mit Herzinsuffizienz</w:t>
      </w:r>
    </w:p>
    <w:p>
      <w:r>
        <w:rPr>
          <w:i/>
          <w:color w:val="666666"/>
          <w:sz w:val="18"/>
        </w:rPr>
        <w:t>Mou Y et al.  ·  Front Public Health  ·  21.08.2026  ·  PMID 42698449</w:t>
      </w:r>
    </w:p>
    <w:p>
      <w:r>
        <w:t>Systematischer Review (8 Querschnittsstudien, 20 Modelle zur Identifikation von kognitiver Frailty bei hospitalisierten älteren Patienten mit chronischer Herzinsuffizienz in China).</w:t>
      </w:r>
    </w:p>
    <w:p>
      <w:r>
        <w:rPr>
          <w:b/>
        </w:rPr>
        <w:t xml:space="preserve">Ergebnis: </w:t>
      </w:r>
      <w:r>
        <w:t>Alle Modelle waren Screening-/Diagnosemodelle für prävalentes kognitives Frailty (nicht prognostisch). Externe Validierung zeigte AUC 0,770–0,852. Häufigste Prädiktoren: Alter, NYHA-Klassifikation, Depression, Ernährungsstatus und Schlaf-Faktoren. Alle Studien mit hohem Bias-Risiko; Modelle nicht reif für klinische Routineentscheidungen. Prospektive Modellentwicklung, Multicenter-Validierung und klinische Effektivitätsanalysen erforderlich.</w:t>
      </w:r>
    </w:p>
    <w:p>
      <w:r>
        <w:rPr>
          <w:b/>
          <w:sz w:val="19"/>
        </w:rPr>
        <w:t xml:space="preserve">Übertragbarkeit: </w:t>
      </w:r>
      <w:r>
        <w:rPr>
          <w:sz w:val="19"/>
        </w:rPr>
        <w:t>China, andere Strukturen; Befund zeigt, welche Faktoren kognitives Frailty bestimmen – relevant für deutsches geriatrisches Assessment.</w:t>
      </w:r>
    </w:p>
    <w:p>
      <w:r>
        <w:rPr>
          <w:color w:val="5A7D3A"/>
          <w:sz w:val="18"/>
        </w:rPr>
        <w:t>https://pubmed.ncbi.nlm.nih.gov/42698449/</w:t>
      </w:r>
    </w:p>
    <w:p>
      <w:pPr>
        <w:pStyle w:val="Heading2"/>
      </w:pPr>
      <w:r>
        <w:t>SFRP2 und FSTL1 regulieren DHT-induzierte Seneszenz in Haarfollikeln</w:t>
      </w:r>
    </w:p>
    <w:p>
      <w:r>
        <w:rPr>
          <w:i/>
          <w:color w:val="666666"/>
          <w:sz w:val="18"/>
        </w:rPr>
        <w:t>Huang Y et al.  ·  Aging Cell  ·  Sept. 2026  ·  PMID 42698274</w:t>
      </w:r>
    </w:p>
    <w:p>
      <w:r>
        <w:t>Mechanistische Studie zu androgenetischer Alopezie (AGA): Knock-down-Experimente und Mausmodell zur Rolle der SFRP2-FSTL1-Achse bei DHT-induzierten mitochondrialen Dysfunktionen und Seneszenz von Dermalapilla-Zellen.</w:t>
      </w:r>
    </w:p>
    <w:p>
      <w:r>
        <w:rPr>
          <w:b/>
        </w:rPr>
        <w:t xml:space="preserve">Ergebnis: </w:t>
      </w:r>
      <w:r>
        <w:t>SFRP2 hochexprimiert in AGA-Dermalapilla-Zellen. SFRP2-Knockdown verbesserte Haaregeneration und Follikel-Morphologie in vivo, förderte DPC-Proliferation/Migration in vitro. SFRP2 beeinflusst FSTL1-Proteinstabilität. Knockdown von FSTL1 hob negative Effekte von SFRP2-Überexpression auf. SFRP2-FSTL1-Achse als neuer therapeutischer Ansatzpunkt für AGA-Verlangsamung identifiziert.</w:t>
      </w:r>
    </w:p>
    <w:p>
      <w:r>
        <w:rPr>
          <w:b/>
          <w:sz w:val="19"/>
        </w:rPr>
        <w:t xml:space="preserve">Übertragbarkeit: </w:t>
      </w:r>
      <w:r>
        <w:rPr>
          <w:sz w:val="19"/>
        </w:rPr>
        <w:t>Grundlagenforschung mit klinischem Ansatz (AGA-Behandlung); zelluläre Seneszenz-Mechanismen relevant für Aging-Verständnis.</w:t>
      </w:r>
    </w:p>
    <w:p>
      <w:r>
        <w:rPr>
          <w:color w:val="5A7D3A"/>
          <w:sz w:val="18"/>
        </w:rPr>
        <w:t>https://pubmed.ncbi.nlm.nih.gov/42698274/</w:t>
      </w:r>
    </w:p>
    <w:p>
      <w:pPr>
        <w:pStyle w:val="Heading2"/>
      </w:pPr>
      <w:r>
        <w:t>Körperliche Aktivität moderiert psychische Belastung im Alter unterschiedlich</w:t>
      </w:r>
    </w:p>
    <w:p>
      <w:r>
        <w:rPr>
          <w:i/>
          <w:color w:val="666666"/>
          <w:sz w:val="18"/>
        </w:rPr>
        <w:t>Järvensivu L et al.  ·  J Psychiatr Res  ·  07.08.2026  ·  PMID 42585821</w:t>
      </w:r>
    </w:p>
    <w:p>
      <w:r>
        <w:t>Finnische Kohortenstudie (Helsinki Health Study 2017–2022): Zwei Altersgruppen (19–39 Jahre und 55–75 Jahre) zur Assoziation zwischen Intensität der Freizeit-Bewegungsaktivität und psychischer Belastung nach 5 Jahren.</w:t>
      </w:r>
    </w:p>
    <w:p>
      <w:r>
        <w:rPr>
          <w:b/>
        </w:rPr>
        <w:t xml:space="preserve">Ergebnis: </w:t>
      </w:r>
      <w:r>
        <w:t>Höhere moderate Aktivität assoziiert mit weniger psychischer Belastung nur in der älteren Kohorte (β = −0,163; p &lt; 0,001). Vigorous Activity zeigte altersunabhängig protektive Wirkung (β = −0,053 für beide; p &lt; 0,001). Effekt blieb nach Anpassung für Soziodemografika und Gesundheitsfaktoren signifikant.</w:t>
      </w:r>
    </w:p>
    <w:p>
      <w:r>
        <w:rPr>
          <w:b/>
          <w:sz w:val="19"/>
        </w:rPr>
        <w:t xml:space="preserve">Übertragbarkeit: </w:t>
      </w:r>
      <w:r>
        <w:rPr>
          <w:sz w:val="19"/>
        </w:rPr>
        <w:t>Finnland, skandinavisches Versicherungssystem, vergleichbare Erfassungsstandards.</w:t>
      </w:r>
    </w:p>
    <w:p>
      <w:r>
        <w:rPr>
          <w:color w:val="5A7D3A"/>
          <w:sz w:val="18"/>
        </w:rPr>
        <w:t>https://pubmed.ncbi.nlm.nih.gov/42585821/</w:t>
      </w:r>
    </w:p>
    <w:p>
      <w:pPr>
        <w:pStyle w:val="Heading1"/>
      </w:pPr>
      <w:r>
        <w:t>Aufgenommen am 08.09.2026</w:t>
      </w:r>
    </w:p>
    <w:p>
      <w:pPr>
        <w:pStyle w:val="Heading2"/>
      </w:pPr>
      <w:r>
        <w:t>Langzeitpflege für Ältere in Südostasien: Verfügbarkeit, Qualität und Lücken</w:t>
      </w:r>
    </w:p>
    <w:p>
      <w:r>
        <w:rPr>
          <w:i/>
          <w:color w:val="666666"/>
          <w:sz w:val="18"/>
        </w:rPr>
        <w:t>Sasaki Y et al.  ·  Geriatr Gerontol Int  ·  Sept. 2026  ·  PMID 42705630</w:t>
      </w:r>
    </w:p>
    <w:p>
      <w:r>
        <w:t>Mixed-Methods-Studie (Sekundärdaten zu UHC, demografische Trends, Expertinneninterviews, 7 Evaluationsdomänen) zur Organisation und Qualität der Langzeitpflege in Kambodscha, Thailand, Philippinen, Malaysia und Myanmar während des demographischen Wandels.</w:t>
      </w:r>
    </w:p>
    <w:p>
      <w:r>
        <w:rPr>
          <w:b/>
        </w:rPr>
        <w:t xml:space="preserve">Ergebnis: </w:t>
      </w:r>
      <w:r>
        <w:t>Positive Assoziation zwischen UHC-Fortschritt und Altersstruktur. Langzeitpflege-Organisation und -Versorgung variieren stark; Heimbasierte Pflege dominiert, Verfügbarkeit und Integration öffentlicher Dienste inkonsistent. Demenzbetreuung weitgehend unerkannt, haushaltszentriert. Informations- und Kommunikationstechnologien minimal/absent. Thailand zeigt Fortschritt bei Rehabilitations-UHC-Verknüpfung, aber Personalengpässe und Zugangsbarrieren. Präventivversorgung, einschließlich Frailty-Prävention, unterentwickelt.</w:t>
      </w:r>
    </w:p>
    <w:p>
      <w:r>
        <w:rPr>
          <w:b/>
          <w:sz w:val="19"/>
        </w:rPr>
        <w:t xml:space="preserve">Übertragbarkeit: </w:t>
      </w:r>
      <w:r>
        <w:rPr>
          <w:sz w:val="19"/>
        </w:rPr>
        <w:t>Südostasien, unterschiedliche Finanzierungssysteme und Entwicklungslagen; Befunde zeigen regionale Unterschiede, Übertragung auf Deutschland begrenzt, aber Policy-Implikationen relevant</w:t>
      </w:r>
    </w:p>
    <w:p>
      <w:r>
        <w:rPr>
          <w:color w:val="5A7D3A"/>
          <w:sz w:val="18"/>
        </w:rPr>
        <w:t>https://pubmed.ncbi.nlm.nih.gov/42705630/</w:t>
      </w:r>
    </w:p>
    <w:p>
      <w:pPr>
        <w:pStyle w:val="Heading2"/>
      </w:pPr>
      <w:r>
        <w:t>Gezieltes Kraft- und Balancetraining verbessert Mobilität älterer Aboriginal-Menschen</w:t>
      </w:r>
    </w:p>
    <w:p>
      <w:r>
        <w:rPr>
          <w:i/>
          <w:color w:val="666666"/>
          <w:sz w:val="18"/>
        </w:rPr>
        <w:t>Ivers R et al.  ·  Age Ageing  ·  04.09.2026  ·  PMID 42704260</w:t>
      </w:r>
    </w:p>
    <w:p>
      <w:r>
        <w:t>Kontrollierte Vorher-nachher-Studie (n=19 Standorte Australien, Ironbark-Programm) zum Effekt eines Co-Design-Sturzvorsorgeprogramms mit Übungen und Yarning Circles auf funktionelle Mobilität und Stürze bei Aboriginal-Älteren (≥45 Jahre, n=vor allem Intervention).</w:t>
      </w:r>
    </w:p>
    <w:p>
      <w:r>
        <w:rPr>
          <w:b/>
        </w:rPr>
        <w:t xml:space="preserve">Ergebnis: </w:t>
      </w:r>
      <w:r>
        <w:t>Signifikante Verbesserung der primären Outcome funktionelle Mobilität (SPPB-Veränderung +0,8 Punkte, 95 % CI 0,4–1,1), kürzere Schrittzeiten, bessere Beinstabilität, mehr geplante und beiläufige Bewegung. Keine signifikanten Änderungen bei Stürzen, Lebensqualität oder psychischer Belastung. Kontrollgruppe (Healthy Community) zeigte Verschlechterungen.</w:t>
      </w:r>
    </w:p>
    <w:p>
      <w:r>
        <w:rPr>
          <w:b/>
          <w:sz w:val="19"/>
        </w:rPr>
        <w:t xml:space="preserve">Übertragbarkeit: </w:t>
      </w:r>
      <w:r>
        <w:rPr>
          <w:sz w:val="19"/>
        </w:rPr>
        <w:t>Australien, Kontrollstudie mit funktionellem Endpunkt, Design übertragbar auf andere First-Nations-Settings</w:t>
      </w:r>
    </w:p>
    <w:p>
      <w:r>
        <w:rPr>
          <w:color w:val="5A7D3A"/>
          <w:sz w:val="18"/>
        </w:rPr>
        <w:t>https://pubmed.ncbi.nlm.nih.gov/42704260/</w:t>
      </w:r>
    </w:p>
    <w:p>
      <w:pPr>
        <w:pStyle w:val="Heading2"/>
      </w:pPr>
      <w:r>
        <w:t>Individuelle Ernährungsintervention mit Krafttraining verbessert Frailty bei hospitalisierten Älteren</w:t>
      </w:r>
    </w:p>
    <w:p>
      <w:r>
        <w:rPr>
          <w:i/>
          <w:color w:val="666666"/>
          <w:sz w:val="18"/>
        </w:rPr>
        <w:t>Chen L et al.  ·  J Int Med Res  ·  07.09.2026  ·  PMID 42704222</w:t>
      </w:r>
    </w:p>
    <w:p>
      <w:r>
        <w:t>Prospektive Pilotkohorte ohne Kontrolle (n=120, Durchschnittsalter 87 Jahre) zur Wirkung von Screening-gesteuerter individualisierter Ernährungsunterstützung (bei MNA-SF ≤11) kombiniert mit dosiertem Theraband-Krafttraining 3x wöchentlich über 12 Wochen.</w:t>
      </w:r>
    </w:p>
    <w:p>
      <w:r>
        <w:rPr>
          <w:b/>
        </w:rPr>
        <w:t xml:space="preserve">Ergebnis: </w:t>
      </w:r>
      <w:r>
        <w:t>Signifikante Verbesserungen: Serum-Transferrin, Präalbumin und Albumin (alle p&lt;0,05), MNA-SF-Scores, SPPB-Scores, Mobilität, ADL/IADL-Funktionen, Griffstärke und Gehgeschwindigkeit (alle p&lt;0,05). SPPB-Mindesteffekt erreicht bei höherem Bildungsniveau (aOR=1,96) und niedrigerem Ausgangs-Mobilitätswert (aOR=1,81). Ohne externe Validierung; Ergebnisse vorläufig.</w:t>
      </w:r>
    </w:p>
    <w:p>
      <w:r>
        <w:rPr>
          <w:b/>
          <w:sz w:val="19"/>
        </w:rPr>
        <w:t xml:space="preserve">Übertragbarkeit: </w:t>
      </w:r>
      <w:r>
        <w:rPr>
          <w:sz w:val="19"/>
        </w:rPr>
        <w:t>China (Klinikdaten), Struktur auf deutsche Geriatrie übertragbar (Assessment, Ernährung, Rehabilitation), klinische Dosierung dokumentiert</w:t>
      </w:r>
    </w:p>
    <w:p>
      <w:r>
        <w:rPr>
          <w:color w:val="5A7D3A"/>
          <w:sz w:val="18"/>
        </w:rPr>
        <w:t>https://pubmed.ncbi.nlm.nih.gov/42704222/</w:t>
      </w:r>
    </w:p>
    <w:p>
      <w:pPr>
        <w:pStyle w:val="Heading2"/>
      </w:pPr>
      <w:r>
        <w:t>Gestaffelte Auswahl von Frailty-Assessment-Instrumenten für die klinische Praxis</w:t>
      </w:r>
    </w:p>
    <w:p>
      <w:r>
        <w:rPr>
          <w:i/>
          <w:color w:val="666666"/>
          <w:sz w:val="18"/>
        </w:rPr>
        <w:t>Sládeček S et al.  ·  Clin Interv Aging  ·  02.09.2026  ·  PMID 42703386</w:t>
      </w:r>
    </w:p>
    <w:p>
      <w:r>
        <w:t>Narrative Übersicht über zehn validierte Frailty-Assessments (FRAIL, SOF, CFS, PRISMA-7, VES-13, Fried phenotype, TFI, GFI, EFS, FI-CGA) mit Analyse ihrer konzeptionellen Grundlagen, Einsatzdomänen und praktischen Anforderungen.</w:t>
      </w:r>
    </w:p>
    <w:p>
      <w:r>
        <w:rPr>
          <w:b/>
        </w:rPr>
        <w:t xml:space="preserve">Ergebnis: </w:t>
      </w:r>
      <w:r>
        <w:t>Gegenüberstellung zeigt: Kurze Screening-Tools (PRISMA-7, FRAIL) für erste Kontakte in Ambulanz/Gemeinde; CFS für schnelle klinische Stratifizierung in Akutaufnahme/Notfall; mehrdimensionale Instrumente (EFS) wenn breiterer Überblick nötig, aber keine vollständige geriatrische Diagnostik; CGA+FI-CGA für spezialisierte geriatrische Versorgung. Instrumentwahl hängt von Versorgungskontext, Zweck und Kapazität ab – keine Austauschbarkeit.</w:t>
      </w:r>
    </w:p>
    <w:p>
      <w:r>
        <w:rPr>
          <w:b/>
          <w:sz w:val="19"/>
        </w:rPr>
        <w:t xml:space="preserve">Übertragbarkeit: </w:t>
      </w:r>
      <w:r>
        <w:rPr>
          <w:sz w:val="19"/>
        </w:rPr>
        <w:t>Mehrsprachig validiert (europäischer und nordamerikanischer Raum), klinische Empfehlungen universell anwendbar, deutschsprachige Literatur einbezogen</w:t>
      </w:r>
    </w:p>
    <w:p>
      <w:r>
        <w:rPr>
          <w:color w:val="5A7D3A"/>
          <w:sz w:val="18"/>
        </w:rPr>
        <w:t>https://pubmed.ncbi.nlm.nih.gov/42703386/</w:t>
      </w:r>
    </w:p>
    <w:p>
      <w:pPr>
        <w:pStyle w:val="Heading2"/>
      </w:pPr>
      <w:r>
        <w:t>Digitale Technologien für aktives Altern: Bibliometrie und Forschungslandkarte</w:t>
      </w:r>
    </w:p>
    <w:p>
      <w:r>
        <w:rPr>
          <w:i/>
          <w:color w:val="666666"/>
          <w:sz w:val="18"/>
        </w:rPr>
        <w:t>Wang Y et al.  ·  Inquiry  ·  04.09.2026  ·  PMID 42695810</w:t>
      </w:r>
    </w:p>
    <w:p>
      <w:r>
        <w:t>Bibliometrische Analyse (n=837 Publikationen 2006–2025, Web of Science) zur Kartierung der Forschungslandschaft digitaler Technologien für aktives Altern, Identifikation von Clustern, Trends und thematischen Strukturen.</w:t>
      </w:r>
    </w:p>
    <w:p>
      <w:r>
        <w:rPr>
          <w:b/>
        </w:rPr>
        <w:t xml:space="preserve">Ergebnis: </w:t>
      </w:r>
      <w:r>
        <w:t>Publikationen steigen ab 2018 deutlich an. Fünf Forschungscluster: Technologieakzeptanz und Befähigung, digitale Lifestyle-Interventionen, digitale Partizipation und Smart Environments, eHealth-gestützte Verhaltensänderung, Machine-Learning-basierte Altersassessments. Schlüsselthemen: digitale Inklusion, körperliche Aktivität, Gesundheitsrisiko-Analytik, Lebensqualität. Verschiebung hin zu Funktionsfähigkeit und personalisierter Unterstützung; KI-basierte Assessments noch früh, sollten vorsichtig interpretiert werden.</w:t>
      </w:r>
    </w:p>
    <w:p>
      <w:r>
        <w:rPr>
          <w:b/>
          <w:sz w:val="19"/>
        </w:rPr>
        <w:t xml:space="preserve">Übertragbarkeit: </w:t>
      </w:r>
      <w:r>
        <w:rPr>
          <w:sz w:val="19"/>
        </w:rPr>
        <w:t>Globale Analyse, beschreibend (keine Wirksamkeitsdaten), Anwendbarkeit hängt von lokalen Systemen ab</w:t>
      </w:r>
    </w:p>
    <w:p>
      <w:r>
        <w:rPr>
          <w:color w:val="5A7D3A"/>
          <w:sz w:val="18"/>
        </w:rPr>
        <w:t>https://pubmed.ncbi.nlm.nih.gov/42695810/</w:t>
      </w:r>
    </w:p>
    <w:p>
      <w:pPr>
        <w:pStyle w:val="Heading2"/>
      </w:pPr>
      <w:r>
        <w:t>Körperliche Aktivität mindert Frailty-Risiko trotz belastender Kindheitserfahrungen</w:t>
      </w:r>
    </w:p>
    <w:p>
      <w:r>
        <w:rPr>
          <w:i/>
          <w:color w:val="666666"/>
          <w:sz w:val="18"/>
        </w:rPr>
        <w:t>Dong X et al.  ·  Gen Hosp Psychiatry  ·  15.08.2026  ·  PMID 42660041</w:t>
      </w:r>
    </w:p>
    <w:p>
      <w:r>
        <w:t>Prospektive Kohortenstudie (SHARE-Daten, n=23.385) zur Frage, ob ausreichende körperliche Aktivität die negativen Auswirkungen ungünstiger Kindheitserfahrungen (Adverse Childhood Experiences) auf kognitives Frailty im mittleren und höheren Alter abpuffert.</w:t>
      </w:r>
    </w:p>
    <w:p>
      <w:r>
        <w:rPr>
          <w:b/>
        </w:rPr>
        <w:t xml:space="preserve">Ergebnis: </w:t>
      </w:r>
      <w:r>
        <w:t>Jede zusätzliche ungünstige Kindheitserfahrung erhöhte das Frailty-Risiko um 9 % (HR=1,09). Ein Jahr ausreichende körperliche Aktivität senkte das Risiko um 25 % (HR=0,75). Langfristige Aufrechterhaltung (≥6 Jahre) reduzierte das Frailty-Risiko bei ungünstigen Erfahrungen um 54 % (HR=0,46); die Assoziation wurde zu 23 % durch erhaltene körperliche Aktivität vermittelt. Effekt war stärksten bei schlechtem Kindheitseinkommen (HR=0,59) und schlechter Nachbarschaftsqualität (HR=0,45).</w:t>
      </w:r>
    </w:p>
    <w:p>
      <w:r>
        <w:rPr>
          <w:b/>
          <w:sz w:val="19"/>
        </w:rPr>
        <w:t xml:space="preserve">Übertragbarkeit: </w:t>
      </w:r>
      <w:r>
        <w:rPr>
          <w:sz w:val="19"/>
        </w:rPr>
        <w:t>Europa (SHARE-Daten, deutschsprachige Länder einbezogen), sozialversicherungsbasierte Systeme vergleichbar</w:t>
      </w:r>
    </w:p>
    <w:p>
      <w:r>
        <w:rPr>
          <w:color w:val="5A7D3A"/>
          <w:sz w:val="18"/>
        </w:rPr>
        <w:t>https://pubmed.ncbi.nlm.nih.gov/42660041/</w:t>
      </w:r>
    </w:p>
    <w:p>
      <w:pPr>
        <w:pStyle w:val="Heading1"/>
      </w:pPr>
      <w:r>
        <w:t>Aufgenommen am 07.09.2026</w:t>
      </w:r>
    </w:p>
    <w:p>
      <w:pPr>
        <w:pStyle w:val="Heading2"/>
      </w:pPr>
      <w:r>
        <w:t>Kardiovaskuläre Gesundheit und Gehirngesundheit: Lebenserwartung ohne Schlaganfall und Demenz</w:t>
      </w:r>
    </w:p>
    <w:p>
      <w:r>
        <w:rPr>
          <w:i/>
          <w:color w:val="666666"/>
          <w:sz w:val="18"/>
        </w:rPr>
        <w:t>DU Y et al.  ·  Zhong Nan Da Xue Xue Bao Yi Xue Ban  ·  28.06.2026  ·  PMID 42702379</w:t>
      </w:r>
    </w:p>
    <w:p>
      <w:r>
        <w:t>Prospektive Kohortenstudie mit 122 953 Erwachsenen (37–73 Jahre) aus der UK Biobank untersuchte, wie ein Life's Essential 10-Framework (CVH-Bewertung mit 10 Komponenten) die Lebenserwartung ohne Schlaganfall und Demenz beeinflusst.</w:t>
      </w:r>
    </w:p>
    <w:p>
      <w:r>
        <w:rPr>
          <w:b/>
        </w:rPr>
        <w:t xml:space="preserve">Ergebnis: </w:t>
      </w:r>
      <w:r>
        <w:t>Bei hoher kardiovaskulärer Gesundheit (CVH) betrug die Lebenserwartung ohne Schlaganfall/Demenz im Alter 50 Jahren für Männer 31,8 Jahre (95%-KI 31,1–32,5) vs. 24,9 Jahre bei niedriger CVH; für Frauen 35,5 Jahre (95%-KI 34,7–36,2) vs. 28,4 Jahre. Hochrisiko-HRs: Männer HR=0,59 (95%-KI 0,52–0,67), Frauen HR=0,50 (95%-KI 0,42–0,59) für Schlaganfall/Demenz.</w:t>
      </w:r>
    </w:p>
    <w:p>
      <w:r>
        <w:rPr>
          <w:b/>
          <w:sz w:val="19"/>
        </w:rPr>
        <w:t xml:space="preserve">Übertragbarkeit: </w:t>
      </w:r>
      <w:r>
        <w:rPr>
          <w:sz w:val="19"/>
        </w:rPr>
        <w:t>UK Biobank, vergleichbare Sozialversicherungssysteme in Europa</w:t>
      </w:r>
    </w:p>
    <w:p>
      <w:r>
        <w:rPr>
          <w:color w:val="5A7D3A"/>
          <w:sz w:val="18"/>
        </w:rPr>
        <w:t>https://pubmed.ncbi.nlm.nih.gov/42702379/</w:t>
      </w:r>
    </w:p>
    <w:p>
      <w:pPr>
        <w:pStyle w:val="Heading2"/>
      </w:pPr>
      <w:r>
        <w:t>Wachstumshormonenantagenismus verlängert Lebensspanne bei Mäusen</w:t>
      </w:r>
    </w:p>
    <w:p>
      <w:r>
        <w:rPr>
          <w:i/>
          <w:color w:val="666666"/>
          <w:sz w:val="18"/>
        </w:rPr>
        <w:t>List EO et al.  ·  Aging Cell  ·  Sept. 2026  ·  PMID 42701998</w:t>
      </w:r>
    </w:p>
    <w:p>
      <w:r>
        <w:t>Studie an Transgenic-Mäusen untersuchte, ob Blockade der Wachstumshormonaktivität (mittels Pegvisomant-äquivalenter Substanz) die Lebensdauer und Gesundheit im Alter verbessert.</w:t>
      </w:r>
    </w:p>
    <w:p>
      <w:r>
        <w:rPr>
          <w:b/>
        </w:rPr>
        <w:t xml:space="preserve">Ergebnis: </w:t>
      </w:r>
      <w:r>
        <w:t>GH-Antagonismus-Mäuse zeigten signifikante Lebensverlängerung: Mediane Lebensspanne bei Männchen p=0,044, bei Weibchen p=2×10−8; maximale Lebensspanne um 186 Tage (Männchen) bzw. 265 Tage (Weibchen) verlängert. 2-jährige GHA-Mäuse zeigten geringere Frailty mit erhöhter Griffstärke trotz erhöhter Adiposität.</w:t>
      </w:r>
    </w:p>
    <w:p>
      <w:r>
        <w:rPr>
          <w:b/>
          <w:sz w:val="19"/>
        </w:rPr>
        <w:t xml:space="preserve">Übertragbarkeit: </w:t>
      </w:r>
      <w:r>
        <w:rPr>
          <w:sz w:val="19"/>
        </w:rPr>
        <w:t>Präklinisches Mausmodell; klinische Übertragbarkeit begrenzt, aber Pegvisomant FDA-zugelassen für Akromegalie beim Menschen</w:t>
      </w:r>
    </w:p>
    <w:p>
      <w:r>
        <w:rPr>
          <w:color w:val="5A7D3A"/>
          <w:sz w:val="18"/>
        </w:rPr>
        <w:t>https://pubmed.ncbi.nlm.nih.gov/42701998/</w:t>
      </w:r>
    </w:p>
    <w:p>
      <w:pPr>
        <w:pStyle w:val="Heading2"/>
      </w:pPr>
      <w:r>
        <w:t>Frailty als unabhängiger Mortalitätsprediktor bei Brustkrebsüberlebenden</w:t>
      </w:r>
    </w:p>
    <w:p>
      <w:r>
        <w:rPr>
          <w:i/>
          <w:color w:val="666666"/>
          <w:sz w:val="18"/>
        </w:rPr>
        <w:t>Wu C et al.  ·  Medicine (Baltimore)  ·  04.09.2026  ·  PMID 42700073</w:t>
      </w:r>
    </w:p>
    <w:p>
      <w:r>
        <w:t>Analyse von 625 128 Teilnehmern (9 941 Brustkrebsüberlebende) aus dem National Health Interview Survey 1997–2018 mit Mortalitätsfolgeup bis 2019 untersuchte Frailty als Mortalitätsprädikator.</w:t>
      </w:r>
    </w:p>
    <w:p>
      <w:r>
        <w:rPr>
          <w:b/>
        </w:rPr>
        <w:t xml:space="preserve">Ergebnis: </w:t>
      </w:r>
      <w:r>
        <w:t>Bei Brustkrebsüberlebenden zeigten Pre-Frailty (HR=1,44; 95%-KI 1,39–1,51) und Frailty (HR=1,70; 95%-KI 1,49–1,94) unabhängig erhöhte Mortalität. Unter 60-Jährigen: Frailty stark prädiktiv (HR=2,46; 95%-KI 1,52–4,00), Pre-Frailty nicht signifikant. Systematisches Frailty-Screening empfohlen.</w:t>
      </w:r>
    </w:p>
    <w:p>
      <w:r>
        <w:rPr>
          <w:b/>
          <w:sz w:val="19"/>
        </w:rPr>
        <w:t xml:space="preserve">Übertragbarkeit: </w:t>
      </w:r>
      <w:r>
        <w:rPr>
          <w:sz w:val="19"/>
        </w:rPr>
        <w:t>USA-Studie, nationale Versorgungsdaten; Frailty-Definition auf andere Systeme übertragbar</w:t>
      </w:r>
    </w:p>
    <w:p>
      <w:r>
        <w:rPr>
          <w:color w:val="5A7D3A"/>
          <w:sz w:val="18"/>
        </w:rPr>
        <w:t>https://pubmed.ncbi.nlm.nih.gov/42700073/</w:t>
      </w:r>
    </w:p>
    <w:p>
      <w:pPr>
        <w:pStyle w:val="Heading2"/>
      </w:pPr>
      <w:r>
        <w:t>Frailty-Verbesserung senkt Demenzrisiko bei älteren Erwachsenen</w:t>
      </w:r>
    </w:p>
    <w:p>
      <w:r>
        <w:rPr>
          <w:i/>
          <w:color w:val="666666"/>
          <w:sz w:val="18"/>
        </w:rPr>
        <w:t>Fang J et al.  ·  J Affect Disord  ·  01.12.2026  ·  PMID 42600788</w:t>
      </w:r>
    </w:p>
    <w:p>
      <w:r>
        <w:t>Longitudinale Kohortenanalyse von 59 331 Erwachsenen (≥50 Jahre) aus vier internationalen Studien (HRS, CHARLS, SHARE, ELSA) untersuchte, ob Frailty-Umkehr das Demenzrisiko reduziert und welche Rolle depressive Symptome spielen.</w:t>
      </w:r>
    </w:p>
    <w:p>
      <w:r>
        <w:rPr>
          <w:b/>
        </w:rPr>
        <w:t xml:space="preserve">Ergebnis: </w:t>
      </w:r>
      <w:r>
        <w:t>Über 7,51±2,09 Jahre entwickelten 9,49 % Demenz. Frailty-Verschlechterung erhöhte das Risiko (HR 1,43–2,53), während Frailty-Verbesserung in SHARE (HR=0,55) und CHARLS (HR=0,70) mit geringerem Risiko assoziiert war. Depressive Symptome mediieren 29,29–44,78 % der Assoziation zwischen Frailty und Demenz.</w:t>
      </w:r>
    </w:p>
    <w:p>
      <w:r>
        <w:rPr>
          <w:b/>
          <w:sz w:val="19"/>
        </w:rPr>
        <w:t xml:space="preserve">Übertragbarkeit: </w:t>
      </w:r>
      <w:r>
        <w:rPr>
          <w:sz w:val="19"/>
        </w:rPr>
        <w:t>Europäische Studien (SHARE, ELSA) einbezogen; vergleichbare Versorgungssysteme</w:t>
      </w:r>
    </w:p>
    <w:p>
      <w:r>
        <w:rPr>
          <w:color w:val="5A7D3A"/>
          <w:sz w:val="18"/>
        </w:rPr>
        <w:t>https://pubmed.ncbi.nlm.nih.gov/42600788/</w:t>
      </w:r>
    </w:p>
    <w:p>
      <w:pPr>
        <w:pStyle w:val="Heading2"/>
      </w:pPr>
      <w:r>
        <w:t>Maschinelles Lernen vorhersagt depressive Symptome bei älteren Erwachsenen in Großbritannien</w:t>
      </w:r>
    </w:p>
    <w:p>
      <w:r>
        <w:rPr>
          <w:i/>
          <w:color w:val="666666"/>
          <w:sz w:val="18"/>
        </w:rPr>
        <w:t>Khorram B et al.  ·  JMIR Form Res  ·  02.07.2026  ·  PMID 42390822</w:t>
      </w:r>
    </w:p>
    <w:p>
      <w:r>
        <w:t>Machine-Learning-Studie mit Daten aus vier Wellen der English Longitudinal Study of Ageing (ELSA) zur Vorhersage klinisch bedeutsamer depressiver Symptome (CES-D 8≥4) im 2-Jahres-Follow-up bei über 50-Jährigen.</w:t>
      </w:r>
    </w:p>
    <w:p>
      <w:r>
        <w:rPr>
          <w:b/>
        </w:rPr>
        <w:t xml:space="preserve">Ergebnis: </w:t>
      </w:r>
      <w:r>
        <w:t>Beste Modelle erreichten mittlere AUROC von 0,72–0,73 (Peak 0,75). Ordinale Codierung übertraf One-Hot-Codierung. Konsistente Prädiktoren: Einsamkeit, Schlafstörungen, geringe soziale Bindung. Sensitivitätsanalysen über CES-D-Schwellwerte robust (AUROC 0,67–0,82).</w:t>
      </w:r>
    </w:p>
    <w:p>
      <w:r>
        <w:rPr>
          <w:b/>
          <w:sz w:val="19"/>
        </w:rPr>
        <w:t xml:space="preserve">Übertragbarkeit: </w:t>
      </w:r>
      <w:r>
        <w:rPr>
          <w:sz w:val="19"/>
        </w:rPr>
        <w:t>Britische Studie mit europäischem Sozialversicherungssystem; Prädiktoren für Screeningtools übertragbar</w:t>
      </w:r>
    </w:p>
    <w:p>
      <w:r>
        <w:rPr>
          <w:color w:val="5A7D3A"/>
          <w:sz w:val="18"/>
        </w:rPr>
        <w:t>https://pubmed.ncbi.nlm.nih.gov/42390822/</w:t>
      </w:r>
    </w:p>
    <w:p>
      <w:pPr>
        <w:pStyle w:val="Heading2"/>
      </w:pPr>
      <w:r>
        <w:t>Biologische Alterungsbeschleunigung als Risikofaktor für Lebererkrankung im UK Biobank</w:t>
      </w:r>
    </w:p>
    <w:p>
      <w:r>
        <w:rPr>
          <w:i/>
          <w:color w:val="666666"/>
          <w:sz w:val="18"/>
        </w:rPr>
        <w:t>Yang X et al.  ·  Front Endocrinol (Lausanne)  ·  17.06.2026  ·  PMID 42388879</w:t>
      </w:r>
    </w:p>
    <w:p>
      <w:r>
        <w:t>Studie untersuchte die Assoziation zwischen beschleunigtem biologischem Alter und hospitalisierten Fällen von Stoffwechsel-assoziierter Steatose-Lebererkrankung (MASLD) an 247 444 Personen über 13,7 Jahre Nachbeobachtung.</w:t>
      </w:r>
    </w:p>
    <w:p>
      <w:r>
        <w:rPr>
          <w:b/>
        </w:rPr>
        <w:t xml:space="preserve">Ergebnis: </w:t>
      </w:r>
      <w:r>
        <w:t>Beschleunigtes biologisches Alter (PhenoAge-Beschleunigung) war mit erhöhtem MASLD-Risiko assoziiert (HR=1,46; 95%-KI 1,35–1,57). PhenoAge-Beschleunigung erklärte 11,4–25,5 % der Assoziation zwischen ungesundem Lebensstil (Rauchen, Alkohol, schlechte Ernährung, Bewegungsmangel) und MASLD, mit stärkstem Effekt beim Rauchen (25,5 %).</w:t>
      </w:r>
    </w:p>
    <w:p>
      <w:r>
        <w:rPr>
          <w:b/>
          <w:sz w:val="19"/>
        </w:rPr>
        <w:t xml:space="preserve">Übertragbarkeit: </w:t>
      </w:r>
      <w:r>
        <w:rPr>
          <w:sz w:val="19"/>
        </w:rPr>
        <w:t>UK Biobank, übertragbar für europäische Sozialversicherungssysteme</w:t>
      </w:r>
    </w:p>
    <w:p>
      <w:r>
        <w:rPr>
          <w:color w:val="5A7D3A"/>
          <w:sz w:val="18"/>
        </w:rPr>
        <w:t>https://pubmed.ncbi.nlm.nih.gov/42388879/</w:t>
      </w:r>
    </w:p>
    <w:p>
      <w:pPr>
        <w:pStyle w:val="Heading1"/>
      </w:pPr>
      <w:r>
        <w:t>Aufgenommen am 06.09.2026</w:t>
      </w:r>
    </w:p>
    <w:p>
      <w:pPr>
        <w:pStyle w:val="Heading2"/>
      </w:pPr>
      <w:r>
        <w:t>Orale Gesundheit und orale Gebrechlichkeit bei älteren hospitalisierten Patienten</w:t>
      </w:r>
    </w:p>
    <w:p>
      <w:r>
        <w:rPr>
          <w:i/>
          <w:color w:val="666666"/>
          <w:sz w:val="18"/>
        </w:rPr>
        <w:t>Ren Q et al.  ·  J Coll Physicians Surg Pak  ·  Sept. 2026  ·  PMID 42698252</w:t>
      </w:r>
    </w:p>
    <w:p>
      <w:r>
        <w:t>Querschnittsstudie mit 200 älteren Patienten: Beziehung zwischen Mundgesundheitsstatus (GOHAI, Wasserschluck-Test) und Oral Frailty Index-8 (OFI-8).</w:t>
      </w:r>
    </w:p>
    <w:p>
      <w:r>
        <w:rPr>
          <w:b/>
        </w:rPr>
        <w:t xml:space="preserve">Ergebnis: </w:t>
      </w:r>
      <w:r>
        <w:t>Signifikante Unterschiede in Alter, Mundgesundheitsindikatoren und Zahnfunktion zwischen Frailty- (n=55) und Non-Frailty-Gruppe (n=145). OFI-8 zeigt praktische Relevanz für Früherkennung oraler Gebrechlichkeit im klinischen Setting.</w:t>
      </w:r>
    </w:p>
    <w:p>
      <w:r>
        <w:rPr>
          <w:b/>
          <w:sz w:val="19"/>
        </w:rPr>
        <w:t xml:space="preserve">Übertragbarkeit: </w:t>
      </w:r>
      <w:r>
        <w:rPr>
          <w:sz w:val="19"/>
        </w:rPr>
        <w:t>China, geriatrische Versorgung; Screening-Wert für deutsches Gesundheitswesen nutzbar</w:t>
      </w:r>
    </w:p>
    <w:p>
      <w:r>
        <w:rPr>
          <w:color w:val="5A7D3A"/>
          <w:sz w:val="18"/>
        </w:rPr>
        <w:t>https://pubmed.ncbi.nlm.nih.gov/42698252/</w:t>
      </w:r>
    </w:p>
    <w:p>
      <w:pPr>
        <w:pStyle w:val="Heading2"/>
      </w:pPr>
      <w:r>
        <w:t>FRAIL- und SARC-CalF-Skalen vorhersagen HFpEF-Risiko bei älteren Patienten</w:t>
      </w:r>
    </w:p>
    <w:p>
      <w:r>
        <w:rPr>
          <w:i/>
          <w:color w:val="666666"/>
          <w:sz w:val="18"/>
        </w:rPr>
        <w:t>Yu Y et al.  ·  J Coll Physicians Surg Pak  ·  Sept. 2026  ·  PMID 42698238</w:t>
      </w:r>
    </w:p>
    <w:p>
      <w:r>
        <w:t>Querschnittsstudie mit 134 hospitalisierten Patienten ≥60 Jahren: Umfassendes geriatrisches Assessment (CGA) mit Evaluierung von Gebrechlichkeit, Sarkopenie und Ernährung; Vorhersage von Herzinsuffizienz mit erhaltener Ejektionsfraktion (HFpEF).</w:t>
      </w:r>
    </w:p>
    <w:p>
      <w:r>
        <w:rPr>
          <w:b/>
        </w:rPr>
        <w:t xml:space="preserve">Ergebnis: </w:t>
      </w:r>
      <w:r>
        <w:t>FRAIL-Score OR 3,68 (95%KI 1,83–8,39), SARC-CalF-Score OR 1,47 (95%KI 1,21–1,86) unabhängig mit HFpEF assoziiert; AUC FRAIL 0,88, AUC SARC-CalF 0,89; optimale Schwellen 1,5 Punkte (Vor-Frailty) bzw. 11 Punkte.</w:t>
      </w:r>
    </w:p>
    <w:p>
      <w:r>
        <w:rPr>
          <w:b/>
          <w:sz w:val="19"/>
        </w:rPr>
        <w:t xml:space="preserve">Übertragbarkeit: </w:t>
      </w:r>
      <w:r>
        <w:rPr>
          <w:sz w:val="19"/>
        </w:rPr>
        <w:t>China, aber FRAIL und SARC-CalF sind validiert international</w:t>
      </w:r>
    </w:p>
    <w:p>
      <w:r>
        <w:rPr>
          <w:color w:val="5A7D3A"/>
          <w:sz w:val="18"/>
        </w:rPr>
        <w:t>https://pubmed.ncbi.nlm.nih.gov/42698238/</w:t>
      </w:r>
    </w:p>
    <w:p>
      <w:pPr>
        <w:pStyle w:val="Heading2"/>
      </w:pPr>
      <w:r>
        <w:t>Depressive Symptome bei älteren Indonesiern: Prävalenz und Risikofaktoren</w:t>
      </w:r>
    </w:p>
    <w:p>
      <w:r>
        <w:rPr>
          <w:i/>
          <w:color w:val="666666"/>
          <w:sz w:val="18"/>
        </w:rPr>
        <w:t>Pengpid S et al.  ·  Psychogeriatrics  ·  Sept. 2026  ·  PMID 42698196</w:t>
      </w:r>
    </w:p>
    <w:p>
      <w:r>
        <w:t>Querschnittsanalyse von 3.808 Personen ≥45 Jahren aus indonesischer Longitudinal-Studie (ILAS 2023): Depressive Symptome (CES-D-10 ≥10) in Zusammenhang mit Hospitalisierung, Selbsteinschätzung der Gesundheit, Multisite-Schmerz, Übergewicht, Behinderung und religiöser Aktivität.</w:t>
      </w:r>
    </w:p>
    <w:p>
      <w:r>
        <w:rPr>
          <w:b/>
        </w:rPr>
        <w:t xml:space="preserve">Ergebnis: </w:t>
      </w:r>
      <w:r>
        <w:t>Depressive-Symptom-Prävalenz 9,3% (9,0% Männer, 9,6% Frauen). Hospitalisierung im vergangenen Jahr, schlechte Selbsteinschätzung, Multisite-Schmerz, Übergewicht und Behinderung positiv assoziiert; religiöse Aktivität protektiv (unadjustiert); bei Männern Rauchen zusätzlicher Risikofaktor.</w:t>
      </w:r>
    </w:p>
    <w:p>
      <w:r>
        <w:rPr>
          <w:b/>
          <w:sz w:val="19"/>
        </w:rPr>
        <w:t xml:space="preserve">Übertragbarkeit: </w:t>
      </w:r>
      <w:r>
        <w:rPr>
          <w:sz w:val="19"/>
        </w:rPr>
        <w:t>Indonesien; kulturelle/epidemiologische Unterschiede, aber psychosoziale Prädiktoren universal</w:t>
      </w:r>
    </w:p>
    <w:p>
      <w:r>
        <w:rPr>
          <w:color w:val="5A7D3A"/>
          <w:sz w:val="18"/>
        </w:rPr>
        <w:t>https://pubmed.ncbi.nlm.nih.gov/42698196/</w:t>
      </w:r>
    </w:p>
    <w:p>
      <w:pPr>
        <w:pStyle w:val="Heading2"/>
      </w:pPr>
      <w:r>
        <w:t>Geriatrisches Assessment mit Frailty Index optimiert Vorhersage von Sterblichkeit im Alter</w:t>
      </w:r>
    </w:p>
    <w:p>
      <w:r>
        <w:rPr>
          <w:i/>
          <w:color w:val="666666"/>
          <w:sz w:val="18"/>
        </w:rPr>
        <w:t>Quach J et al.  ·  Age Ageing  ·  04.09.2026  ·  PMID 42696642</w:t>
      </w:r>
    </w:p>
    <w:p>
      <w:r>
        <w:t>Analyse von 3.669 Patienten mit kardiovaskulärer Erkrankung: Bei einzelnen Deficit-Items war die Vorhersagekraft für Mortalität besser als bei zusammengefassten Frailty-Index-Scores; 10 Defizite reichten aus, um Vorhersagekraft zu optimieren.</w:t>
      </w:r>
    </w:p>
    <w:p>
      <w:r>
        <w:rPr>
          <w:b/>
        </w:rPr>
        <w:t xml:space="preserve">Ergebnis: </w:t>
      </w:r>
      <w:r>
        <w:t>Mit 46 Einzelitems C-Index 0,71 (95%KI 0,69–0,74) vs. composite FI 0,64–0,67; mit ~10 Items konvergierte Performance der Importance-ranked FI mit zufällig gewählten FI. Die Deficit-Interchangeability-Annahme des FI hält nur bei ausreichender Itemanzahl.</w:t>
      </w:r>
    </w:p>
    <w:p>
      <w:r>
        <w:rPr>
          <w:b/>
          <w:sz w:val="19"/>
        </w:rPr>
        <w:t xml:space="preserve">Übertragbarkeit: </w:t>
      </w:r>
      <w:r>
        <w:rPr>
          <w:sz w:val="19"/>
        </w:rPr>
        <w:t>USA-Daten, aber Frailty-Index-Methodik international anerkannt</w:t>
      </w:r>
    </w:p>
    <w:p>
      <w:r>
        <w:rPr>
          <w:color w:val="5A7D3A"/>
          <w:sz w:val="18"/>
        </w:rPr>
        <w:t>https://pubmed.ncbi.nlm.nih.gov/42696642/</w:t>
      </w:r>
    </w:p>
    <w:p>
      <w:pPr>
        <w:pStyle w:val="Heading2"/>
      </w:pPr>
      <w:r>
        <w:t>Benachteiligte Kindheit verschlechtert kognitive Funktion im Alter unabhängig von Erwachsenen-Erkrankungen</w:t>
      </w:r>
    </w:p>
    <w:p>
      <w:r>
        <w:rPr>
          <w:i/>
          <w:color w:val="666666"/>
          <w:sz w:val="18"/>
        </w:rPr>
        <w:t>Ripamonti E et al.  ·  J Clin Exp Neuropsychol  ·  06.07.2026  ·  PMID 42403102</w:t>
      </w:r>
    </w:p>
    <w:p>
      <w:r>
        <w:t>Longitudinale Studie: 508 schwedische Ältere verfolgt über mehrere Jahre; Analyse der Assoziation zwischen Kindheitsbenachteiligung und kognitiver Funktion (MMSE) bzw. Behinderung (ADL/iADL) im Alter mit Mediationsanalyse durch Krankheitszahl und chronische Schmerzen.</w:t>
      </w:r>
    </w:p>
    <w:p>
      <w:r>
        <w:rPr>
          <w:b/>
        </w:rPr>
        <w:t xml:space="preserve">Ergebnis: </w:t>
      </w:r>
      <w:r>
        <w:t>Benachteiligte Kindheit mit niedrigeren MMSE-Werten bei Baseline assoziiert (β=-0,14 [95%KI -0,27,-0,02]), aber nicht mit zeitlichem Verlauf (β=-0,01 [95%KI -0,03,0,01]); Mediationsanalyse: Krankheitszahl/Schmerz erklären nur minimalen Teil; keine Assoziation mit ADL/iADL. Unterstützt Sensitive-Period-Hypothese.</w:t>
      </w:r>
    </w:p>
    <w:p>
      <w:r>
        <w:rPr>
          <w:b/>
          <w:sz w:val="19"/>
        </w:rPr>
        <w:t xml:space="preserve">Übertragbarkeit: </w:t>
      </w:r>
      <w:r>
        <w:rPr>
          <w:sz w:val="19"/>
        </w:rPr>
        <w:t>Schweden (skandinavisches Sozialversicherungssystem), hochgradig übertragbar auf Deutschland</w:t>
      </w:r>
    </w:p>
    <w:p>
      <w:r>
        <w:rPr>
          <w:color w:val="5A7D3A"/>
          <w:sz w:val="18"/>
        </w:rPr>
        <w:t>https://pubmed.ncbi.nlm.nih.gov/42403102/</w:t>
      </w:r>
    </w:p>
    <w:p>
      <w:pPr>
        <w:pStyle w:val="Heading2"/>
      </w:pPr>
      <w:r>
        <w:t>Muskelleistung aus Sit-to-Stand-Test identifiziert Frailty bei älteren Community-Bewohnern</w:t>
      </w:r>
    </w:p>
    <w:p>
      <w:r>
        <w:rPr>
          <w:i/>
          <w:color w:val="666666"/>
          <w:sz w:val="18"/>
        </w:rPr>
        <w:t>Condon C et al.  ·  PLoS One  ·  02.07.2026  ·  PMID 42391194</w:t>
      </w:r>
    </w:p>
    <w:p>
      <w:r>
        <w:t>Querschnittsstudie mit 2.959 irischen Teilnehmern ≥50 Jahren: Geschätzte Muskelleistung aus 5×STS-Test verglichen mit Frailty-Index und etablierten Tests.</w:t>
      </w:r>
    </w:p>
    <w:p>
      <w:r>
        <w:rPr>
          <w:b/>
        </w:rPr>
        <w:t xml:space="preserve">Ergebnis: </w:t>
      </w:r>
      <w:r>
        <w:t>Schwellenwert &lt;2,5 Watt·kg⁻¹ Männer, &lt;2,08 Watt·kg⁻¹ Frauen mit erhöhtem Frailty-Risiko assoziiert; Sensitivität und Spezifität vergleichbar mit Timed Up and Go; praktisches Screening-Tool mit moderater Vorhersagekraft.</w:t>
      </w:r>
    </w:p>
    <w:p>
      <w:r>
        <w:rPr>
          <w:b/>
          <w:sz w:val="19"/>
        </w:rPr>
        <w:t xml:space="preserve">Übertragbarkeit: </w:t>
      </w:r>
      <w:r>
        <w:rPr>
          <w:sz w:val="19"/>
        </w:rPr>
        <w:t>Irland (vergleichbares Sozialversicherungssystem), einfach durchführbar in Praxen</w:t>
      </w:r>
    </w:p>
    <w:p>
      <w:r>
        <w:rPr>
          <w:color w:val="5A7D3A"/>
          <w:sz w:val="18"/>
        </w:rPr>
        <w:t>https://pubmed.ncbi.nlm.nih.gov/42391194/</w:t>
      </w:r>
    </w:p>
    <w:p>
      <w:pPr>
        <w:pStyle w:val="Heading1"/>
      </w:pPr>
      <w:r>
        <w:t>Aufgenommen am 05.09.2026</w:t>
      </w:r>
    </w:p>
    <w:p>
      <w:pPr>
        <w:pStyle w:val="Heading2"/>
      </w:pPr>
      <w:r>
        <w:t>Reaktive Balanceschulung senkt Sturzrisikofaktoren, nicht aber Stürze im Alltag</w:t>
      </w:r>
    </w:p>
    <w:p>
      <w:r>
        <w:rPr>
          <w:i/>
          <w:color w:val="666666"/>
          <w:sz w:val="18"/>
        </w:rPr>
        <w:t>Sharma S et al.  ·  Age Ageing  ·  04.09.2026  ·  PMID 42696641</w:t>
      </w:r>
    </w:p>
    <w:p>
      <w:r>
        <w:t>Randomisierte kontrollierte Studie mit 88 älteren Menschen: 43 erhielten wöchentliches ReacStep-Training (Reaktives Stepping, bewusste Ausrutscher) über 6 Wochen plus Heimkrafttraining, 45 nur Heimkrafttraining über 8 Wochen; Erhebung von reaktiver Balance, körperlichen Funktionen und Stürzen im Alltag über 12 Monate.</w:t>
      </w:r>
    </w:p>
    <w:p>
      <w:r>
        <w:rPr>
          <w:b/>
        </w:rPr>
        <w:t xml:space="preserve">Ergebnis: </w:t>
      </w:r>
      <w:r>
        <w:t>Adhärenz zum ReacStep-Programm 90 %, Interventionsgruppe zeigte signifikante Verbesserungen in maximaler Schrittlänge und Reaktionszeit beim Stepping (p&lt;0,05), aber keine Unterschiede in laborgestützten Sturzversuchen oder Häuslichkeitsstürzen über 12 Monate (p=0,19).</w:t>
      </w:r>
    </w:p>
    <w:p>
      <w:r>
        <w:rPr>
          <w:b/>
          <w:sz w:val="19"/>
        </w:rPr>
        <w:t xml:space="preserve">Übertragbarkeit: </w:t>
      </w:r>
      <w:r>
        <w:rPr>
          <w:sz w:val="19"/>
        </w:rPr>
        <w:t>Australien, vergleichbares Gesundheitssystem, aber begrenzte Übertragung zur Sturzprävention</w:t>
      </w:r>
    </w:p>
    <w:p>
      <w:r>
        <w:rPr>
          <w:color w:val="5A7D3A"/>
          <w:sz w:val="18"/>
        </w:rPr>
        <w:t>https://pubmed.ncbi.nlm.nih.gov/42696641/</w:t>
      </w:r>
    </w:p>
    <w:p>
      <w:pPr>
        <w:pStyle w:val="Heading2"/>
      </w:pPr>
      <w:r>
        <w:t>Urat-senkende Therapie und Frailty-Risiko bei Nierenpatienten</w:t>
      </w:r>
    </w:p>
    <w:p>
      <w:r>
        <w:rPr>
          <w:i/>
          <w:color w:val="666666"/>
          <w:sz w:val="18"/>
        </w:rPr>
        <w:t>Lee SY et al.  ·  Int J Med Sci  ·  04.08.2026  ·  PMID 42694867</w:t>
      </w:r>
    </w:p>
    <w:p>
      <w:r>
        <w:t>Retrospektive Kohortenstudie mit 19.389 Nephrologiepatienten: Untersuchung der Assoziation zwischen Febuxostat, Allopurinol und keiner Therapie mit neuaufgetretener und verschlimmerter Frailty über medianen Nachbeobachtungszeitraum von 3 Jahren.</w:t>
      </w:r>
    </w:p>
    <w:p>
      <w:r>
        <w:rPr>
          <w:b/>
        </w:rPr>
        <w:t xml:space="preserve">Ergebnis: </w:t>
      </w:r>
      <w:r>
        <w:t>892 (4,6 %) entwickelten neuaufgetretene Frailty, 5.253 (27,1 %) zeigten Verschlimmerung. Febuxostat war mit höherem Frailty-Risiko verbunden (HR 1,22; 95%-KI 1,01–1,48), Allopurinol mit geringerem Risiko (HR 0,65; 95%-KI 0,46–0,93); beide gemeinsam ohne signifikante Assoziation. Keine Effekte auf Frailty-Verschlimmerung.</w:t>
      </w:r>
    </w:p>
    <w:p>
      <w:r>
        <w:rPr>
          <w:b/>
          <w:sz w:val="19"/>
        </w:rPr>
        <w:t xml:space="preserve">Übertragbarkeit: </w:t>
      </w:r>
      <w:r>
        <w:rPr>
          <w:sz w:val="19"/>
        </w:rPr>
        <w:t>Taiwan, Nephrologiedaten vergleichbar, aber begrenzte Generalisierbarkeit</w:t>
      </w:r>
    </w:p>
    <w:p>
      <w:r>
        <w:rPr>
          <w:color w:val="5A7D3A"/>
          <w:sz w:val="18"/>
        </w:rPr>
        <w:t>https://pubmed.ncbi.nlm.nih.gov/42694867/</w:t>
      </w:r>
    </w:p>
    <w:p>
      <w:pPr>
        <w:pStyle w:val="Heading2"/>
      </w:pPr>
      <w:r>
        <w:t>Funkionsstatus und Pflegebedarf bei Eintritt in öffentlich finanzierte Altenhilfe</w:t>
      </w:r>
    </w:p>
    <w:p>
      <w:r>
        <w:rPr>
          <w:i/>
          <w:color w:val="666666"/>
          <w:sz w:val="18"/>
        </w:rPr>
        <w:t>Siljehag PA et al.  ·  BMC Health Serv Res  ·  02.09.2026  ·  PMID 42693458</w:t>
      </w:r>
    </w:p>
    <w:p>
      <w:r>
        <w:t>Schwedische Registeranalyse von 3.649 älteren Menschen (durchschnittlich 80 Jahre), die erstmals Altenhilfe in Anspruch nahmen, mit Erhebung von Komorbiditäten, funktionalen Einschränkungen und Vorbehandlung im Gesundheitswesen.</w:t>
      </w:r>
    </w:p>
    <w:p>
      <w:r>
        <w:rPr>
          <w:b/>
        </w:rPr>
        <w:t xml:space="preserve">Ergebnis: </w:t>
      </w:r>
      <w:r>
        <w:t>92 % hatten Multimorbidität, 25 % umfangreiche funktionale Einschränkungen, 95 % erhielten Pflege zu Hause, bei 50 % folgte die Altenhilfe unmittelbar nach stationärer Behandlung. Primärversorgung war bei 80 % der dominante ambulante Kontakt vor Heimaufnahme.</w:t>
      </w:r>
    </w:p>
    <w:p>
      <w:r>
        <w:rPr>
          <w:b/>
          <w:sz w:val="19"/>
        </w:rPr>
        <w:t xml:space="preserve">Übertragbarkeit: </w:t>
      </w:r>
      <w:r>
        <w:rPr>
          <w:sz w:val="19"/>
        </w:rPr>
        <w:t>Schweden, vergleichbare Sozialversicherung und Pflegefinanzierung</w:t>
      </w:r>
    </w:p>
    <w:p>
      <w:r>
        <w:rPr>
          <w:color w:val="5A7D3A"/>
          <w:sz w:val="18"/>
        </w:rPr>
        <w:t>https://pubmed.ncbi.nlm.nih.gov/42693458/</w:t>
      </w:r>
    </w:p>
    <w:p>
      <w:pPr>
        <w:pStyle w:val="Heading2"/>
      </w:pPr>
      <w:r>
        <w:t>Triglyzerid-Glukose-Frailty-Index zeigt stärkere Mortalitätsvorhersage als Insulinresistanzmarker</w:t>
      </w:r>
    </w:p>
    <w:p>
      <w:r>
        <w:rPr>
          <w:i/>
          <w:color w:val="666666"/>
          <w:sz w:val="18"/>
        </w:rPr>
        <w:t>Liu K et al.  ·  Cardiovasc Diabetol  ·  03.09.2026  ·  PMID 42693435</w:t>
      </w:r>
    </w:p>
    <w:p>
      <w:r>
        <w:t>Sekundäranalyse von 11.228 US-amerikanischen Erwachsenen (20–79 Jahre) aus NHANES 2001–2018: Vergleich des TyG-Frailty-Indexes (TyG-Index × Frailty-Index) mit konventionellen Insulinresistanzmarkern für kardiovaskuläre und Stoffwechselsyndrome sowie Mortalität über medianen Nachbeobachtungszeitraum von 90 Monaten.</w:t>
      </w:r>
    </w:p>
    <w:p>
      <w:r>
        <w:rPr>
          <w:b/>
        </w:rPr>
        <w:t xml:space="preserve">Ergebnis: </w:t>
      </w:r>
      <w:r>
        <w:t>TyG-FI-Quartil 4 vs. 1: fortgeschrittenes kardiovaskuläres-Nierenstoffwechsel-Syndrom OR=4,57 (95%-KI 3,50–5,99), kardiometabolische Multimorbidität OR=5,09 (95%-KI 2,83–9,16), Gesamtmortalität HR=3,90 (95%-KI 2,96–5,13), kardiovaskulär HR=5,82 (95%-KI 3,38–10,03). TyG-FI diskriminierte stärker als Vergleichsindizes, tiefere eGFR erklärte 16–27 % der Mortalitätsassoziation.</w:t>
      </w:r>
    </w:p>
    <w:p>
      <w:r>
        <w:rPr>
          <w:b/>
          <w:sz w:val="19"/>
        </w:rPr>
        <w:t xml:space="preserve">Übertragbarkeit: </w:t>
      </w:r>
      <w:r>
        <w:rPr>
          <w:sz w:val="19"/>
        </w:rPr>
        <w:t>USA-NHANES-Daten, begrenzte Übertragbarkeit auf deutsches System, aber Validierungsfrage ist altersunabhängig</w:t>
      </w:r>
    </w:p>
    <w:p>
      <w:r>
        <w:rPr>
          <w:color w:val="5A7D3A"/>
          <w:sz w:val="18"/>
        </w:rPr>
        <w:t>https://pubmed.ncbi.nlm.nih.gov/42693435/</w:t>
      </w:r>
    </w:p>
    <w:p>
      <w:pPr>
        <w:pStyle w:val="Heading2"/>
      </w:pPr>
      <w:r>
        <w:t>Muskelarchitektur und Kraft: Altern beeinträchtigt Faszickelkinetik trotz lebenslangem Training</w:t>
      </w:r>
    </w:p>
    <w:p>
      <w:r>
        <w:rPr>
          <w:i/>
          <w:color w:val="666666"/>
          <w:sz w:val="18"/>
        </w:rPr>
        <w:t>Michely S et al.  ·  J Appl Physiol (1985)  ·  01.09.2026  ·  PMID 42518311</w:t>
      </w:r>
    </w:p>
    <w:p>
      <w:r>
        <w:t>Querschnittsstudie mit 172 Leistungssportlern im Alter 35–90 Jahren (68 % männlich): Ultraschallmessung der Wadenmuskulatur bei willkürlicher Maximalkontraktion; Analyse von Faszickellänge, Pennationswinkel, -rotation und -verlängerung.</w:t>
      </w:r>
    </w:p>
    <w:p>
      <w:r>
        <w:rPr>
          <w:b/>
        </w:rPr>
        <w:t xml:space="preserve">Ergebnis: </w:t>
      </w:r>
      <w:r>
        <w:t>Oberflächliche Faszickelrotation (Pennationswinkelveränderung) sank um 6,6±51,3 % pro Jahrzehnt (p=0,003), tiefe Rotation blieb stabil (p=0,27). Ruhefaszickellänge sank um 1,8±13,7 % pro Jahrzehnt (p=0,002). Achillessehnen-kraft fiel um 4,3±16,3 % pro Jahrzehnt (p&lt;0,001), unabhängig vom Geschlecht. Eliteathleten (&gt;85 % age grade) erhielten größere oberflächliche Rotation.</w:t>
      </w:r>
    </w:p>
    <w:p>
      <w:r>
        <w:rPr>
          <w:b/>
          <w:sz w:val="19"/>
        </w:rPr>
        <w:t xml:space="preserve">Übertragbarkeit: </w:t>
      </w:r>
      <w:r>
        <w:rPr>
          <w:sz w:val="19"/>
        </w:rPr>
        <w:t>Deutschland, Deutsche Luft- und Raumfahrtforschung, vergleichbare Trainingsmethoden</w:t>
      </w:r>
    </w:p>
    <w:p>
      <w:r>
        <w:rPr>
          <w:color w:val="5A7D3A"/>
          <w:sz w:val="18"/>
        </w:rPr>
        <w:t>https://pubmed.ncbi.nlm.nih.gov/42518311/</w:t>
      </w:r>
    </w:p>
    <w:p>
      <w:pPr>
        <w:pStyle w:val="Heading2"/>
      </w:pPr>
      <w:r>
        <w:t>Soziale Frailty und Bildungsungleichheit: Sechs Ländervergleich mit 83.869 älteren Erwachsenen</w:t>
      </w:r>
    </w:p>
    <w:p>
      <w:r>
        <w:rPr>
          <w:i/>
          <w:color w:val="666666"/>
          <w:sz w:val="18"/>
        </w:rPr>
        <w:t>Xiang X et al.  ·  J Am Med Dir Assoc  ·  14.07.2026  ·  PMID 42447552</w:t>
      </w:r>
    </w:p>
    <w:p>
      <w:r>
        <w:t>Querschnittsanalyse aus sechs Längsschnittstudien in USA, England, Europa, Südkorea, Mexico und China mit 83.869 Personen ≥50 Jahren: Alter- und geschlechtsstandardisierte Prävalenz von sozialer Prefrailty und Frailty sowie Assoziation mit Bildungsabschlüssen.</w:t>
      </w:r>
    </w:p>
    <w:p>
      <w:r>
        <w:rPr>
          <w:b/>
        </w:rPr>
        <w:t xml:space="preserve">Ergebnis: </w:t>
      </w:r>
      <w:r>
        <w:t>Soziale Prefrailty 54,0–74,1 %, soziale Frailty 5,9–14,4 % je nach Land. Klare Bildungsstratifikation: mittlere vs. niedrige Bildung OR=0,72 (95%-KI 0,60–0,86) für Prefrailty und OR=0,54 (95%-KI 0,44–0,67) für Frailty; hohe Bildung OR=0,53 (95%-KI 0,36–0,78) bzw. OR=0,29 (95%-KI 0,17–0,51).</w:t>
      </w:r>
    </w:p>
    <w:p>
      <w:r>
        <w:rPr>
          <w:b/>
          <w:sz w:val="19"/>
        </w:rPr>
        <w:t xml:space="preserve">Übertragbarkeit: </w:t>
      </w:r>
      <w:r>
        <w:rPr>
          <w:sz w:val="19"/>
        </w:rPr>
        <w:t>Mehrländer-Poolanalyse, europäische Länder dabei, aber heterogene Systeme</w:t>
      </w:r>
    </w:p>
    <w:p>
      <w:r>
        <w:rPr>
          <w:color w:val="5A7D3A"/>
          <w:sz w:val="18"/>
        </w:rPr>
        <w:t>https://pubmed.ncbi.nlm.nih.gov/42447552/</w:t>
      </w:r>
    </w:p>
    <w:p>
      <w:pPr>
        <w:pStyle w:val="Heading1"/>
      </w:pPr>
      <w:r>
        <w:t>Aufgenommen am 04.09.2026</w:t>
      </w:r>
    </w:p>
    <w:p>
      <w:pPr>
        <w:pStyle w:val="Heading2"/>
      </w:pPr>
      <w:r>
        <w:t>Feinstaubexposition (PM2,5) erhöht Frailty-Risiko im Alter signifikant</w:t>
      </w:r>
    </w:p>
    <w:p>
      <w:r>
        <w:rPr>
          <w:i/>
          <w:color w:val="666666"/>
          <w:sz w:val="18"/>
        </w:rPr>
        <w:t>Chen K et al.  ·  Sichuan Da Xue Xue Bao Yi Xue Ban  ·  20.07.2026  ·  PMID 42688627</w:t>
      </w:r>
    </w:p>
    <w:p>
      <w:r>
        <w:t>Prospektive Kohortenstudie: 9603 Teilnehmende aus China Health and Retirement Longitudinal Study 2011–2020, Langzeit-PM2,5-Exposition und chemische Komponenten, Outcome Frailty nach Frailty-Index.</w:t>
      </w:r>
    </w:p>
    <w:p>
      <w:r>
        <w:rPr>
          <w:b/>
        </w:rPr>
        <w:t xml:space="preserve">Ergebnis: </w:t>
      </w:r>
      <w:r>
        <w:t>Jede Viertelbereichs-Zunahme der durchschnittlichen PM2,5-Konzentration des Vorjahres war mit 10,0% erhöhtem Frailty-Risiko assoziiert (HR 1,100, 95% KI 1,015–1,193). Organische Substanzen: HR 1,142 (14,2%); schwarzer Kohlenstoff: HR 1,131 (13,1%); Ammonium: HR 1,098 (9,8%). Luftschadstoffe, besonders Ruß und organische Aerosole, sind Risikofaktoren für Gebrechlichkeit bei älteren Menschen.</w:t>
      </w:r>
    </w:p>
    <w:p>
      <w:r>
        <w:rPr>
          <w:b/>
          <w:sz w:val="19"/>
        </w:rPr>
        <w:t xml:space="preserve">Übertragbarkeit: </w:t>
      </w:r>
      <w:r>
        <w:rPr>
          <w:sz w:val="19"/>
        </w:rPr>
        <w:t>China, aber Feinstaubbelastung und Expositionsmessung auch in Deutschland relevant</w:t>
      </w:r>
    </w:p>
    <w:p>
      <w:r>
        <w:rPr>
          <w:color w:val="5A7D3A"/>
          <w:sz w:val="18"/>
        </w:rPr>
        <w:t>https://pubmed.ncbi.nlm.nih.gov/42688627/</w:t>
      </w:r>
    </w:p>
    <w:p>
      <w:pPr>
        <w:pStyle w:val="Heading2"/>
      </w:pPr>
      <w:r>
        <w:t>Multikomponenten-Training und HMB-Supplementierung verbessern Gebrechlichkeit</w:t>
      </w:r>
    </w:p>
    <w:p>
      <w:r>
        <w:rPr>
          <w:i/>
          <w:color w:val="666666"/>
          <w:sz w:val="18"/>
        </w:rPr>
        <w:t>Jiang Y et al.  ·  Sichuan Da Xue Xue Bao Yi Xue Ban  ·  20.07.2026  ·  PMID 42688609</w:t>
      </w:r>
    </w:p>
    <w:p>
      <w:r>
        <w:t>Randomisierte Studie: 136 ältere Patienten mit Frailty erhielten 12 Wochen lang Übungstraining plus 3 g/d HMB oder Placebo; gemessen wurden physische Funktion (SPPB), Gangfähigkeit, Griffstärke, Muskelquerschnitt und Serumalbumin.</w:t>
      </w:r>
    </w:p>
    <w:p>
      <w:r>
        <w:rPr>
          <w:b/>
        </w:rPr>
        <w:t xml:space="preserve">Ergebnis: </w:t>
      </w:r>
      <w:r>
        <w:t>SPPB-Gesamtscore besserte sich in der HMB-Gruppe über 12 Wochen signifikant mehr als in der Kontrolle (Interaktionseffekt p&lt;0,001). HMB-Gruppe zeigte nach 4 Wochen bessere Bilanz (p&lt;0,05) und nach 12 Wochen auch bessere Gangscores und ASMI (p&lt;0,05). Serumalbumin war in der Interventionsgruppe erhöht (p&lt;0,05). HMB 3 g/d plus multikomponentales Training verbessert körperliche Funktion und Muskulatur bei älteren Patienten mit Gebrechlichkeit.</w:t>
      </w:r>
    </w:p>
    <w:p>
      <w:r>
        <w:rPr>
          <w:b/>
          <w:sz w:val="19"/>
        </w:rPr>
        <w:t xml:space="preserve">Übertragbarkeit: </w:t>
      </w:r>
      <w:r>
        <w:rPr>
          <w:sz w:val="19"/>
        </w:rPr>
        <w:t>China, Rehabilitation nach westlichem Standard, Frailty-Diagnostik vergleichbar</w:t>
      </w:r>
    </w:p>
    <w:p>
      <w:r>
        <w:rPr>
          <w:color w:val="5A7D3A"/>
          <w:sz w:val="18"/>
        </w:rPr>
        <w:t>https://pubmed.ncbi.nlm.nih.gov/42688609/</w:t>
      </w:r>
    </w:p>
    <w:p>
      <w:pPr>
        <w:pStyle w:val="Heading2"/>
      </w:pPr>
      <w:r>
        <w:t>Benzodiazepine-Induced Resistance: Drug Use Blunts Frailty-Intervention Effect</w:t>
      </w:r>
    </w:p>
    <w:p>
      <w:r>
        <w:rPr>
          <w:i/>
          <w:color w:val="666666"/>
          <w:sz w:val="18"/>
        </w:rPr>
        <w:t>Levati E et al.  ·  Age Ageing  ·  03.08.2026  ·  PMID 42685256</w:t>
      </w:r>
    </w:p>
    <w:p>
      <w:r>
        <w:t>Sekundäranalyse eines Trials zu multikomponentigen Lebensstiländerungen bei Frailty: 1506 ältere Patienten, 14% mit Benzodiazepin-Nutzung, Verfolgung der Mobilitätsbehindertung über Median 3,3 Jahre.</w:t>
      </w:r>
    </w:p>
    <w:p>
      <w:r>
        <w:rPr>
          <w:b/>
        </w:rPr>
        <w:t xml:space="preserve">Ergebnis: </w:t>
      </w:r>
      <w:r>
        <w:t>Bei Frailty-Patienten mit Benzodiazepin-Nutzung war die Effektivität der kombinierten Intervention (körperliche Übungen plus Ernährungsberatung) erheblich reduziert oder aufgehoben. Im Subgroup mit SPPB-Score 3–7 zeigte sich der präventive Effekt (HR 0,80) nur bei Nicht-Nutzern; Nutzer zeigten keinen Schutz (HR 1,06; p=0,035 für Interaktion). Benzodiazepine signifikant mindern die Wirksamkeit von Lebensstiländerungen bei älteren fragilen Menschen.</w:t>
      </w:r>
    </w:p>
    <w:p>
      <w:r>
        <w:rPr>
          <w:b/>
          <w:sz w:val="19"/>
        </w:rPr>
        <w:t xml:space="preserve">Übertragbarkeit: </w:t>
      </w:r>
      <w:r>
        <w:rPr>
          <w:sz w:val="19"/>
        </w:rPr>
        <w:t>Italien und Deutschland, vergleichbare klinische Versorgung und Frailty-Konzepte</w:t>
      </w:r>
    </w:p>
    <w:p>
      <w:r>
        <w:rPr>
          <w:color w:val="5A7D3A"/>
          <w:sz w:val="18"/>
        </w:rPr>
        <w:t>https://pubmed.ncbi.nlm.nih.gov/42685256/</w:t>
      </w:r>
    </w:p>
    <w:p>
      <w:pPr>
        <w:pStyle w:val="Heading2"/>
      </w:pPr>
      <w:r>
        <w:t>Gebrechlichkeit und Alter erhöhen postoperative Komplikationen nach Meningiom-Resektion</w:t>
      </w:r>
    </w:p>
    <w:p>
      <w:r>
        <w:rPr>
          <w:i/>
          <w:color w:val="666666"/>
          <w:sz w:val="18"/>
        </w:rPr>
        <w:t>Eibl T et al.  ·  J Clin Neurosci  ·  06.07.2026  ·  PMID 42407322</w:t>
      </w:r>
    </w:p>
    <w:p>
      <w:r>
        <w:t>Retrospektive Studie: 120 Patienten mit nicht-schädelbasis-Meningiomen (Alter Median 61 Jahre), Frailty (mFI-5, mFI-11), Charlson-Komorbidität, Outcome Heimententlassung, Aufenthaltssdauer, ICU-Tage, Komplikationen.</w:t>
      </w:r>
    </w:p>
    <w:p>
      <w:r>
        <w:rPr>
          <w:b/>
        </w:rPr>
        <w:t xml:space="preserve">Ergebnis: </w:t>
      </w:r>
      <w:r>
        <w:t>82,5% wurden nach Hause entlassen. Risikofaktoren für Nicht-Heimententlassung: höheres Alter (p&lt;0,001), größere Tumorvolumina (p=0,012), höhere Ödemvolumina (p=0,002), höhere Charlson-Score (p&lt;0,001), höhere mFI-5 und mFI-11 (beide p&lt;0,001). Postoperative Aufenthaltssdauer korrelierte mit mFI (rs=0,34 für beide, p&lt;0,001). Gebrechlichkeit und chronologisches Alter beeinflussen operatives Ergebnis erheblich und verlängern postoperativen Aufenthalt.</w:t>
      </w:r>
    </w:p>
    <w:p>
      <w:r>
        <w:rPr>
          <w:b/>
          <w:sz w:val="19"/>
        </w:rPr>
        <w:t xml:space="preserve">Übertragbarkeit: </w:t>
      </w:r>
      <w:r>
        <w:rPr>
          <w:sz w:val="19"/>
        </w:rPr>
        <w:t>Deutschland, vergleichbare Neurochirurgische Versorgung und Frailty-Konzepte</w:t>
      </w:r>
    </w:p>
    <w:p>
      <w:r>
        <w:rPr>
          <w:color w:val="5A7D3A"/>
          <w:sz w:val="18"/>
        </w:rPr>
        <w:t>https://pubmed.ncbi.nlm.nih.gov/42407322/</w:t>
      </w:r>
    </w:p>
    <w:p>
      <w:pPr>
        <w:pStyle w:val="Heading2"/>
      </w:pPr>
      <w:r>
        <w:t>TyG-Index mit BMI/WHtR vorhersagt Herz-Kreislauf-Erkrankung bei älteren Menschen</w:t>
      </w:r>
    </w:p>
    <w:p>
      <w:r>
        <w:rPr>
          <w:i/>
          <w:color w:val="666666"/>
          <w:sz w:val="18"/>
        </w:rPr>
        <w:t>Liu Z et al.  ·  Cardiovasc Diabetol  ·  05.07.2026  ·  PMID 42402573</w:t>
      </w:r>
    </w:p>
    <w:p>
      <w:r>
        <w:t>Prospektive Kohortenstudie: 1808 CVD-freie Personen ≥50 Jahre aus English Longitudinal Study of Ageing, Gruppierungstrajectorie von TyG mit BMI bzw. WHtR über ~8 Jahre, Outcome Herzinfarkt, Schlaganfall, Herzkrankheit.</w:t>
      </w:r>
    </w:p>
    <w:p>
      <w:r>
        <w:rPr>
          <w:b/>
        </w:rPr>
        <w:t xml:space="preserve">Ergebnis: </w:t>
      </w:r>
      <w:r>
        <w:t>Vier Trajektorie-Gruppen identifiziert. Im BMI+TyG-Modell (vs. Normalgewicht-niedriger TyG): Übergewicht-moderater TyG (HR 2,31, 95% KI 1,40–3,83), adipös-hoher TyG (HR 2,72, 1,63–4,52), stark adipös-hoher TyG (HR 5,06, 3,01–8,51). WHtR+TyG ähnliche Dosisantwort. Für Schlaganfall signifikant nur in höchstem Risiko. Robuste Dosis-Antwort-Gradienten unterstützen Monitoring dieser Indizes bei älteren Personen.</w:t>
      </w:r>
    </w:p>
    <w:p>
      <w:r>
        <w:rPr>
          <w:b/>
          <w:sz w:val="19"/>
        </w:rPr>
        <w:t xml:space="preserve">Übertragbarkeit: </w:t>
      </w:r>
      <w:r>
        <w:rPr>
          <w:sz w:val="19"/>
        </w:rPr>
        <w:t>Großbritannien, vergleichbare Epidemiologie und Metabolismus-Diagnostik</w:t>
      </w:r>
    </w:p>
    <w:p>
      <w:r>
        <w:rPr>
          <w:color w:val="5A7D3A"/>
          <w:sz w:val="18"/>
        </w:rPr>
        <w:t>https://pubmed.ncbi.nlm.nih.gov/42402573/</w:t>
      </w:r>
    </w:p>
    <w:p>
      <w:pPr>
        <w:pStyle w:val="Heading2"/>
      </w:pPr>
      <w:r>
        <w:t>Immunseneszenz-Biomarker für klinische Aging-Interventionsstudien</w:t>
      </w:r>
    </w:p>
    <w:p>
      <w:r>
        <w:rPr>
          <w:i/>
          <w:color w:val="666666"/>
          <w:sz w:val="18"/>
        </w:rPr>
        <w:t>Cipriano A et al.  ·  Nat Med  ·  03.07.2026  ·  PMID 42399672</w:t>
      </w:r>
    </w:p>
    <w:p>
      <w:r>
        <w:t>Konsensusrahmen von 26 Gerontologen und Immunologen zur Evaluierung von Immune-Aging-Biomarkern für klinische Trials; fünf Selektionskriterien, Bewertung von Kandidaten-Biomarkern und Empfehlungen für Lücken.</w:t>
      </w:r>
    </w:p>
    <w:p>
      <w:r>
        <w:rPr>
          <w:b/>
        </w:rPr>
        <w:t xml:space="preserve">Ergebnis: </w:t>
      </w:r>
      <w:r>
        <w:t>Metriken mit multidimensionalem Immunfunktionsspektrum, Inflammaging-Scores und funktionelle Assays schnitten gegen Selektionskriterien am besten ab. Vielversprechende aufkommende Maße identifiziert, aber kritische Lücken für zuverlässige, prädiktive Biomarker erkannt. Rahmen bietet kohärenten Weg zu klinisch aussagekräftigen Immunalterungs-Biomarkern für Geroscience-Interventionen.</w:t>
      </w:r>
    </w:p>
    <w:p>
      <w:r>
        <w:rPr>
          <w:b/>
          <w:sz w:val="19"/>
        </w:rPr>
        <w:t xml:space="preserve">Übertragbarkeit: </w:t>
      </w:r>
      <w:r>
        <w:rPr>
          <w:sz w:val="19"/>
        </w:rPr>
        <w:t>International konsensiert; Framework unabhängig von Ländersystem, aber Implementierung in Deutschland möglich</w:t>
      </w:r>
    </w:p>
    <w:p>
      <w:r>
        <w:rPr>
          <w:color w:val="5A7D3A"/>
          <w:sz w:val="18"/>
        </w:rPr>
        <w:t>https://pubmed.ncbi.nlm.nih.gov/42399672/</w:t>
      </w:r>
    </w:p>
    <w:p>
      <w:pPr>
        <w:pStyle w:val="Heading2"/>
      </w:pPr>
      <w:r>
        <w:t>Sexuelle Aktivitätsveränderung beeinträchtigt Lebensqualität im Alter nachweislich</w:t>
      </w:r>
    </w:p>
    <w:p>
      <w:r>
        <w:rPr>
          <w:i/>
          <w:color w:val="666666"/>
          <w:sz w:val="18"/>
        </w:rPr>
        <w:t>Kujawska A et al.  ·  Maturitas  ·  29.06.2026  ·  PMID 42391932</w:t>
      </w:r>
    </w:p>
    <w:p>
      <w:r>
        <w:t>Zweijahrliche Längsschnittstudie: 199 ältere Polen (80% Frauen, Alter 69,7±6 Jahre), Assessment von Sexualität und Lebensqualität nach WHO-QoL, Kovariaten Alter, Basalwerte, Traurigkeit, Gesundheit.</w:t>
      </w:r>
    </w:p>
    <w:p>
      <w:r>
        <w:rPr>
          <w:b/>
        </w:rPr>
        <w:t xml:space="preserve">Ergebnis: </w:t>
      </w:r>
      <w:r>
        <w:t>Keine signifikanten Veränderungen in Gesamt-QoL-Werten über zwei Jahre (p=0,3). Aber: Aufhören von Sexualität war assoziiert mit signifikant niedrigeren Folgepunkten in Sozialbeziehungen (p=0,006) und Umwelt-Domäne (p=0,007). Effekt hielt nach Ausschluß von Gesundheits- und Depressions-Veränderungen. Beendigung der Sexualität im Alter reduziert Sozialbeziehungen und Umwelt-Wohlbefinden nachweislich.</w:t>
      </w:r>
    </w:p>
    <w:p>
      <w:r>
        <w:rPr>
          <w:b/>
          <w:sz w:val="19"/>
        </w:rPr>
        <w:t xml:space="preserve">Übertragbarkeit: </w:t>
      </w:r>
      <w:r>
        <w:rPr>
          <w:sz w:val="19"/>
        </w:rPr>
        <w:t>Polen, ähnliche Altersstruktur, aber Übertragung auf Deutschland kulturabhängig</w:t>
      </w:r>
    </w:p>
    <w:p>
      <w:r>
        <w:rPr>
          <w:color w:val="5A7D3A"/>
          <w:sz w:val="18"/>
        </w:rPr>
        <w:t>https://pubmed.ncbi.nlm.nih.gov/42391932/</w:t>
      </w:r>
    </w:p>
    <w:p>
      <w:pPr>
        <w:pStyle w:val="Heading1"/>
      </w:pPr>
      <w:r>
        <w:t>Aufgenommen am 03.09.2026</w:t>
      </w:r>
    </w:p>
    <w:p>
      <w:pPr>
        <w:pStyle w:val="Heading2"/>
      </w:pPr>
      <w:r>
        <w:t>Hausarzt-Vertragsdienst in China verbessert Gesundheit älterer Erwachsener</w:t>
      </w:r>
    </w:p>
    <w:p>
      <w:r>
        <w:rPr>
          <w:i/>
          <w:color w:val="666666"/>
          <w:sz w:val="18"/>
        </w:rPr>
        <w:t>Jia C et al.  ·  Front Public Health  ·  18.08.2026  ·  PMID 42682531</w:t>
      </w:r>
    </w:p>
    <w:p>
      <w:r>
        <w:t>Nationale chinesische Querschnittsstudie (n = 11.455, ≥ 65 Jahre) aus der China Longitudinal Aging Social Survey 2023 zur Assoziation zwischen Teilnahme am Family Doctor Contract Service (FDCS) und Selbstbewertung, körperlichem Unbehagen und Lebenszufriedenheit, stratifiziert nach Land/Stadt und Bildung.</w:t>
      </w:r>
    </w:p>
    <w:p>
      <w:r>
        <w:rPr>
          <w:b/>
        </w:rPr>
        <w:t xml:space="preserve">Ergebnis: </w:t>
      </w:r>
      <w:r>
        <w:t>FDCS-Teilnahme assoziiert mit besseren Ergebnissen in allen drei Dimensionen. Ländliche und weniger gebildete Ältere zeigten stärkere Assoziationen mit geringerem körperlichem Unbehagen und höherer Lebenszufriedenheit; urbane und höher gebildete mit besserer Selbstbewertung. Heterogene Effekte nach Wohnort und Bildung.</w:t>
      </w:r>
    </w:p>
    <w:p>
      <w:r>
        <w:rPr>
          <w:b/>
          <w:sz w:val="19"/>
        </w:rPr>
        <w:t xml:space="preserve">Übertragbarkeit: </w:t>
      </w:r>
      <w:r>
        <w:rPr>
          <w:sz w:val="19"/>
        </w:rPr>
        <w:t>China, anderes System; Konzept der primärärztlichen Gatekeeping-Funktion teils übertragbar, Effektgrößen jedoch kontextabhängig.</w:t>
      </w:r>
    </w:p>
    <w:p>
      <w:r>
        <w:rPr>
          <w:color w:val="5A7D3A"/>
          <w:sz w:val="18"/>
        </w:rPr>
        <w:t>https://pubmed.ncbi.nlm.nih.gov/42682531/</w:t>
      </w:r>
    </w:p>
    <w:p>
      <w:pPr>
        <w:pStyle w:val="Heading2"/>
      </w:pPr>
      <w:r>
        <w:t>Serum-Periostin als Biomarker für Frailty bei Typ-2-Diabetes</w:t>
      </w:r>
    </w:p>
    <w:p>
      <w:r>
        <w:rPr>
          <w:i/>
          <w:color w:val="666666"/>
          <w:sz w:val="18"/>
        </w:rPr>
        <w:t>González-Salvatierra S et al.  ·  Int J Mol Sci  ·  21.08.2026  ·  PMID 42653500</w:t>
      </w:r>
    </w:p>
    <w:p>
      <w:r>
        <w:t>Spanische Querschnittsstudie (n = 137, Alter 65 ± 8 Jahre) zur Assoziation zwischen serum-Periostin und Frailty-Status (FRAIL-Skala: robust, pre-frail, frail) bei Typ-2-Diabetes.</w:t>
      </w:r>
    </w:p>
    <w:p>
      <w:r>
        <w:rPr>
          <w:b/>
        </w:rPr>
        <w:t xml:space="preserve">Ergebnis: </w:t>
      </w:r>
      <w:r>
        <w:t>Frailty korrelierte positiv mit Alter (p &lt; 0,001), BMI (p = 0,006), Taille (p = 0,01) und Diabetes-Dauer (p = 0,040), negativ mit TBS, HDL und eGFR. Periostin zeigte stärkste Korrelation mit Frailty (p &lt; 0,001). Frail: höhere Periostin als pre-frail (p = 0,006) und robust (p = 0,008). AUC für Frailty-Diskrimination 0,710 (p &lt; 0,001); kombiniert mit klinischen Variablen AUC 0,900 vs. 0,858. Schwellenwert &gt; 1307 pmol/L: 77,8% Sensitivität, 66,7% Spezifität.</w:t>
      </w:r>
    </w:p>
    <w:p>
      <w:r>
        <w:rPr>
          <w:b/>
          <w:sz w:val="19"/>
        </w:rPr>
        <w:t xml:space="preserve">Übertragbarkeit: </w:t>
      </w:r>
      <w:r>
        <w:rPr>
          <w:sz w:val="19"/>
        </w:rPr>
        <w:t>Spanien, europäisches System, vergleichbar; Biomarker-Entwicklung in progress.</w:t>
      </w:r>
    </w:p>
    <w:p>
      <w:r>
        <w:rPr>
          <w:color w:val="5A7D3A"/>
          <w:sz w:val="18"/>
        </w:rPr>
        <w:t>https://pubmed.ncbi.nlm.nih.gov/42653500/</w:t>
      </w:r>
    </w:p>
    <w:p>
      <w:pPr>
        <w:pStyle w:val="Heading2"/>
      </w:pPr>
      <w:r>
        <w:t>Geschlechtsspezifische Determinanten von Frailty bei alternden Menschen mit HIV</w:t>
      </w:r>
    </w:p>
    <w:p>
      <w:r>
        <w:rPr>
          <w:i/>
          <w:color w:val="666666"/>
          <w:sz w:val="18"/>
        </w:rPr>
        <w:t>Echeverría P et al.  ·  Viruses  ·  04.07.2026  ·  PMID 42515594</w:t>
      </w:r>
    </w:p>
    <w:p>
      <w:r>
        <w:t>Querschnittsstudie zu Frailty (Fried-Kriterien) bei 588 älteren Menschen mit HIV in Spanien, untersucht nach Geschlecht stratifiziert mittels geriatrischem Assessment.</w:t>
      </w:r>
    </w:p>
    <w:p>
      <w:r>
        <w:rPr>
          <w:b/>
        </w:rPr>
        <w:t xml:space="preserve">Ergebnis: </w:t>
      </w:r>
      <w:r>
        <w:t>Frauen mit HIV zeigten höhere Frailty-Prävalenz (17% vs. 9%) trotz jüngeren Alters und besserer Immunstatus. Bei Frauen waren muskuloskelettale Erkrankung (OR 3,85), kognitive Beeinträchtigung (OR 3,21), depressive Symptome (OR 2,67) und Mangelernährung (OR 2,14) unabhängig mit Frailty assoziiert; bei Männern alterstypischere Muster. Forderung nach geschlechtsspezifischer, ganzheitlicher geriatrischer Versorgung.</w:t>
      </w:r>
    </w:p>
    <w:p>
      <w:r>
        <w:rPr>
          <w:b/>
          <w:sz w:val="19"/>
        </w:rPr>
        <w:t xml:space="preserve">Übertragbarkeit: </w:t>
      </w:r>
      <w:r>
        <w:rPr>
          <w:sz w:val="19"/>
        </w:rPr>
        <w:t>Spanien, europäisches System, direkt vergleichbare Versorgungsstrukturen.</w:t>
      </w:r>
    </w:p>
    <w:p>
      <w:r>
        <w:rPr>
          <w:color w:val="5A7D3A"/>
          <w:sz w:val="18"/>
        </w:rPr>
        <w:t>https://pubmed.ncbi.nlm.nih.gov/42515594/</w:t>
      </w:r>
    </w:p>
    <w:p>
      <w:pPr>
        <w:pStyle w:val="Heading2"/>
      </w:pPr>
      <w:r>
        <w:t>Express-Screening für Frailty verbessert Versorgung älteren Patienten mit Notfallbedarf</w:t>
      </w:r>
    </w:p>
    <w:p>
      <w:r>
        <w:rPr>
          <w:i/>
          <w:color w:val="666666"/>
          <w:sz w:val="18"/>
        </w:rPr>
        <w:t>Ilnitski AN et al.  ·  Adv Gerontol  ·  2026  ·  PMID 42502931</w:t>
      </w:r>
    </w:p>
    <w:p>
      <w:r>
        <w:t>Russische Studie an 333 älteren Patienten (65–90 Jahre) in Notfallambulanz: Vergleich zwischen 234 Patienten mit Frailty-Screening (Gruppe 1) und 99 ohne Screening (Gruppe 2); Nachverfolgung 1 Monat.</w:t>
      </w:r>
    </w:p>
    <w:p>
      <w:r>
        <w:rPr>
          <w:b/>
        </w:rPr>
        <w:t xml:space="preserve">Ergebnis: </w:t>
      </w:r>
      <w:r>
        <w:t>Gruppe 1: 62,8% unter hausärztlicher Beobachtung, 0% Wiedervorstellungen, 0,4% Mortalität. Gruppe 2: 41,4% beobachtet, 6,1% Wiedervorstellungen, 2% Mortalität (p &lt; 0,001). Express-Screening ermöglichte bessere Nachbeobachtung und senkte Sterblichkeit und Inanspruchnahme.</w:t>
      </w:r>
    </w:p>
    <w:p>
      <w:r>
        <w:rPr>
          <w:b/>
          <w:sz w:val="19"/>
        </w:rPr>
        <w:t xml:space="preserve">Übertragbarkeit: </w:t>
      </w:r>
      <w:r>
        <w:rPr>
          <w:sz w:val="19"/>
        </w:rPr>
        <w:t>Russland, weniger direkt übertragbar; Konzept des Frailty-Screening in Notfallambulanzen adaptierbar.</w:t>
      </w:r>
    </w:p>
    <w:p>
      <w:r>
        <w:rPr>
          <w:color w:val="5A7D3A"/>
          <w:sz w:val="18"/>
        </w:rPr>
        <w:t>https://pubmed.ncbi.nlm.nih.gov/42502931/</w:t>
      </w:r>
    </w:p>
    <w:p>
      <w:pPr>
        <w:pStyle w:val="Heading2"/>
      </w:pPr>
      <w:r>
        <w:t>Geschlechtsspezifische Heterogenität der Handkraftveränderung im Alter: UK Biobank</w:t>
      </w:r>
    </w:p>
    <w:p>
      <w:r>
        <w:rPr>
          <w:i/>
          <w:color w:val="666666"/>
          <w:sz w:val="18"/>
        </w:rPr>
        <w:t>Fortinsky RH et al.  ·  J Gerontol A Biol Sci Med Sci  ·  04.08.2026  ·  PMID 42435411</w:t>
      </w:r>
    </w:p>
    <w:p>
      <w:r>
        <w:t>Longitudinale Kohorte aus UK Biobank (n = 73.134, 52% Frauen, 40–69 Jahre bei Baseline, 4–18 Jahre Nachverfolgung) zur Analyse der Varianz in Handkraft nach Altersgruppen und Geschlecht.</w:t>
      </w:r>
    </w:p>
    <w:p>
      <w:r>
        <w:rPr>
          <w:b/>
        </w:rPr>
        <w:t xml:space="preserve">Ergebnis: </w:t>
      </w:r>
      <w:r>
        <w:t>Frauen zeigten stabile Handkraft-Varianz über alle Altersgruppen querschnittlich und longitudinal; Männer zeigten cross-sectional Varianzabnahme mit Alter, longitudinal aber Varianzanstieg. Kovariaten schwächten Trends ab, eliminierten sie aber nicht. Heterogenität des Alterns operiert bei Männern und Frauen unterschiedlich; longitudinale und querschnittliche Muster divergieren deutlich.</w:t>
      </w:r>
    </w:p>
    <w:p>
      <w:r>
        <w:rPr>
          <w:b/>
          <w:sz w:val="19"/>
        </w:rPr>
        <w:t xml:space="preserve">Übertragbarkeit: </w:t>
      </w:r>
      <w:r>
        <w:rPr>
          <w:sz w:val="19"/>
        </w:rPr>
        <w:t>UK Biobank, vergleichbares englisches System, hohe Übertragbarkeit auf deutsche Bevölkerung.</w:t>
      </w:r>
    </w:p>
    <w:p>
      <w:r>
        <w:rPr>
          <w:color w:val="5A7D3A"/>
          <w:sz w:val="18"/>
        </w:rPr>
        <w:t>https://pubmed.ncbi.nlm.nih.gov/42435411/</w:t>
      </w:r>
    </w:p>
    <w:p>
      <w:pPr>
        <w:pStyle w:val="Heading2"/>
      </w:pPr>
      <w:r>
        <w:t>Gezielte epigenetische Uhr (TaM-Uhr) zeigt Grenzen bei Frailty-Vorhersage</w:t>
      </w:r>
    </w:p>
    <w:p>
      <w:r>
        <w:rPr>
          <w:i/>
          <w:color w:val="666666"/>
          <w:sz w:val="18"/>
        </w:rPr>
        <w:t>Awuah J et al.  ·  Clin Epigenetics  ·  07.07.2026  ·  PMID 42415175</w:t>
      </w:r>
    </w:p>
    <w:p>
      <w:r>
        <w:t>Deutsche Studie (Ulm, Aachen) zur Validierung einer verkürzten epigenetischen Uhr basierend auf drei Sterblichkeits-assoziierten CpG-Stellen gegen Frailty und Mortalität in der ActiFE-Kohorte (n = 446 bzw. 20 Frail/non-Frail).</w:t>
      </w:r>
    </w:p>
    <w:p>
      <w:r>
        <w:rPr>
          <w:b/>
        </w:rPr>
        <w:t xml:space="preserve">Ergebnis: </w:t>
      </w:r>
      <w:r>
        <w:t>In der kleinen Subset (n = 40) war das Delta-Alter mit Frailty assoziiert, jedoch in der größeren Kohorte keine signifikanten Assoziationen mit Frailty oder Mortalität. Ein CpG-Locus (cg20595453) zeigte Assoziation mit beiden Endpunkten, doch insgesamt war die Vorhersagekraft begrenzt. Die Autoren konstatieren, dass epigenetische Uhren in relativ gesunden Populationen nicht sensitiv genug sind.</w:t>
      </w:r>
    </w:p>
    <w:p>
      <w:r>
        <w:rPr>
          <w:b/>
          <w:sz w:val="19"/>
        </w:rPr>
        <w:t xml:space="preserve">Übertragbarkeit: </w:t>
      </w:r>
      <w:r>
        <w:rPr>
          <w:sz w:val="19"/>
        </w:rPr>
        <w:t>Deutschland (Aachen, Ulm), deutsches Studiendesign, hohe Übertragbarkeit; zeigt jedoch auch Grenzen der Methode.</w:t>
      </w:r>
    </w:p>
    <w:p>
      <w:r>
        <w:rPr>
          <w:color w:val="5A7D3A"/>
          <w:sz w:val="18"/>
        </w:rPr>
        <w:t>https://pubmed.ncbi.nlm.nih.gov/42415175/</w:t>
      </w:r>
    </w:p>
    <w:p>
      <w:pPr>
        <w:pStyle w:val="Heading1"/>
      </w:pPr>
      <w:r>
        <w:t>Aufgenommen am 02.09.2026</w:t>
      </w:r>
    </w:p>
    <w:p>
      <w:pPr>
        <w:pStyle w:val="Heading2"/>
      </w:pPr>
      <w:r>
        <w:t>Psychische Gesundheit älteren Menschen: Evidenzbasierte Prävention mit moderater körperlicher Aktivität</w:t>
      </w:r>
    </w:p>
    <w:p>
      <w:r>
        <w:rPr>
          <w:i/>
          <w:color w:val="666666"/>
          <w:sz w:val="18"/>
        </w:rPr>
        <w:t>Acoulon G et al.  ·  Sante Publique  ·  2026  ·  PMID 42674988</w:t>
      </w:r>
    </w:p>
    <w:p>
      <w:r>
        <w:t>Systematische Übersicht von Primärprävention psychischer Erkrankungen bei selbstständig lebenden älteren Menschen ab 60 Jahren.</w:t>
      </w:r>
    </w:p>
    <w:p>
      <w:r>
        <w:rPr>
          <w:b/>
        </w:rPr>
        <w:t xml:space="preserve">Ergebnis: </w:t>
      </w:r>
      <w:r>
        <w:t>Sieben Interventionskategorien identifiziert; moderate körperliche Aktivität (2–3 Sitzungen/Woche, ≥12 Wochen) reduzierte depressive und Angstsymptome am stärksten. Multimodale und in Gemeinderessourcen verankerte Programme zeigten beste Effektivität. Hauptchallenge: Dissemination und Anpassung an vulnerable Bevölkerungsgruppen, nicht die Identifikation wirksamer Interventionen.</w:t>
      </w:r>
    </w:p>
    <w:p>
      <w:r>
        <w:rPr>
          <w:b/>
          <w:sz w:val="19"/>
        </w:rPr>
        <w:t xml:space="preserve">Übertragbarkeit: </w:t>
      </w:r>
      <w:r>
        <w:rPr>
          <w:sz w:val="19"/>
        </w:rPr>
        <w:t>Frankreich, vergleichbare Sozialversicherung; Empfehlungen auf deutsches System übertragbar</w:t>
      </w:r>
    </w:p>
    <w:p>
      <w:r>
        <w:rPr>
          <w:color w:val="5A7D3A"/>
          <w:sz w:val="18"/>
        </w:rPr>
        <w:t>https://pubmed.ncbi.nlm.nih.gov/42674988/</w:t>
      </w:r>
    </w:p>
    <w:p>
      <w:pPr>
        <w:pStyle w:val="Heading2"/>
      </w:pPr>
      <w:r>
        <w:t>Sozial assistive Roboter in der Altenpflege: Phasen-orientierte Implementierung statt Technologie-Fokus</w:t>
      </w:r>
    </w:p>
    <w:p>
      <w:r>
        <w:rPr>
          <w:i/>
          <w:color w:val="666666"/>
          <w:sz w:val="18"/>
        </w:rPr>
        <w:t>Bubeck M et al.  ·  Arch Gerontol Geriatr  ·  28.07.2026  ·  PMID 42603460</w:t>
      </w:r>
    </w:p>
    <w:p>
      <w:r>
        <w:t>Qualitative Studie mit 14 professionellen Pflegekräften in deutschen Einrichtungen zur Erfahrung mit Robotern am Krankenbett.</w:t>
      </w:r>
    </w:p>
    <w:p>
      <w:r>
        <w:rPr>
          <w:b/>
        </w:rPr>
        <w:t xml:space="preserve">Ergebnis: </w:t>
      </w:r>
      <w:r>
        <w:t>Vier analytische Phasen der Implementierung identifiziert: Orientierung, Einführung, Routinenutzung, Neubewertung. Praktische und moralische Anforderungen verschoben sich systematisch. Zentrale Erkenntnisse: Nachhaltige, ethisch verantwortungsvolle Nutzung erfordert Unterstützung des professionellen Urteils und kontextuelle Sensibilität – nicht technisches Rollout ohne Reflexion.</w:t>
      </w:r>
    </w:p>
    <w:p>
      <w:r>
        <w:rPr>
          <w:b/>
          <w:sz w:val="19"/>
        </w:rPr>
        <w:t xml:space="preserve">Übertragbarkeit: </w:t>
      </w:r>
      <w:r>
        <w:rPr>
          <w:sz w:val="19"/>
        </w:rPr>
        <w:t>Deutschland, direkt auf deutsches Versorgungssystem anwendbar</w:t>
      </w:r>
    </w:p>
    <w:p>
      <w:r>
        <w:rPr>
          <w:color w:val="5A7D3A"/>
          <w:sz w:val="18"/>
        </w:rPr>
        <w:t>https://pubmed.ncbi.nlm.nih.gov/42603460/</w:t>
      </w:r>
    </w:p>
    <w:p>
      <w:pPr>
        <w:pStyle w:val="Heading2"/>
      </w:pPr>
      <w:r>
        <w:t>Urinmetabolom als biologische Alter-Uhr: Längsschnitt-Heterogenität und Mortalitätsvorhersage</w:t>
      </w:r>
    </w:p>
    <w:p>
      <w:r>
        <w:rPr>
          <w:i/>
          <w:color w:val="666666"/>
          <w:sz w:val="18"/>
        </w:rPr>
        <w:t>Gauß KF et al.  ·  J Gerontol A Biol Sci Med Sci  ·  04.08.2026  ·  PMID 42440338</w:t>
      </w:r>
    </w:p>
    <w:p>
      <w:r>
        <w:t>Entwicklung und Validierung eines biologischen Alter-Scores aus hochauflösender ¹H-Kernresonanzspektroskopie von Urinmetaboliten in großer populationsbasierter Kohorte mit &gt;10-Jahr Nachverfolgung.</w:t>
      </w:r>
    </w:p>
    <w:p>
      <w:r>
        <w:rPr>
          <w:b/>
        </w:rPr>
        <w:t xml:space="preserve">Ergebnis: </w:t>
      </w:r>
      <w:r>
        <w:t>Metabolisches Altern variiert zwischen Individuen, unterstreicht inter-individuelle Heterogenität. Metabolisches Alter zeigte Assoziation mit altersrelevanten klinischen Phänotypen und war prädiktiv für multiple Erkrankungen und Gesamtmortalität unabhängig vom chronologischen Alter. Urinmetabolom als non-invasives Werkzeug zur Risikostratifizierung validiert.</w:t>
      </w:r>
    </w:p>
    <w:p>
      <w:r>
        <w:rPr>
          <w:b/>
          <w:sz w:val="19"/>
        </w:rPr>
        <w:t xml:space="preserve">Übertragbarkeit: </w:t>
      </w:r>
      <w:r>
        <w:rPr>
          <w:sz w:val="19"/>
        </w:rPr>
        <w:t>Deutschland, Greifswald; deutsche Klinikdaten, vergleichbare Dokumentationspflichten</w:t>
      </w:r>
    </w:p>
    <w:p>
      <w:r>
        <w:rPr>
          <w:color w:val="5A7D3A"/>
          <w:sz w:val="18"/>
        </w:rPr>
        <w:t>https://pubmed.ncbi.nlm.nih.gov/42440338/</w:t>
      </w:r>
    </w:p>
    <w:p>
      <w:pPr>
        <w:pStyle w:val="Heading2"/>
      </w:pPr>
      <w:r>
        <w:t>Frailty-Übergänge und Schlaganfall-Risiko: China und Großbritannien im Vergleich</w:t>
      </w:r>
    </w:p>
    <w:p>
      <w:r>
        <w:rPr>
          <w:i/>
          <w:color w:val="666666"/>
          <w:sz w:val="18"/>
        </w:rPr>
        <w:t>Zhong S et al.  ·  Arch Gerontol Geriatr  ·  04.07.2026  ·  PMID 42418874</w:t>
      </w:r>
    </w:p>
    <w:p>
      <w:r>
        <w:t>Längsschnittstudie (CHARLS/ELSA) mit 14.682 älteren Erwachsenen zu Frailty-Verlauf und Schlaganfall-Inzidenz über 2 Jahre.</w:t>
      </w:r>
    </w:p>
    <w:p>
      <w:r>
        <w:rPr>
          <w:b/>
        </w:rPr>
        <w:t xml:space="preserve">Ergebnis: </w:t>
      </w:r>
      <w:r>
        <w:t>Baseline-Frailty erhöhte Schlaganfall-Risiko in beiden Ländern. Progression von robust zu pre-frail/frail: signifikant erhöhtes Risiko; Verbesserung von frail zu robust/pre-frail: Risikoreduktion. Höherer kumulativer Frailty-Index zeigte Dosis-Wirkungs-Beziehung (alle p&lt;0,0001). Frailty-Monitoring als Prognose-Instrument für Hochrisiko-Patienten bestätigt.</w:t>
      </w:r>
    </w:p>
    <w:p>
      <w:r>
        <w:rPr>
          <w:b/>
          <w:sz w:val="19"/>
        </w:rPr>
        <w:t xml:space="preserve">Übertragbarkeit: </w:t>
      </w:r>
      <w:r>
        <w:rPr>
          <w:sz w:val="19"/>
        </w:rPr>
        <w:t>Großbritannien und China, vorsichtig auf Deutschland; Altersstruktur und Versorgung unterschiedlich, Frailty-Mechanismus universal</w:t>
      </w:r>
    </w:p>
    <w:p>
      <w:r>
        <w:rPr>
          <w:color w:val="5A7D3A"/>
          <w:sz w:val="18"/>
        </w:rPr>
        <w:t>https://pubmed.ncbi.nlm.nih.gov/42418874/</w:t>
      </w:r>
    </w:p>
    <w:p>
      <w:pPr>
        <w:pStyle w:val="Heading2"/>
      </w:pPr>
      <w:r>
        <w:t>Soziale, psychische und spirituelle Versorgung am Lebensende: Ungleichheiten durch fehlende Formaldienste</w:t>
      </w:r>
    </w:p>
    <w:p>
      <w:r>
        <w:rPr>
          <w:i/>
          <w:color w:val="666666"/>
          <w:sz w:val="18"/>
        </w:rPr>
        <w:t>Meier C et al.  ·  Age Ageing  ·  02.07.2026  ·  PMID 42407095</w:t>
      </w:r>
    </w:p>
    <w:p>
      <w:r>
        <w:t>Analyse von 507 Proxy-Interviews verstorbener Personen (≥55 Jahre) aus der ELSA zur Unterstützung non-medizinischer Bedarf in den letzten drei Lebensmonaten.</w:t>
      </w:r>
    </w:p>
    <w:p>
      <w:r>
        <w:rPr>
          <w:b/>
        </w:rPr>
        <w:t xml:space="preserve">Ergebnis: </w:t>
      </w:r>
      <w:r>
        <w:t>Soziale Bedürfnisse bei 81,8%, psychische bei 77,8%, spirituelle bei 74,4% erfüllt. Überwiegend Familie als Unterstützer, kaum formale Dienste. Alleinleben assoziiert mit niedrigerer Erfüllungswahrscheinlichkeit; Demenz korreliert mit schlechterer psychischer und sozialer Unterstützung. Mangel an integrierten Angeboten verstärkt soziale Ungleichheiten am Lebensende.</w:t>
      </w:r>
    </w:p>
    <w:p>
      <w:r>
        <w:rPr>
          <w:b/>
          <w:sz w:val="19"/>
        </w:rPr>
        <w:t xml:space="preserve">Übertragbarkeit: </w:t>
      </w:r>
      <w:r>
        <w:rPr>
          <w:sz w:val="19"/>
        </w:rPr>
        <w:t>Großbritannien, vergleichbar mit deutschem NHS; Befund zur Systemabhängigkeit nicht-medizinischer Versorgung bedeutsam</w:t>
      </w:r>
    </w:p>
    <w:p>
      <w:r>
        <w:rPr>
          <w:color w:val="5A7D3A"/>
          <w:sz w:val="18"/>
        </w:rPr>
        <w:t>https://pubmed.ncbi.nlm.nih.gov/42407095/</w:t>
      </w:r>
    </w:p>
    <w:p>
      <w:pPr>
        <w:pStyle w:val="Heading2"/>
      </w:pPr>
      <w:r>
        <w:t>Schlafstörungen und Muskelkraftverlust im Alter: Geschlechtsspezifische Unterschiede bei älteren Erwachsenen</w:t>
      </w:r>
    </w:p>
    <w:p>
      <w:r>
        <w:rPr>
          <w:i/>
          <w:color w:val="666666"/>
          <w:sz w:val="18"/>
        </w:rPr>
        <w:t>Silveira LC et al.  ·  Age Ageing  ·  02.07.2026  ·  PMID 42407094</w:t>
      </w:r>
    </w:p>
    <w:p>
      <w:r>
        <w:t>Längsschnittstudie (8 Jahre, n=6.429, ELSA) zu Einfluss von Insomnie und Schlafdauer auf Handgriff-Kraft-Abnahme.</w:t>
      </w:r>
    </w:p>
    <w:p>
      <w:r>
        <w:rPr>
          <w:b/>
        </w:rPr>
        <w:t xml:space="preserve">Ergebnis: </w:t>
      </w:r>
      <w:r>
        <w:t>Männer mit erhöhter Insomnie: schnellerer Kraftverlust (–0,02 kg/Jahr; 95%-KI –0,04 bis –0,01). Frauen mit Schlafdauer ≥9 Stunden: stärkerer Rückgang (–0,14 kg/Jahr; 95%-KI –0,26 bis –0,03). Schlafprobleme beeinflussen Muskelabbau geschlechtsspezifisch unterschiedlich – bei Männern Insomnie, bei Frauen lange Schlafdauer.</w:t>
      </w:r>
    </w:p>
    <w:p>
      <w:r>
        <w:rPr>
          <w:b/>
          <w:sz w:val="19"/>
        </w:rPr>
        <w:t xml:space="preserve">Übertragbarkeit: </w:t>
      </w:r>
      <w:r>
        <w:rPr>
          <w:sz w:val="19"/>
        </w:rPr>
        <w:t>Großbritannien, epidemiologisch auf Deutschland übertragbar; Geschlechtsdimension in Prävention relevant</w:t>
      </w:r>
    </w:p>
    <w:p>
      <w:r>
        <w:rPr>
          <w:color w:val="5A7D3A"/>
          <w:sz w:val="18"/>
        </w:rPr>
        <w:t>https://pubmed.ncbi.nlm.nih.gov/42407094/</w:t>
      </w:r>
    </w:p>
    <w:p>
      <w:pPr>
        <w:pStyle w:val="Heading1"/>
      </w:pPr>
      <w:r>
        <w:t>Aufgenommen am 01.09.2026</w:t>
      </w:r>
    </w:p>
    <w:p>
      <w:pPr>
        <w:pStyle w:val="Heading2"/>
      </w:pPr>
      <w:r>
        <w:t>Geriatrisches Assessment vor Gefäßinterventionen senkt perioperative Risiken bei älteren Patienten</w:t>
      </w:r>
    </w:p>
    <w:p>
      <w:r>
        <w:rPr>
          <w:i/>
          <w:color w:val="666666"/>
          <w:sz w:val="18"/>
        </w:rPr>
        <w:t>Kolb G et al.  ·  Vasa  ·  Sept. 2026  ·  PMID 42669422</w:t>
      </w:r>
    </w:p>
    <w:p>
      <w:r>
        <w:t>Positionspapier dreier Fachgesellschaften zur Notwendigkeit geriatrischer Assessments vor gefäßmedizinischen Eingriffen bei älteren Menschen, da Frailty die Outcomes nach Gefäßchirurgie und Interventionen bestimmt.</w:t>
      </w:r>
    </w:p>
    <w:p>
      <w:r>
        <w:rPr>
          <w:b/>
        </w:rPr>
        <w:t xml:space="preserve">Ergebnis: </w:t>
      </w:r>
      <w:r>
        <w:t>Frailty-Status bestimmt Komplikationen und Outcomes nach Gefäßinterventionen; geriatrisches Assessment wird zur Risikostratifizierung empfohlen, konkrete Zahlen zu Outcome-Verbesserungen durch das Positionspapier nicht genannt.</w:t>
      </w:r>
    </w:p>
    <w:p>
      <w:r>
        <w:rPr>
          <w:b/>
          <w:sz w:val="19"/>
        </w:rPr>
        <w:t xml:space="preserve">Übertragbarkeit: </w:t>
      </w:r>
      <w:r>
        <w:rPr>
          <w:sz w:val="19"/>
        </w:rPr>
        <w:t>Deutschland: Stellungnahmen deutscher Fachgesellschaften, direkt relevant für Versorgungspraxis.</w:t>
      </w:r>
    </w:p>
    <w:p>
      <w:r>
        <w:rPr>
          <w:color w:val="5A7D3A"/>
          <w:sz w:val="18"/>
        </w:rPr>
        <w:t>https://pubmed.ncbi.nlm.nih.gov/42669422/</w:t>
      </w:r>
    </w:p>
    <w:p>
      <w:pPr>
        <w:pStyle w:val="Heading2"/>
      </w:pPr>
      <w:r>
        <w:t>Gesunde Ernährung verlangsamt epigenetisches Altern unabhängig von Ernährungsstil</w:t>
      </w:r>
    </w:p>
    <w:p>
      <w:r>
        <w:rPr>
          <w:i/>
          <w:color w:val="666666"/>
          <w:sz w:val="18"/>
        </w:rPr>
        <w:t>Tavares JF et al.  ·  Nat Commun  ·  29.08.2026  ·  PMID 42668319</w:t>
      </w:r>
    </w:p>
    <w:p>
      <w:r>
        <w:t>Zwei bevölkerungsbasierte Kohorten zeigten, dass Adhärenz zu gesunden Ernährungsmustern mit verlangsamtem epigenetischem Altern assoziiert ist, obwohl verschiedene Ernährungsstile unterschiedliche epigenetische Profile aufweisen.</w:t>
      </w:r>
    </w:p>
    <w:p>
      <w:r>
        <w:rPr>
          <w:b/>
        </w:rPr>
        <w:t xml:space="preserve">Ergebnis: </w:t>
      </w:r>
      <w:r>
        <w:t>Zehn verschiedene Ernährungsbewertungsindizes: minimale Überschneidung in der höchsten Adhärenz-Quartile, aber alle mit reduziertem epigenetischen Altern assoziiert; verschiedene Ernährungsstile konvergierten auf gleiche biologische Signalwege.</w:t>
      </w:r>
    </w:p>
    <w:p>
      <w:r>
        <w:rPr>
          <w:b/>
          <w:sz w:val="19"/>
        </w:rPr>
        <w:t xml:space="preserve">Übertragbarkeit: </w:t>
      </w:r>
      <w:r>
        <w:rPr>
          <w:sz w:val="19"/>
        </w:rPr>
        <w:t>Deutschland und deutschsprachiger Raum: Rhineland-Studie, vergleichbare Populationsstruktur, externe Validierung mit EPIC-Potsdam.</w:t>
      </w:r>
    </w:p>
    <w:p>
      <w:r>
        <w:rPr>
          <w:color w:val="5A7D3A"/>
          <w:sz w:val="18"/>
        </w:rPr>
        <w:t>https://pubmed.ncbi.nlm.nih.gov/42668319/</w:t>
      </w:r>
    </w:p>
    <w:p>
      <w:pPr>
        <w:pStyle w:val="Heading2"/>
      </w:pPr>
      <w:r>
        <w:t>Arbeitsplatzgewalt verkürzt die Erwerbstätigkeit älterer Arbeitnehmer um bis zu sieben Monate</w:t>
      </w:r>
    </w:p>
    <w:p>
      <w:r>
        <w:rPr>
          <w:i/>
          <w:color w:val="666666"/>
          <w:sz w:val="18"/>
        </w:rPr>
        <w:t>Holmgren R et al.  ·  Scand J Work Environ Health  ·  01.09.2026  ·  PMID 42563557</w:t>
      </w:r>
    </w:p>
    <w:p>
      <w:r>
        <w:t>Prospektive schwedische Kohortenstudie mit multistate Markov-Modellen zur Assoziation von Mobbing und Gewalt am Arbeitsplatz mit der verbleibenden Erwerbstätigkeit von über 50-Jährigen.</w:t>
      </w:r>
    </w:p>
    <w:p>
      <w:r>
        <w:rPr>
          <w:b/>
        </w:rPr>
        <w:t xml:space="preserve">Ergebnis: </w:t>
      </w:r>
      <w:r>
        <w:t>Exposition gegenüber Arbeitsplatzgewalt/Drohungen verkürzte die Erwerbstätigkeit ab 50 Jahren um 0,56 Jahre (95%-KI: −1,02–−0,10); Mobbing zeigte ähnliche Effektgröße (−0,63 Jahre, 95%-KI: −1,39–0,14), war aber nicht statistisch signifikant.</w:t>
      </w:r>
    </w:p>
    <w:p>
      <w:r>
        <w:rPr>
          <w:b/>
          <w:sz w:val="19"/>
        </w:rPr>
        <w:t xml:space="preserve">Übertragbarkeit: </w:t>
      </w:r>
      <w:r>
        <w:rPr>
          <w:sz w:val="19"/>
        </w:rPr>
        <w:t>Schweden, vergleichbares Sozialversicherungssystem, Längsschnitt-Follow-up 2008–2020.</w:t>
      </w:r>
    </w:p>
    <w:p>
      <w:r>
        <w:rPr>
          <w:color w:val="5A7D3A"/>
          <w:sz w:val="18"/>
        </w:rPr>
        <w:t>https://pubmed.ncbi.nlm.nih.gov/42563557/</w:t>
      </w:r>
    </w:p>
    <w:p>
      <w:pPr>
        <w:pStyle w:val="Heading2"/>
      </w:pPr>
      <w:r>
        <w:t>Frailty-Messung mit elektronischen Daten ist kontextabhängig und zeigt begrenzte Übertragbarkeit</w:t>
      </w:r>
    </w:p>
    <w:p>
      <w:r>
        <w:rPr>
          <w:i/>
          <w:color w:val="666666"/>
          <w:sz w:val="18"/>
        </w:rPr>
        <w:t>Cavanaugh R et al.  ·  J Gerontol A Biol Sci Med Sci  ·  04.08.2026  ·  PMID 42550179</w:t>
      </w:r>
    </w:p>
    <w:p>
      <w:r>
        <w:t>Internationale Vergleichsstudie zweier elektronischer Frailty-Indizes (VAFI, eFI) über fünf Datenbanken zeigte inkonsistente Frailty-Prävalenzen je nach Land und lokalen Kodierungsverhalten.</w:t>
      </w:r>
    </w:p>
    <w:p>
      <w:r>
        <w:rPr>
          <w:b/>
        </w:rPr>
        <w:t xml:space="preserve">Ergebnis: </w:t>
      </w:r>
      <w:r>
        <w:t>USA-Datenbanken: VAFI identifizierte höhere Frailty-Raten (All of Us: 10,3% vs. 2,5% eFI; Pharmetrics: 9,6% vs. 2%); UK-Datenbanken zeigten umgekehrtes Muster (eFI höher); FI-Messungen stark abhängig vom Entwicklungskontext und lokalen Kodierungsinzentiven.</w:t>
      </w:r>
    </w:p>
    <w:p>
      <w:r>
        <w:rPr>
          <w:b/>
          <w:sz w:val="19"/>
        </w:rPr>
        <w:t xml:space="preserve">Übertragbarkeit: </w:t>
      </w:r>
      <w:r>
        <w:rPr>
          <w:sz w:val="19"/>
        </w:rPr>
        <w:t>USA und UK: Warnung vor direkter Anwendung außerhalb des Entwicklungskontextes; deutsche Systeme benötigen eigene Validierung.</w:t>
      </w:r>
    </w:p>
    <w:p>
      <w:r>
        <w:rPr>
          <w:color w:val="5A7D3A"/>
          <w:sz w:val="18"/>
        </w:rPr>
        <w:t>https://pubmed.ncbi.nlm.nih.gov/42550179/</w:t>
      </w:r>
    </w:p>
    <w:p>
      <w:pPr>
        <w:pStyle w:val="Heading2"/>
      </w:pPr>
      <w:r>
        <w:t>Datenaustausch für Hirnalterungsforschung: Barrieren und Strategien in der Open Science</w:t>
      </w:r>
    </w:p>
    <w:p>
      <w:r>
        <w:rPr>
          <w:i/>
          <w:color w:val="666666"/>
          <w:sz w:val="18"/>
        </w:rPr>
        <w:t>Giehl K et al.  ·  Eur J Neurol  ·  Juli 2026  ·  PMID 42496021</w:t>
      </w:r>
    </w:p>
    <w:p>
      <w:r>
        <w:t>Übersichtsarbeit zu Hindernissen bei der Freigabe von Neuroimaging-Daten in der Alternsforschung und Vorschläge für vereinheitlichte rechtliche Rahmen, Standardisierung und akademische Anreize.</w:t>
      </w:r>
    </w:p>
    <w:p>
      <w:r>
        <w:rPr>
          <w:b/>
        </w:rPr>
        <w:t xml:space="preserve">Ergebnis: </w:t>
      </w:r>
      <w:r>
        <w:t>Die Hürden reichen von technischen und infrastrukturellen Grenzen bis zu rechtlichen Fragen. Die Arbeit plädiert für einen einheitlichen, DSGVO-konformen Rahmen, für die akademische Anerkennung von Data Stewardship und für ein abgestimmtes Vorgehen der Fachgemeinschaft hin zu Open Science in der Erforschung neurodegenerativer Erkrankungen.</w:t>
      </w:r>
    </w:p>
    <w:p>
      <w:r>
        <w:rPr>
          <w:b/>
          <w:sz w:val="19"/>
        </w:rPr>
        <w:t xml:space="preserve">Übertragbarkeit: </w:t>
      </w:r>
      <w:r>
        <w:rPr>
          <w:sz w:val="19"/>
        </w:rPr>
        <w:t>Europa: GDPR-Konformität, direkt auf EU-Systeme anwendbar, insbesondere Deutschland.</w:t>
      </w:r>
    </w:p>
    <w:p>
      <w:r>
        <w:rPr>
          <w:color w:val="5A7D3A"/>
          <w:sz w:val="18"/>
        </w:rPr>
        <w:t>https://pubmed.ncbi.nlm.nih.gov/42496021/</w:t>
      </w:r>
    </w:p>
    <w:p>
      <w:pPr>
        <w:pStyle w:val="Heading2"/>
      </w:pPr>
      <w:r>
        <w:t>Direkt wirkende Antivirale bei Hepatitis C verlängern Lebenserwartung um bis zu neun Jahre</w:t>
      </w:r>
    </w:p>
    <w:p>
      <w:r>
        <w:rPr>
          <w:i/>
          <w:color w:val="666666"/>
          <w:sz w:val="18"/>
        </w:rPr>
        <w:t>Etoori D et al.  ·  J Viral Hepat  ·  Aug. 2026  ·  PMID 42438144</w:t>
      </w:r>
    </w:p>
    <w:p>
      <w:r>
        <w:t>Englische Überwachungs- und Mortalitätsdaten zeigten, dass behandelte Hepatitis-C-Patienten eine um 8,5 bis 8,9 Jahre längere Lebenserwartung hatten, wobei dieser Vorsprung zwischen 2015–2018 und 2019–2022 abnahm.</w:t>
      </w:r>
    </w:p>
    <w:p>
      <w:r>
        <w:rPr>
          <w:b/>
        </w:rPr>
        <w:t xml:space="preserve">Ergebnis: </w:t>
      </w:r>
      <w:r>
        <w:t>Periode 2015–2018: behandelte Frauen +8,5 Jahre LE (95%-KI: 5,4–11,5), Männer +8,9 Jahre (95%-KI: 5,6–12,2); Periode 2019–2022: Frauen +6,7 Jahre (95%-KI: 3,3–10,2), Männer +5,3 Jahre (95%-KI: 3,0–7,6); Rückgang durch höhere Suizid-, Alkohol- und Drogentodesfälle in behandelter Population.</w:t>
      </w:r>
    </w:p>
    <w:p>
      <w:r>
        <w:rPr>
          <w:b/>
          <w:sz w:val="19"/>
        </w:rPr>
        <w:t xml:space="preserve">Übertragbarkeit: </w:t>
      </w:r>
      <w:r>
        <w:rPr>
          <w:sz w:val="19"/>
        </w:rPr>
        <w:t>Vereinigtes Königreich, vergleichbare westliche Versorgungsstrukturen, nationale Überwachungsdaten mit Mortalitätslinkage verfügbar.</w:t>
      </w:r>
    </w:p>
    <w:p>
      <w:r>
        <w:rPr>
          <w:color w:val="5A7D3A"/>
          <w:sz w:val="18"/>
        </w:rPr>
        <w:t>https://pubmed.ncbi.nlm.nih.gov/42438144/</w:t>
      </w:r>
    </w:p>
    <w:p>
      <w:pPr>
        <w:pStyle w:val="Heading2"/>
      </w:pPr>
      <w:r>
        <w:t>Französische Geriater fordern Fortbildung in Nephrologie: 75% Bedarf bei chronischen Nierenerkrankungen im Alter</w:t>
      </w:r>
    </w:p>
    <w:p>
      <w:r>
        <w:rPr>
          <w:i/>
          <w:color w:val="666666"/>
          <w:sz w:val="18"/>
        </w:rPr>
        <w:t>Mésinèle L et al.  ·  Geriatr Psychol Neuropsychiatr Vieil  ·  01.06.2026  ·  PMID 42412499</w:t>
      </w:r>
    </w:p>
    <w:p>
      <w:r>
        <w:t>Online-Befragung von 252 französischen Geriatrien zur Zusammenarbeit mit Nephrologie und Fortbildungsbedarf; 89% haben Zugang zu Nephrologen, aber nur 37% nennen einen Ansprechpartner für nephrogeriatrische Fragen.</w:t>
      </w:r>
    </w:p>
    <w:p>
      <w:r>
        <w:rPr>
          <w:b/>
        </w:rPr>
        <w:t xml:space="preserve">Ergebnis: </w:t>
      </w:r>
      <w:r>
        <w:t>89% haben Zugang zu Nephrologen, 37% identifizieren einen Ansprechpartner; häufigster Fortbildungswunsch: metabolische und kardiovaskuläre Komplikationen der CKD (60%), CKD-Stadien 1–4 (46%), Arzneimitteltherapie bei Niereninsuffizienz (38%); Geriater mit Nephro-Fortbildung häufiger in Shared Decision-Making zu Dialyse involviert.</w:t>
      </w:r>
    </w:p>
    <w:p>
      <w:r>
        <w:rPr>
          <w:b/>
          <w:sz w:val="19"/>
        </w:rPr>
        <w:t xml:space="preserve">Übertragbarkeit: </w:t>
      </w:r>
      <w:r>
        <w:rPr>
          <w:sz w:val="19"/>
        </w:rPr>
        <w:t>Frankreich, vergleichbares westeuropäisches Gesundheitssystem und Aus­bildungsanforderungen, Befragungsdaten direkt zur Versorgungsorganisation.</w:t>
      </w:r>
    </w:p>
    <w:p>
      <w:r>
        <w:rPr>
          <w:color w:val="5A7D3A"/>
          <w:sz w:val="18"/>
        </w:rPr>
        <w:t>https://pubmed.ncbi.nlm.nih.gov/42412499/</w:t>
      </w:r>
    </w:p>
    <w:p>
      <w:pPr>
        <w:pStyle w:val="Heading1"/>
      </w:pPr>
      <w:r>
        <w:t>Aufgenommen am 31.08.2026</w:t>
      </w:r>
    </w:p>
    <w:p>
      <w:pPr>
        <w:pStyle w:val="Heading2"/>
      </w:pPr>
      <w:r>
        <w:t>Gezieltes Geriatrie-Training in Intensivstationen verbessert Fachkompetenz des Personals</w:t>
      </w:r>
    </w:p>
    <w:p>
      <w:r>
        <w:rPr>
          <w:i/>
          <w:color w:val="666666"/>
          <w:sz w:val="18"/>
        </w:rPr>
        <w:t>Beernaert L et al.  ·  Soins Gerontol  ·  20.07.2026  ·  PMID 42542357</w:t>
      </w:r>
    </w:p>
    <w:p>
      <w:r>
        <w:t>Pilottudie zur Wirksamkeit gezielter Schulung von Pflegekräften und Paramedizinern in Geriatrie-Kompetenzen auf Intensivstationen.</w:t>
      </w:r>
    </w:p>
    <w:p>
      <w:r>
        <w:rPr>
          <w:b/>
        </w:rPr>
        <w:t xml:space="preserve">Ergebnis: </w:t>
      </w:r>
      <w:r>
        <w:t>Gezielte Schulungen führten zu signifikanten Verbesserungen der Geriatrie-Kenntnisse des Personals. Die Studie unterstützt den Wert kontinuierlicher Fortbildung, sollte aber durch multizentrische Studien bestätigt werden.</w:t>
      </w:r>
    </w:p>
    <w:p>
      <w:r>
        <w:rPr>
          <w:b/>
          <w:sz w:val="19"/>
        </w:rPr>
        <w:t xml:space="preserve">Übertragbarkeit: </w:t>
      </w:r>
      <w:r>
        <w:rPr>
          <w:sz w:val="19"/>
        </w:rPr>
        <w:t>Belgisches Universitätsspital, konzeptuell auf deutschsprachige Kliniken übertragbar.</w:t>
      </w:r>
    </w:p>
    <w:p>
      <w:r>
        <w:rPr>
          <w:color w:val="5A7D3A"/>
          <w:sz w:val="18"/>
        </w:rPr>
        <w:t>https://pubmed.ncbi.nlm.nih.gov/42542357/</w:t>
      </w:r>
    </w:p>
    <w:p>
      <w:pPr>
        <w:pStyle w:val="Heading2"/>
      </w:pPr>
      <w:r>
        <w:t>Triglyceride-Cholesterin-Körpergewicht-Index vorhersagt Hypertonie-Risiko bei älteren Menschen</w:t>
      </w:r>
    </w:p>
    <w:p>
      <w:r>
        <w:rPr>
          <w:i/>
          <w:color w:val="666666"/>
          <w:sz w:val="18"/>
        </w:rPr>
        <w:t>Luo F et al.  ·  J Int Med Res  ·  30.07.2026  ·  PMID 42530895</w:t>
      </w:r>
    </w:p>
    <w:p>
      <w:r>
        <w:t>Longitudinalanalyse der English Longitudinal Study of Ageing mit 5.731 älteren Erwachsenen über 12 Jahre zur Assoziation eines Stoffwechsel-Indexes mit Hypertonie-Inzidenz.</w:t>
      </w:r>
    </w:p>
    <w:p>
      <w:r>
        <w:rPr>
          <w:b/>
        </w:rPr>
        <w:t xml:space="preserve">Ergebnis: </w:t>
      </w:r>
      <w:r>
        <w:t>Jede Einheit Anstieg des log-transformierten Index war mit 43% höherer Hypertonie-Odds assoziiert (OR=1,43; 95% KI: 1,31–1,55). Prospektiv: adjustierte HR=1,16 (1,05–1,28). Trajektorien zeigten dosisabhängige Risikoerhöhung (hohe vs. niedrige Gruppe: OR=1,69, p&lt;0,001).</w:t>
      </w:r>
    </w:p>
    <w:p>
      <w:r>
        <w:rPr>
          <w:b/>
          <w:sz w:val="19"/>
        </w:rPr>
        <w:t xml:space="preserve">Übertragbarkeit: </w:t>
      </w:r>
      <w:r>
        <w:rPr>
          <w:sz w:val="19"/>
        </w:rPr>
        <w:t>England, demografische und epidemiologische Parallelität mit Deutschland gegeben.</w:t>
      </w:r>
    </w:p>
    <w:p>
      <w:r>
        <w:rPr>
          <w:color w:val="5A7D3A"/>
          <w:sz w:val="18"/>
        </w:rPr>
        <w:t>https://pubmed.ncbi.nlm.nih.gov/42530895/</w:t>
      </w:r>
    </w:p>
    <w:p>
      <w:pPr>
        <w:pStyle w:val="Heading2"/>
      </w:pPr>
      <w:r>
        <w:t>Gesundheitliche Behandlungspräferenzen Älterer: Alters- und Geschlechtsunterschiede in England</w:t>
      </w:r>
    </w:p>
    <w:p>
      <w:r>
        <w:rPr>
          <w:i/>
          <w:color w:val="666666"/>
          <w:sz w:val="18"/>
        </w:rPr>
        <w:t>Steel N et al.  ·  PLoS One  ·  29.07.2026  ·  PMID 42525585</w:t>
      </w:r>
    </w:p>
    <w:p>
      <w:r>
        <w:t>Querschnittsanalyse der English Longitudinal Study of Ageing (Wave 8, 2016/17) zu Präferenzen von über 50-Jährigen bei sechs Gesundheitsfragen (Risikobereitschaft, Zeitorientierung, Qualität vs. Länge des Lebens).</w:t>
      </w:r>
    </w:p>
    <w:p>
      <w:r>
        <w:rPr>
          <w:b/>
        </w:rPr>
        <w:t xml:space="preserve">Ergebnis: </w:t>
      </w:r>
      <w:r>
        <w:t>Frauen delegierten Entscheidungen weniger häufig an Ärzte und priorisierten Lebensqualität über Lebensdauer. Personen über 75 Jahre bevorzugten mehr Risikominderung und Delegierung. Substanzielle Variabilität zwischen Personen, systematische Unterschiede nach Alter und Geschlecht unterstützen strukturiertes Elicitierungsgesprächs-Protokoll.</w:t>
      </w:r>
    </w:p>
    <w:p>
      <w:r>
        <w:rPr>
          <w:b/>
          <w:sz w:val="19"/>
        </w:rPr>
        <w:t xml:space="preserve">Übertragbarkeit: </w:t>
      </w:r>
      <w:r>
        <w:rPr>
          <w:sz w:val="19"/>
        </w:rPr>
        <w:t>Großbritannien; übertragbar auf deutsches Versorgungssystem mit ähnlichen Partizipationsnormen.</w:t>
      </w:r>
    </w:p>
    <w:p>
      <w:r>
        <w:rPr>
          <w:color w:val="5A7D3A"/>
          <w:sz w:val="18"/>
        </w:rPr>
        <w:t>https://pubmed.ncbi.nlm.nih.gov/42525585/</w:t>
      </w:r>
    </w:p>
    <w:p>
      <w:pPr>
        <w:pStyle w:val="Heading2"/>
      </w:pPr>
      <w:r>
        <w:t>Depressive Symptome von Ehepartnern zeigen stabiles Muster, aber schwache prospektive Kopplung im Alter</w:t>
      </w:r>
    </w:p>
    <w:p>
      <w:r>
        <w:rPr>
          <w:i/>
          <w:color w:val="666666"/>
          <w:sz w:val="18"/>
        </w:rPr>
        <w:t>Miao J et al.  ·  Psychol Med  ·  29.07.2026  ·  PMID 42522229</w:t>
      </w:r>
    </w:p>
    <w:p>
      <w:r>
        <w:t>Harmonisierte Längsschnittanalyse aus CHARLS (China), HRS (USA) und ELSA (England) mit insgesamt 7.759 Paaren über 5–9 Wellen zu Depressionen, Aktivitätseinschränkungen und Partnereffekte.</w:t>
      </w:r>
    </w:p>
    <w:p>
      <w:r>
        <w:rPr>
          <w:b/>
        </w:rPr>
        <w:t xml:space="preserve">Ergebnis: </w:t>
      </w:r>
      <w:r>
        <w:t>Hohe Konkordanz depressiver Symptome zwischen Partnern (r=0,14–0,43) über alle Kohorten. Prospektive Cross-Spouse-Assoziationen waren nach Kontrolle stabiler Ähnlichkeiten schwach und nur in ELSA und multipel-imputierter HRS signifikant. Bidirektionale Depression-Funktionsstörung-Kopplung in westlichen Kohorten stärker, unterstützt kombinierte Behandlung und Rehabilitation.</w:t>
      </w:r>
    </w:p>
    <w:p>
      <w:r>
        <w:rPr>
          <w:b/>
          <w:sz w:val="19"/>
        </w:rPr>
        <w:t xml:space="preserve">Übertragbarkeit: </w:t>
      </w:r>
      <w:r>
        <w:rPr>
          <w:sz w:val="19"/>
        </w:rPr>
        <w:t>ELSA ist englische Bevölkerungsstichprobe; Ergebnisse auf deutsches Versorgungssystem moderat übertragbar.</w:t>
      </w:r>
    </w:p>
    <w:p>
      <w:r>
        <w:rPr>
          <w:color w:val="5A7D3A"/>
          <w:sz w:val="18"/>
        </w:rPr>
        <w:t>https://pubmed.ncbi.nlm.nih.gov/42522229/</w:t>
      </w:r>
    </w:p>
    <w:p>
      <w:pPr>
        <w:pStyle w:val="Heading2"/>
      </w:pPr>
      <w:r>
        <w:t>Frailty und psychische Gesundheit bei älteren Menschen: Längsschnittstudie aus Slowenien</w:t>
      </w:r>
    </w:p>
    <w:p>
      <w:r>
        <w:rPr>
          <w:i/>
          <w:color w:val="666666"/>
          <w:sz w:val="18"/>
        </w:rPr>
        <w:t>Mikolič Brence P et al.  ·  Front Public Health  ·  06.07.2026  ·  PMID 42518591</w:t>
      </w:r>
    </w:p>
    <w:p>
      <w:r>
        <w:t>Studienprotokoll einer prospektiven Kohortenstudie mit Erwachsenen ≥50 Jahren (geplant n=5.000, 2026–2028) zu Assoziationen zwischen Frailty und mentalen Gesundheitsfaktoren (Wohlbefinden, Resilienz, soziale Kohäsion).</w:t>
      </w:r>
    </w:p>
    <w:p>
      <w:r>
        <w:rPr>
          <w:b/>
        </w:rPr>
        <w:t xml:space="preserve">Ergebnis: </w:t>
      </w:r>
      <w:r>
        <w:t>Studie noch nicht abgeschlossen; das Protokoll wird zur Seite gelegt, da keine Ergebnisse vorliegen.</w:t>
      </w:r>
    </w:p>
    <w:p>
      <w:r>
        <w:rPr>
          <w:b/>
          <w:sz w:val="19"/>
        </w:rPr>
        <w:t xml:space="preserve">Übertragbarkeit: </w:t>
      </w:r>
      <w:r>
        <w:rPr>
          <w:sz w:val="19"/>
        </w:rPr>
        <w:t>Nicht anwendbar – Protokoll ohne Befunde.</w:t>
      </w:r>
    </w:p>
    <w:p>
      <w:r>
        <w:rPr>
          <w:color w:val="5A7D3A"/>
          <w:sz w:val="18"/>
        </w:rPr>
        <w:t>https://pubmed.ncbi.nlm.nih.gov/42518591/</w:t>
      </w:r>
    </w:p>
    <w:p>
      <w:pPr>
        <w:pStyle w:val="Heading2"/>
      </w:pPr>
      <w:r>
        <w:t>Lockdown-bedingte Immobilität beschleunigt Frailty: Sechs-Monats-Progression bei älteren Erwachsenen</w:t>
      </w:r>
    </w:p>
    <w:p>
      <w:r>
        <w:rPr>
          <w:i/>
          <w:color w:val="666666"/>
          <w:sz w:val="18"/>
        </w:rPr>
        <w:t>Rukavishnikov AS et al.  ·  Adv Gerontol  ·  2026  ·  PMID 42502942</w:t>
      </w:r>
    </w:p>
    <w:p>
      <w:r>
        <w:t>Quasiexperimentelle Studie mit 525 älteren Patienten (65–74 Jahre) in Pflege-Wohneinrichtungen während COVID-19-Lockdown; Geriatrisches Assessment mit Handgriffkraft und Sechs-Minuten-Gehtest zu Baseline, 1 und 6 Monaten.</w:t>
      </w:r>
    </w:p>
    <w:p>
      <w:r>
        <w:rPr>
          <w:b/>
        </w:rPr>
        <w:t xml:space="preserve">Ergebnis: </w:t>
      </w:r>
      <w:r>
        <w:t>Prävalenz der Präfrailty sank von 35,8% auf 14,1%, Frailty nahm von 49,5% auf 72% zu. Milde, moderate und schwere Frailty-Formen nahmen jeweils um 11,6%, 6,1% und 4,4% zu. Verlängerte Immobilität und soziale Isolation waren signifikante Beschleuniger der Frailty-Progression und Funktionsverschlechterung.</w:t>
      </w:r>
    </w:p>
    <w:p>
      <w:r>
        <w:rPr>
          <w:b/>
          <w:sz w:val="19"/>
        </w:rPr>
        <w:t xml:space="preserve">Übertragbarkeit: </w:t>
      </w:r>
      <w:r>
        <w:rPr>
          <w:sz w:val="19"/>
        </w:rPr>
        <w:t>Russland (Sankt-Petersburg); Befunde zur Dekonditionierung durch Immobilität universal, aber Pflegeheim-Setting unterscheidet sich von deutschem Versorgungskontext.</w:t>
      </w:r>
    </w:p>
    <w:p>
      <w:r>
        <w:rPr>
          <w:color w:val="5A7D3A"/>
          <w:sz w:val="18"/>
        </w:rPr>
        <w:t>https://pubmed.ncbi.nlm.nih.gov/42502942/</w:t>
      </w:r>
    </w:p>
    <w:p>
      <w:pPr>
        <w:pStyle w:val="Heading1"/>
      </w:pPr>
      <w:r>
        <w:t>Aufgenommen am 30.08.2026</w:t>
      </w:r>
    </w:p>
    <w:p>
      <w:pPr>
        <w:pStyle w:val="Heading2"/>
      </w:pPr>
      <w:r>
        <w:t>Frailty und Ernährung bei Herzinsuffizienz im Alter: prognostische Faktoren</w:t>
      </w:r>
    </w:p>
    <w:p>
      <w:r>
        <w:rPr>
          <w:i/>
          <w:color w:val="666666"/>
          <w:sz w:val="18"/>
        </w:rPr>
        <w:t>Li J et al.  ·  Front Public Health  ·  14.08.2026  ·  PMID 42666459</w:t>
      </w:r>
    </w:p>
    <w:p>
      <w:r>
        <w:t>Retrospektive Studie an 200 älteren Patienten mit Herzinsuffizienz untersuchte Frailty und Ernährungsstatus als Prognosefaktoren für 6-Monats-Ergebnisse.</w:t>
      </w:r>
    </w:p>
    <w:p>
      <w:r>
        <w:rPr>
          <w:b/>
        </w:rPr>
        <w:t xml:space="preserve">Ergebnis: </w:t>
      </w:r>
      <w:r>
        <w:t>Bei gebrechlichen Patienten (n=92) waren Mortalität (4,35 % vs. 0,93 %) und Rehospitalisierungsrate (14,13 % vs. 1,85 %) höher als bei nicht gebrechlichen (n=108). Unter gebrechlichen Patienten stieg die Ereignisrate mit Mangelernährung: moderat-schwer 26,19 %, mild 16,13 %, normal 5,26 %. GNRI und HDL waren unabhängig mit ungünstiger Prognose assoziiert.</w:t>
      </w:r>
    </w:p>
    <w:p>
      <w:r>
        <w:rPr>
          <w:b/>
          <w:sz w:val="19"/>
        </w:rPr>
        <w:t xml:space="preserve">Übertragbarkeit: </w:t>
      </w:r>
      <w:r>
        <w:rPr>
          <w:sz w:val="19"/>
        </w:rPr>
        <w:t>China, internationales Instrument (Fried-Kriterien), begrenzte Direktübertragung auf Deutschland</w:t>
      </w:r>
    </w:p>
    <w:p>
      <w:r>
        <w:rPr>
          <w:color w:val="5A7D3A"/>
          <w:sz w:val="18"/>
        </w:rPr>
        <w:t>https://pubmed.ncbi.nlm.nih.gov/42666459/</w:t>
      </w:r>
    </w:p>
    <w:p>
      <w:pPr>
        <w:pStyle w:val="Heading2"/>
      </w:pPr>
      <w:r>
        <w:t>Gastrointestinale Erkrankungen und funktioneller Verfall im Alter: CHARLS und ELSA</w:t>
      </w:r>
    </w:p>
    <w:p>
      <w:r>
        <w:rPr>
          <w:i/>
          <w:color w:val="666666"/>
          <w:sz w:val="18"/>
        </w:rPr>
        <w:t>Peng D et al.  ·  Geriatr Gerontol Int  ·  Sept. 2026  ·  PMID 42665870</w:t>
      </w:r>
    </w:p>
    <w:p>
      <w:r>
        <w:t>Longitudinale Analyse in zwei Kohorten (CHARLS China; ELSA England) untersuchte, ob wiederholte Meldungen gastrointestinaler Erkrankungen mit kognitiven, ADL- oder depressiven Verschlechterungen assoziiert sind.</w:t>
      </w:r>
    </w:p>
    <w:p>
      <w:r>
        <w:rPr>
          <w:b/>
        </w:rPr>
        <w:t xml:space="preserve">Ergebnis: </w:t>
      </w:r>
      <w:r>
        <w:t>CHARLS (n=9.555): wiederholte Meldung war mit 6–10 % erhöhtem Relativrisiko für Multidomain-Verschlechterung assoziiert (aRR 1,06–1,10). ELSA-Schätzungen waren richtungsgleich aber weniger präzise (aOR 1,21; 95%-KI 0,90–1,63). Gastrointestinale Exposition bot geringe diskriminative Aussagekraft.</w:t>
      </w:r>
    </w:p>
    <w:p>
      <w:r>
        <w:rPr>
          <w:b/>
          <w:sz w:val="19"/>
        </w:rPr>
        <w:t xml:space="preserve">Übertragbarkeit: </w:t>
      </w:r>
      <w:r>
        <w:rPr>
          <w:sz w:val="19"/>
        </w:rPr>
        <w:t>China und Großbritannien; Ergebnisse konsistent aber schwach, begrenzte Übertragbarkeit</w:t>
      </w:r>
    </w:p>
    <w:p>
      <w:r>
        <w:rPr>
          <w:color w:val="5A7D3A"/>
          <w:sz w:val="18"/>
        </w:rPr>
        <w:t>https://pubmed.ncbi.nlm.nih.gov/42665870/</w:t>
      </w:r>
    </w:p>
    <w:p>
      <w:pPr>
        <w:pStyle w:val="Heading2"/>
      </w:pPr>
      <w:r>
        <w:t>Schlafqualität und Sturzrisiko im Alter: prospektive Kohortenstudie</w:t>
      </w:r>
    </w:p>
    <w:p>
      <w:r>
        <w:rPr>
          <w:i/>
          <w:color w:val="666666"/>
          <w:sz w:val="18"/>
        </w:rPr>
        <w:t>Li Y et al.  ·  Brain Behav  ·  Aug. 2026  ·  PMID 42644837</w:t>
      </w:r>
    </w:p>
    <w:p>
      <w:r>
        <w:t>Prospektive Kohorte mit 3.224 Personen (≥50 Jahre) aus der English Longitudinal Study of Ageing; Schlafroutenuntersuchung über 4 Jahre mit Analyse der Assoziation zwischen Schlafqualität und neuaufgetretenen Stürzen.</w:t>
      </w:r>
    </w:p>
    <w:p>
      <w:r>
        <w:rPr>
          <w:b/>
        </w:rPr>
        <w:t xml:space="preserve">Ergebnis: </w:t>
      </w:r>
      <w:r>
        <w:t>Schlechtere Schlafqualität war mit höherem Sturzrisiko assoziiert (OR 1,04; 95%-KI 1,01–1,07). Depressive Symptome vermittelten 28,2 % dieser Assoziation. Dosisabhängige Beziehung zwischen Schlafqualität und Sturzrisiko.</w:t>
      </w:r>
    </w:p>
    <w:p>
      <w:r>
        <w:rPr>
          <w:b/>
          <w:sz w:val="19"/>
        </w:rPr>
        <w:t xml:space="preserve">Übertragbarkeit: </w:t>
      </w:r>
      <w:r>
        <w:rPr>
          <w:sz w:val="19"/>
        </w:rPr>
        <w:t>Großbritannien, vergleichbare Gesundheitsversorgung und Altersstruktur</w:t>
      </w:r>
    </w:p>
    <w:p>
      <w:r>
        <w:rPr>
          <w:color w:val="5A7D3A"/>
          <w:sz w:val="18"/>
        </w:rPr>
        <w:t>https://pubmed.ncbi.nlm.nih.gov/42644837/</w:t>
      </w:r>
    </w:p>
    <w:p>
      <w:pPr>
        <w:pStyle w:val="Heading2"/>
      </w:pPr>
      <w:r>
        <w:t>Lebensstil, Übergewicht und Lebenserwartung in der EU: Systemanalyse</w:t>
      </w:r>
    </w:p>
    <w:p>
      <w:r>
        <w:rPr>
          <w:i/>
          <w:color w:val="666666"/>
          <w:sz w:val="18"/>
        </w:rPr>
        <w:t>Vărzaru AA  ·  Nutrients  ·  11.07.2026  ·  PMID 42514344</w:t>
      </w:r>
    </w:p>
    <w:p>
      <w:r>
        <w:t>Querschnittsanalyse von 27 EU-Ländern mittels EHIS und Eurostat untersuchte Assoziationen zwischen Ernährung, körperlicher Aktivität, Rauchen, Übergewicht und Lebenserwartung sowie Healthy Life Years.</w:t>
      </w:r>
    </w:p>
    <w:p>
      <w:r>
        <w:rPr>
          <w:b/>
        </w:rPr>
        <w:t xml:space="preserve">Ergebnis: </w:t>
      </w:r>
      <w:r>
        <w:t>Gesunde Ernährung korrelierte mit Lebenserwartung (r=0,459; p=0,016), ebenso körperliche Aktivität (r=0,435; p=0,023). Übergewichtsprävalenz war invers mit Lebenserwartung assoziiert (r=−0,505; p=0,007). Das reduzierte Modell erklärte 47,4 % der Varianz in der Lebenserwartung. Clusteranalyse identifizierte drei Lebensstil-Gesundheits-Profile mit unterschiedlichen Outcomes.</w:t>
      </w:r>
    </w:p>
    <w:p>
      <w:r>
        <w:rPr>
          <w:b/>
          <w:sz w:val="19"/>
        </w:rPr>
        <w:t xml:space="preserve">Übertragbarkeit: </w:t>
      </w:r>
      <w:r>
        <w:rPr>
          <w:sz w:val="19"/>
        </w:rPr>
        <w:t>EU-weit, direkt auf deutsches Gesundheitssystem übertragbar</w:t>
      </w:r>
    </w:p>
    <w:p>
      <w:r>
        <w:rPr>
          <w:color w:val="5A7D3A"/>
          <w:sz w:val="18"/>
        </w:rPr>
        <w:t>https://pubmed.ncbi.nlm.nih.gov/42514344/</w:t>
      </w:r>
    </w:p>
    <w:p>
      <w:pPr>
        <w:pStyle w:val="Heading2"/>
      </w:pPr>
      <w:r>
        <w:t>Frailty im Hämodialyse: Visuelle Analogskala vereinfacht Screening</w:t>
      </w:r>
    </w:p>
    <w:p>
      <w:r>
        <w:rPr>
          <w:i/>
          <w:color w:val="666666"/>
          <w:sz w:val="18"/>
        </w:rPr>
        <w:t>Schulte-Kemna L et al.  ·  BMC Nephrol  ·  22.07.2026  ·  PMID 42493781</w:t>
      </w:r>
    </w:p>
    <w:p>
      <w:r>
        <w:t>Studie untersuchte die Genauigkeit einer Selbst-Rating-Skala (VAS) zur Frailty-Früherkennung bei 122 Hämodialysepatienten und identifizierte klinische Prädiktoren der Gebrechlichkeit anhand modifizierter Fried-Kriterien.</w:t>
      </w:r>
    </w:p>
    <w:p>
      <w:r>
        <w:rPr>
          <w:b/>
        </w:rPr>
        <w:t xml:space="preserve">Ergebnis: </w:t>
      </w:r>
      <w:r>
        <w:t>Die VAS hatte gute Spezifität (94,3%), übersah aber viele gebrechliche Patienten (Sensitivität 36,5%). Ein Modell mit Routineparametern zeigte gute Vorhersageleistung (AUC 0,816). Patienten mit Fried-Frailty hatten häufiger zentrale Venenkatheter, niedrigere Diurese, Kreatinin und Albumin sowie mehr Herz-Kreislauf-Erkrankungen.</w:t>
      </w:r>
    </w:p>
    <w:p>
      <w:r>
        <w:rPr>
          <w:b/>
          <w:sz w:val="19"/>
        </w:rPr>
        <w:t xml:space="preserve">Übertragbarkeit: </w:t>
      </w:r>
      <w:r>
        <w:rPr>
          <w:sz w:val="19"/>
        </w:rPr>
        <w:t>Deutsche Kliniken, vergleichbare Dialysedokumentation und Versorgungsstrukturen</w:t>
      </w:r>
    </w:p>
    <w:p>
      <w:r>
        <w:rPr>
          <w:color w:val="5A7D3A"/>
          <w:sz w:val="18"/>
        </w:rPr>
        <w:t>https://pubmed.ncbi.nlm.nih.gov/42493781/</w:t>
      </w:r>
    </w:p>
    <w:p>
      <w:pPr>
        <w:pStyle w:val="Heading2"/>
      </w:pPr>
      <w:r>
        <w:t>Diabetes-Epidemiologie in Dänemark: Trends von 1996 bis 2024</w:t>
      </w:r>
    </w:p>
    <w:p>
      <w:r>
        <w:rPr>
          <w:i/>
          <w:color w:val="666666"/>
          <w:sz w:val="18"/>
        </w:rPr>
        <w:t>Wibaek R et al.  ·  BMJ Open Diabetes Res Care  ·  10.07.2026  ·  PMID 42431705</w:t>
      </w:r>
    </w:p>
    <w:p>
      <w:r>
        <w:t>Nationale Register-Kohortenstudie (1996–2024) quantifizierte Trends in Prävalenz, Inzidenz, Mortalität und Lebensjahren verloren durch Diabetes in Dänemark.</w:t>
      </w:r>
    </w:p>
    <w:p>
      <w:r>
        <w:rPr>
          <w:b/>
        </w:rPr>
        <w:t xml:space="preserve">Ergebnis: </w:t>
      </w:r>
      <w:r>
        <w:t>Diabetes-Prävalenz verdreifachte sich auf 6,1 % (366.174 Personen); Typ 2 Diabetes stieg jährlich ~4,1 %. Typ 1 Inzidenz sank um 1,1 % pro Jahr. Mortalität sank bis 2012, dann Stabilisierung. Standardisierte Mortalitätsquoten sanken für Typ 1 (nach 2008), stiegen aber für Typ 2. Männer hatten höhere Typ 2 Inzidenz als Frauen.</w:t>
      </w:r>
    </w:p>
    <w:p>
      <w:r>
        <w:rPr>
          <w:b/>
          <w:sz w:val="19"/>
        </w:rPr>
        <w:t xml:space="preserve">Übertragbarkeit: </w:t>
      </w:r>
      <w:r>
        <w:rPr>
          <w:sz w:val="19"/>
        </w:rPr>
        <w:t>Skandinavien, vergleichbares Sozialversicherungssystem und Datenzugang</w:t>
      </w:r>
    </w:p>
    <w:p>
      <w:r>
        <w:rPr>
          <w:color w:val="5A7D3A"/>
          <w:sz w:val="18"/>
        </w:rPr>
        <w:t>https://pubmed.ncbi.nlm.nih.gov/42431705/</w:t>
      </w:r>
    </w:p>
    <w:p>
      <w:pPr>
        <w:pStyle w:val="Heading2"/>
      </w:pPr>
      <w:r>
        <w:t>Darmmikrobiota und Frailty bei älteren Frauen: schwedische Kohorte, bestätigt in China</w:t>
      </w:r>
    </w:p>
    <w:p>
      <w:r>
        <w:rPr>
          <w:i/>
          <w:color w:val="666666"/>
          <w:sz w:val="18"/>
        </w:rPr>
        <w:t>Vilar Geraldi M et al.  ·  Nat Commun  ·  08.07.2026  ·  PMID 42420265</w:t>
      </w:r>
    </w:p>
    <w:p>
      <w:r>
        <w:t>Studie analysierte Darmmetagenomik-Profile bei 2.081 schwedischen Frauen (75-80 Jahre) im Bezug auf einen entwickelten Frailty-Mortality-Index (FMI) und validierte Ergebnisse in einer chinesischen Kohorte.</w:t>
      </w:r>
    </w:p>
    <w:p>
      <w:r>
        <w:rPr>
          <w:b/>
        </w:rPr>
        <w:t xml:space="preserve">Ergebnis: </w:t>
      </w:r>
      <w:r>
        <w:t>FMI war invers assoziiert mit mikrobieller Diversität, Genreichtum und funktionaler Kapazität. 404 Bakterienarten waren signifikant mit FMI assoziiert; die meisten zeigten konsistente Assoziationen in der chinesischen Kohorte (n=1.448). Mikrobielle Signaturen waren mit Mortalität und funktioneller Einschränkung verknüpft.</w:t>
      </w:r>
    </w:p>
    <w:p>
      <w:r>
        <w:rPr>
          <w:b/>
          <w:sz w:val="19"/>
        </w:rPr>
        <w:t xml:space="preserve">Übertragbarkeit: </w:t>
      </w:r>
      <w:r>
        <w:rPr>
          <w:sz w:val="19"/>
        </w:rPr>
        <w:t>Skandinavien, ähnliche Sozialversicherung und Alterspopulation</w:t>
      </w:r>
    </w:p>
    <w:p>
      <w:r>
        <w:rPr>
          <w:color w:val="5A7D3A"/>
          <w:sz w:val="18"/>
        </w:rPr>
        <w:t>https://pubmed.ncbi.nlm.nih.gov/42420265/</w:t>
      </w:r>
    </w:p>
    <w:p>
      <w:pPr>
        <w:pStyle w:val="Heading1"/>
      </w:pPr>
      <w:r>
        <w:t>Aufgenommen am 29.08.2026</w:t>
      </w:r>
    </w:p>
    <w:p>
      <w:pPr>
        <w:pStyle w:val="Heading2"/>
      </w:pPr>
      <w:r>
        <w:t>Frailty verdoppelt Mortalität und Pflegebedarf bei hospitalisierten Älteren</w:t>
      </w:r>
    </w:p>
    <w:p>
      <w:r>
        <w:rPr>
          <w:i/>
          <w:color w:val="666666"/>
          <w:sz w:val="18"/>
        </w:rPr>
        <w:t>Kamo T et al.  ·  Geriatr Gerontol Int  ·  Sept. 2026  ·  PMID 42642794</w:t>
      </w:r>
    </w:p>
    <w:p>
      <w:r>
        <w:t>Systematische Übersicht und Metaanalyse von 57 Kohortenstudien zu Auswirkungen von Frailty auf Aktivitäten des täglichen Lebens und klinische Outcomes bei hospitalisierten älteren Erwachsenen (≥65 Jahre).</w:t>
      </w:r>
    </w:p>
    <w:p>
      <w:r>
        <w:rPr>
          <w:b/>
        </w:rPr>
        <w:t xml:space="preserve">Ergebnis: </w:t>
      </w:r>
      <w:r>
        <w:t>Frailty war assoziiert mit schlechterer ADL-Funktionsfähigkeit (SMD –1,04), höherer Mortalität (RR 2,26), niedrigerer Wahrscheinlichkeit von Entlassung nach Hause (RR 0,79) und höherem Wiederaufnahmerisiko in 30 Tagen (RR 1,47). Diese Effekte waren konsistent über Studien hinweg.</w:t>
      </w:r>
    </w:p>
    <w:p>
      <w:r>
        <w:rPr>
          <w:b/>
          <w:sz w:val="19"/>
        </w:rPr>
        <w:t xml:space="preserve">Übertragbarkeit: </w:t>
      </w:r>
      <w:r>
        <w:rPr>
          <w:sz w:val="19"/>
        </w:rPr>
        <w:t>Überwiegend anglo-amerikanische und europäische Studien; Frailty-Screening ist systemübergreifend anwendbar</w:t>
      </w:r>
    </w:p>
    <w:p>
      <w:r>
        <w:rPr>
          <w:color w:val="5A7D3A"/>
          <w:sz w:val="18"/>
        </w:rPr>
        <w:t>https://pubmed.ncbi.nlm.nih.gov/42642794/</w:t>
      </w:r>
    </w:p>
    <w:p>
      <w:pPr>
        <w:pStyle w:val="Heading2"/>
      </w:pPr>
      <w:r>
        <w:t>Plasma-Biomarker p-tau217 bei älteren Patienten: Nierenfunktion erklärt mehr Varianz als Gebrechlichkeit</w:t>
      </w:r>
    </w:p>
    <w:p>
      <w:r>
        <w:rPr>
          <w:i/>
          <w:color w:val="666666"/>
          <w:sz w:val="18"/>
        </w:rPr>
        <w:t>Goll J et al.  ·  Alzheimers Dement  ·  Aug. 2026  ·  PMID 42625502</w:t>
      </w:r>
    </w:p>
    <w:p>
      <w:r>
        <w:t>Querschnittsuntersuchung von 283 älteren Patienten (Norfrail- und Dementia-Cohort) zur Assoziation zwischen Gebrechlichkeit und Plasma-Biomarkern (p-tau217, Neurofilament-Leichte-Kette, GFAP) für Alzheimer-Pathologie.</w:t>
      </w:r>
    </w:p>
    <w:p>
      <w:r>
        <w:rPr>
          <w:b/>
        </w:rPr>
        <w:t xml:space="preserve">Ergebnis: </w:t>
      </w:r>
      <w:r>
        <w:t>Keine signifikante Assoziation zwischen p-tau217 und Gebrechlichkeit; die eGFR erklärte 27% der p-tau217-Varianz (p &lt; 0,001). Neurofilament-Leichte-Kette war einziger Biomarker signifikant mit Gebrechlichkeit assoziiert (p &lt; 0,01). Kliniker müssen Nierenfunktion bei Interpretation berücksichtigen.</w:t>
      </w:r>
    </w:p>
    <w:p>
      <w:r>
        <w:rPr>
          <w:b/>
          <w:sz w:val="19"/>
        </w:rPr>
        <w:t xml:space="preserve">Übertragbarkeit: </w:t>
      </w:r>
      <w:r>
        <w:rPr>
          <w:sz w:val="19"/>
        </w:rPr>
        <w:t>Norwegen, europäisches Gesundheitssystem; Befund zum Niereneinflusses auf Blutbiomarker ist systemunabhängig</w:t>
      </w:r>
    </w:p>
    <w:p>
      <w:r>
        <w:rPr>
          <w:color w:val="5A7D3A"/>
          <w:sz w:val="18"/>
        </w:rPr>
        <w:t>https://pubmed.ncbi.nlm.nih.gov/42625502/</w:t>
      </w:r>
    </w:p>
    <w:p>
      <w:pPr>
        <w:pStyle w:val="Heading2"/>
      </w:pPr>
      <w:r>
        <w:t>Frühe Zuckerrestriktion reduziert Krebsrisiko um 30–70% und verlangsamt biologisches Altern</w:t>
      </w:r>
    </w:p>
    <w:p>
      <w:r>
        <w:rPr>
          <w:i/>
          <w:color w:val="666666"/>
          <w:sz w:val="18"/>
        </w:rPr>
        <w:t>Zhu C et al.  ·  Proc Natl Acad Sci U S A  ·  11.08.2026  ·  PMID 42550905</w:t>
      </w:r>
    </w:p>
    <w:p>
      <w:r>
        <w:t>Kausalitätsanalyse mittels natürliches Experiment (Ende der UK-Zuckerrationierung 1953) mit 64.761 Biobank-Teilnehmern geboren 1951–1956, zur Langzeitwirkung früher Zuckerexposition auf Krebsinzidenz und biologisches Altern.</w:t>
      </w:r>
    </w:p>
    <w:p>
      <w:r>
        <w:rPr>
          <w:b/>
        </w:rPr>
        <w:t xml:space="preserve">Ergebnis: </w:t>
      </w:r>
      <w:r>
        <w:t>Geburtskohortenunter Rationierung zeigten dosisabhängig reduzierte Krebsraten: Leber (HR 0,31), Rektum (HR 0,60), Lunge (HR 0,59), Prostata (HR 0,48), Brust (HR 0,64). Mechanismen: Persistente gesündere Ernährungsgewohnheiten (verhaltoral) und längere Telomere (2,2 Jahre weniger biologisches Altern), niedrigeres Granzym B. Kausalitätsevidenzen für frühe Ernährungsprägung.</w:t>
      </w:r>
    </w:p>
    <w:p>
      <w:r>
        <w:rPr>
          <w:b/>
          <w:sz w:val="19"/>
        </w:rPr>
        <w:t xml:space="preserve">Übertragbarkeit: </w:t>
      </w:r>
      <w:r>
        <w:rPr>
          <w:sz w:val="19"/>
        </w:rPr>
        <w:t>Großbritannien, vergleichbare Geburtskohortenstruktur; Befund zu prägenden Effekten früher Ernährung fundamental, aber Realisierbarkeit in Deutschland unterschiedlich</w:t>
      </w:r>
    </w:p>
    <w:p>
      <w:r>
        <w:rPr>
          <w:color w:val="5A7D3A"/>
          <w:sz w:val="18"/>
        </w:rPr>
        <w:t>https://pubmed.ncbi.nlm.nih.gov/42550905/</w:t>
      </w:r>
    </w:p>
    <w:p>
      <w:pPr>
        <w:pStyle w:val="Heading2"/>
      </w:pPr>
      <w:r>
        <w:t>Immediate orthostatic hypotension zeigt keine Assoziation mit Stürzen und Synkopen im Alter</w:t>
      </w:r>
    </w:p>
    <w:p>
      <w:r>
        <w:rPr>
          <w:i/>
          <w:color w:val="666666"/>
          <w:sz w:val="18"/>
        </w:rPr>
        <w:t>Reddin C et al.  ·  Age Ageing  ·  02.07.2026  ·  PMID 42462204</w:t>
      </w:r>
    </w:p>
    <w:p>
      <w:r>
        <w:t>Querschnitts- und prospektive Kohortenstudie mit 4.596 älteren Erwachsenen über 8 Jahre, die die Assoziation von orthosensitiver Hypotonie (OH) und unmittelbarer OH mit Stürzen und Synkopen untersuchte.</w:t>
      </w:r>
    </w:p>
    <w:p>
      <w:r>
        <w:rPr>
          <w:b/>
        </w:rPr>
        <w:t xml:space="preserve">Ergebnis: </w:t>
      </w:r>
      <w:r>
        <w:t>Unmittelbare OH kam bei 20,7% vor und war nicht signifikant mit Stürzen/Synkopen assoziiert (OR 1,22, 95% KI 0,93–1,57); hingegen war persistente OH assoziiert (OR 1,31, 95% KI 1,04–1,66, p &lt; 0,05). Die Unterscheidung zwischen beiden Varianten ist klinisch relevant.</w:t>
      </w:r>
    </w:p>
    <w:p>
      <w:r>
        <w:rPr>
          <w:b/>
          <w:sz w:val="19"/>
        </w:rPr>
        <w:t xml:space="preserve">Übertragbarkeit: </w:t>
      </w:r>
      <w:r>
        <w:rPr>
          <w:sz w:val="19"/>
        </w:rPr>
        <w:t>Irland, vergleichbares europäisches Gesundheitssystem, bevölkerungsrepräsentative Stichprobe</w:t>
      </w:r>
    </w:p>
    <w:p>
      <w:r>
        <w:rPr>
          <w:color w:val="5A7D3A"/>
          <w:sz w:val="18"/>
        </w:rPr>
        <w:t>https://pubmed.ncbi.nlm.nih.gov/42462204/</w:t>
      </w:r>
    </w:p>
    <w:p>
      <w:pPr>
        <w:pStyle w:val="Heading2"/>
      </w:pPr>
      <w:r>
        <w:t>Gebrechlichkeit in etablierten Surveys messbar – ein Framework für nationale Monitoring in Europa</w:t>
      </w:r>
    </w:p>
    <w:p>
      <w:r>
        <w:rPr>
          <w:i/>
          <w:color w:val="666666"/>
          <w:sz w:val="18"/>
        </w:rPr>
        <w:t>Aicardi T et al.  ·  Eur J Public Health  ·  10.06.2026  ·  PMID 42452852</w:t>
      </w:r>
    </w:p>
    <w:p>
      <w:r>
        <w:t>Querschnittsstudie mit drei etablierten Frailty-Indikatoren (Tilburg, Groningen, Edmonton) in vier italienischen Bevölkerungssurveillance-Datensätzen (SHARE, EU-SILC, EHIS, AVQ).</w:t>
      </w:r>
    </w:p>
    <w:p>
      <w:r>
        <w:rPr>
          <w:b/>
        </w:rPr>
        <w:t xml:space="preserve">Ergebnis: </w:t>
      </w:r>
      <w:r>
        <w:t>Der Groningen Frailty Indicator war am replizierbaren über Surveys hinweg; die Edmonton Frail Scale zeigte stärkste Vorhersagekraft. EHIS-Daten waren optimal für Messungen geeignet. Gebrechlichkeit erklärte Gesundheitsoutcomes besser als Chronologisches Alter allein; klarer Nord-Süd-Gradient in Italien (p &lt; 0,001).</w:t>
      </w:r>
    </w:p>
    <w:p>
      <w:r>
        <w:rPr>
          <w:b/>
          <w:sz w:val="19"/>
        </w:rPr>
        <w:t xml:space="preserve">Übertragbarkeit: </w:t>
      </w:r>
      <w:r>
        <w:rPr>
          <w:sz w:val="19"/>
        </w:rPr>
        <w:t>Italien, EU-Mitgliedstaaten, vergleichbare Datensysteme mit Deutschland übertragbar</w:t>
      </w:r>
    </w:p>
    <w:p>
      <w:r>
        <w:rPr>
          <w:color w:val="5A7D3A"/>
          <w:sz w:val="18"/>
        </w:rPr>
        <w:t>https://pubmed.ncbi.nlm.nih.gov/42452852/</w:t>
      </w:r>
    </w:p>
    <w:p>
      <w:pPr>
        <w:pStyle w:val="Heading2"/>
      </w:pPr>
      <w:r>
        <w:t>Gesunde Lebensjahre regional stark abhängig von Einkommen und sozialen Faktoren</w:t>
      </w:r>
    </w:p>
    <w:p>
      <w:r>
        <w:rPr>
          <w:i/>
          <w:color w:val="666666"/>
          <w:sz w:val="18"/>
        </w:rPr>
        <w:t>Bachmann M et al.  ·  BMJ Open  ·  13.07.2026  ·  PMID 42442804</w:t>
      </w:r>
    </w:p>
    <w:p>
      <w:r>
        <w:t>Querschnittsanalyse zur Variabilität der gesunden Lebenserwartung (HLE) und Risikofaktoren in 128 kleinen geografischen Bereichen eines britischen integrierten Versorgungssystems.</w:t>
      </w:r>
    </w:p>
    <w:p>
      <w:r>
        <w:rPr>
          <w:b/>
        </w:rPr>
        <w:t xml:space="preserve">Ergebnis: </w:t>
      </w:r>
      <w:r>
        <w:t>HLE betrug durchschnittlich 66,5 Jahre (Männer, Spannweite 52–73) und 67,5 Jahre (Frauen, Spannweite 56–74). £100 höheres Wocheneinkommen war assoziiert mit 4,4 (95% KI 3,5–5,2) beziehungsweise 4,6 (95% KI 3,8–5,4) zusätzlichen HLE-Jahren. Alleinsein älterer Personen, körperliche Inaktivität und Deprivation zeigten starke Assoziationen mit niedrigerer HLE.</w:t>
      </w:r>
    </w:p>
    <w:p>
      <w:r>
        <w:rPr>
          <w:b/>
          <w:sz w:val="19"/>
        </w:rPr>
        <w:t xml:space="preserve">Übertragbarkeit: </w:t>
      </w:r>
      <w:r>
        <w:rPr>
          <w:sz w:val="19"/>
        </w:rPr>
        <w:t>Großbritannien, NHS-ähnliche Systeme; Ungleichheitsmessung direkt auf deutsche Regionen übertragbar</w:t>
      </w:r>
    </w:p>
    <w:p>
      <w:r>
        <w:rPr>
          <w:color w:val="5A7D3A"/>
          <w:sz w:val="18"/>
        </w:rPr>
        <w:t>https://pubmed.ncbi.nlm.nih.gov/42442804/</w:t>
      </w:r>
    </w:p>
    <w:p>
      <w:pPr>
        <w:pStyle w:val="Heading1"/>
      </w:pPr>
      <w:r>
        <w:t>Aufgenommen am 28.08.2026</w:t>
      </w:r>
    </w:p>
    <w:p>
      <w:pPr>
        <w:pStyle w:val="Heading2"/>
      </w:pPr>
      <w:r>
        <w:t>Territoriale Ungleichheiten von Gebrechlichkeit und Langlebigkeit in Italien</w:t>
      </w:r>
    </w:p>
    <w:p>
      <w:r>
        <w:rPr>
          <w:i/>
          <w:color w:val="666666"/>
          <w:sz w:val="18"/>
        </w:rPr>
        <w:t>Maccheroni C et al.  ·  Int J Environ Res Public Health  ·  23.07.2026  ·  PMID 42652263</w:t>
      </w:r>
    </w:p>
    <w:p>
      <w:r>
        <w:t>Analyse der geografischen Verteilung von Frailty, funktionalen Einschränkungen und Anspruch auf öffentliche Unterstützung in 21 italienischen Regionen auf Basis von Istat-, Eurostat- und INPS-Daten.</w:t>
      </w:r>
    </w:p>
    <w:p>
      <w:r>
        <w:rPr>
          <w:b/>
        </w:rPr>
        <w:t xml:space="preserve">Ergebnis: </w:t>
      </w:r>
      <w:r>
        <w:t>Italien zeigt hohe Lebenserwartung (Frauen 85,4, Männer 81,4 Jahre), aber gesunde Lebensjahre von nur 69,6 bzw. 68,5 Jahren. Der Süden und die Inseln weisen deutlich höhere Frailty-Prävalenz, mehr funktionale Einschränkungen und höhere Ansprüche auf öffentliche Hilfe auf als Zentrum-Nord. Frauen erleben längere Leben mit mehr Behinderung und Abhängigkeit.</w:t>
      </w:r>
    </w:p>
    <w:p>
      <w:r>
        <w:rPr>
          <w:b/>
          <w:sz w:val="19"/>
        </w:rPr>
        <w:t xml:space="preserve">Übertragbarkeit: </w:t>
      </w:r>
      <w:r>
        <w:rPr>
          <w:sz w:val="19"/>
        </w:rPr>
        <w:t>Italien, vollständige nationale Registeranalyse, europäisches Wohlfahrtssystem</w:t>
      </w:r>
    </w:p>
    <w:p>
      <w:r>
        <w:rPr>
          <w:color w:val="5A7D3A"/>
          <w:sz w:val="18"/>
        </w:rPr>
        <w:t>https://pubmed.ncbi.nlm.nih.gov/42652263/</w:t>
      </w:r>
    </w:p>
    <w:p>
      <w:pPr>
        <w:pStyle w:val="Heading2"/>
      </w:pPr>
      <w:r>
        <w:t>Kognitive Frailty bei älteren Herzinsuffizienzpatienten: systematische Übersicht</w:t>
      </w:r>
    </w:p>
    <w:p>
      <w:r>
        <w:rPr>
          <w:i/>
          <w:color w:val="666666"/>
          <w:sz w:val="18"/>
        </w:rPr>
        <w:t>Cheng M et al.  ·  Front Public Health  ·  11.08.2026  ·  PMID 42644078</w:t>
      </w:r>
    </w:p>
    <w:p>
      <w:r>
        <w:t>Systematische Übersicht und Metaanalyse von 22 Kohortenstudien (8.892 Patienten ≥65 Jahre mit Herzinsuffizienz) zur Prävalenz und Faktoren kognitiver Frailty.</w:t>
      </w:r>
    </w:p>
    <w:p>
      <w:r>
        <w:rPr>
          <w:b/>
        </w:rPr>
        <w:t xml:space="preserve">Ergebnis: </w:t>
      </w:r>
      <w:r>
        <w:t>Gepoolte Prävalenz kognitiver Frailty: 32 % (95%-KI 27–37 %). Bei Frauen 37 %, bei Männern 31 %. Nach NYHA-Klassifikation bei Klasse IV 44 %, Klasse II–III 28 %. Mit COPD-Komorbidität 46 %. Höheres Alter (bereinigt OR 1,12, 95%-KI 1,06–1,18) und Depression assoziiert mit höheren Odds; körperliche Aktivität und intellektuelle Aktivität mit niedrigeren Odds.</w:t>
      </w:r>
    </w:p>
    <w:p>
      <w:r>
        <w:rPr>
          <w:b/>
          <w:sz w:val="19"/>
        </w:rPr>
        <w:t xml:space="preserve">Übertragbarkeit: </w:t>
      </w:r>
      <w:r>
        <w:rPr>
          <w:sz w:val="19"/>
        </w:rPr>
        <w:t>Mehrländerstudie, überwiegend observativ, Versorgungsrelevanz für Herzinsuffizienz</w:t>
      </w:r>
    </w:p>
    <w:p>
      <w:r>
        <w:rPr>
          <w:color w:val="5A7D3A"/>
          <w:sz w:val="18"/>
        </w:rPr>
        <w:t>https://pubmed.ncbi.nlm.nih.gov/42644078/</w:t>
      </w:r>
    </w:p>
    <w:p>
      <w:pPr>
        <w:pStyle w:val="Heading2"/>
      </w:pPr>
      <w:r>
        <w:t>Erhöhte Arbeitsunfälle durch verzögerte Pensionierung im Alter</w:t>
      </w:r>
    </w:p>
    <w:p>
      <w:r>
        <w:rPr>
          <w:i/>
          <w:color w:val="666666"/>
          <w:sz w:val="18"/>
        </w:rPr>
        <w:t>Ardito C et al.  ·  Econ Hum Biol  ·  10.08.2026  ·  PMID 42617339</w:t>
      </w:r>
    </w:p>
    <w:p>
      <w:r>
        <w:t>Evaluation des Effekts der italienischen Rentenreform 2012 (Erhöhung der Anspruchsaltersgrenze) auf Arbeitsunfallrisiken bei älteren Erwerbstätigen mittels administrativer Daten aus der Privatwirtschaft.</w:t>
      </w:r>
    </w:p>
    <w:p>
      <w:r>
        <w:rPr>
          <w:b/>
        </w:rPr>
        <w:t xml:space="preserve">Ergebnis: </w:t>
      </w:r>
      <w:r>
        <w:t>Verzögerte Pensionierung führte zu statistisch signifikantem Anstieg krankheitsbedingter Abwesenheit durch Arbeitsunfälle um 2,6 % gegenüber dem Ausgangswert. Der Effekt konzentriert sich auf Kleinbetriebe (unter 15 Angestellten) und körperlich oder kognitiv fordernde Sektoren wie Fertigung. Kein Spillover-Effekt auf Arbeitskollegen.</w:t>
      </w:r>
    </w:p>
    <w:p>
      <w:r>
        <w:rPr>
          <w:b/>
          <w:sz w:val="19"/>
        </w:rPr>
        <w:t xml:space="preserve">Übertragbarkeit: </w:t>
      </w:r>
      <w:r>
        <w:rPr>
          <w:sz w:val="19"/>
        </w:rPr>
        <w:t>Italien, administrative Privatwirtschaftsdaten, vergleichbare Sozialversicherungssysteme</w:t>
      </w:r>
    </w:p>
    <w:p>
      <w:r>
        <w:rPr>
          <w:color w:val="5A7D3A"/>
          <w:sz w:val="18"/>
        </w:rPr>
        <w:t>https://pubmed.ncbi.nlm.nih.gov/42617339/</w:t>
      </w:r>
    </w:p>
    <w:p>
      <w:pPr>
        <w:pStyle w:val="Heading2"/>
      </w:pPr>
      <w:r>
        <w:t>Lebenserwartung und Gesundheitslebensjahre von Migranten in England und Wales</w:t>
      </w:r>
    </w:p>
    <w:p>
      <w:r>
        <w:rPr>
          <w:i/>
          <w:color w:val="666666"/>
          <w:sz w:val="18"/>
        </w:rPr>
        <w:t>Harrison J et al.  ·  PLoS One  ·  19.08.2026  ·  PMID 42616754</w:t>
      </w:r>
    </w:p>
    <w:p>
      <w:r>
        <w:t>Vergleich der Lebenserwartung und behinderungsfreien Lebensjahre bei 37 Ländern von Geburtsort in England und Wales über drei Zeitpunkte (2000–02, 2010–12, 2020–22) mittels Lebenstafeln und Sullivan-Methode.</w:t>
      </w:r>
    </w:p>
    <w:p>
      <w:r>
        <w:rPr>
          <w:b/>
        </w:rPr>
        <w:t xml:space="preserve">Ergebnis: </w:t>
      </w:r>
      <w:r>
        <w:t>Heterogene Muster: Die meisten Migrantengruppen zeigten höhere Lebenserwartung und behinderungsfreie Lebensjahre als in England und Wales geborene; einige der größten Migrantengruppen (Schottland, Irland, Polen, Litauen) zeigten niedrigere Lebenserwartung und höhere Behinderungslasten. Frauen aus Pakistan und Bangladesch lebten länger, aber mit mehr Behinderung.</w:t>
      </w:r>
    </w:p>
    <w:p>
      <w:r>
        <w:rPr>
          <w:b/>
          <w:sz w:val="19"/>
        </w:rPr>
        <w:t xml:space="preserve">Übertragbarkeit: </w:t>
      </w:r>
      <w:r>
        <w:rPr>
          <w:sz w:val="19"/>
        </w:rPr>
        <w:t>Großbritannien, nationale Zensus- und Mortalitätsdaten, vergleichbares Versicherungssystem</w:t>
      </w:r>
    </w:p>
    <w:p>
      <w:r>
        <w:rPr>
          <w:color w:val="5A7D3A"/>
          <w:sz w:val="18"/>
        </w:rPr>
        <w:t>https://pubmed.ncbi.nlm.nih.gov/42616754/</w:t>
      </w:r>
    </w:p>
    <w:p>
      <w:pPr>
        <w:pStyle w:val="Heading2"/>
      </w:pPr>
      <w:r>
        <w:t>Milde Bewegungstremor korreliert mit kognitiver Beeinträchtigung im Alter</w:t>
      </w:r>
    </w:p>
    <w:p>
      <w:r>
        <w:rPr>
          <w:i/>
          <w:color w:val="666666"/>
          <w:sz w:val="18"/>
        </w:rPr>
        <w:t>Kuhlenbäumer G et al.  ·  J Neurol  ·  11.08.2026  ·  PMID 42581283</w:t>
      </w:r>
    </w:p>
    <w:p>
      <w:r>
        <w:t>Querschnittsanalyse der KORA-Age-Studie (65–93 Jahre) zur Assoziation zwischen Tremorschweregrad (Archimedes-Spiral-Rating) und kognitiver Leistung (TICS-m) unter Verwendung multivariater Regression.</w:t>
      </w:r>
    </w:p>
    <w:p>
      <w:r>
        <w:rPr>
          <w:b/>
        </w:rPr>
        <w:t xml:space="preserve">Ergebnis: </w:t>
      </w:r>
      <w:r>
        <w:t>Tremorschweregrad war unabhängig mit kognitiver Leistung assoziiert. Im finalen Modell waren wichtigste Prädiktoren: Alter, Geschlecht, Parkinson-Score, Frailty und Tremor. Sensitivitätsanalysen unter Ausschluss wahrscheinlich pathologischer Tremoren attenuierten die Assoziation nicht. Altersbedingte Hirnveränderungen könnten gemeinsame Ursache sein.</w:t>
      </w:r>
    </w:p>
    <w:p>
      <w:r>
        <w:rPr>
          <w:b/>
          <w:sz w:val="19"/>
        </w:rPr>
        <w:t xml:space="preserve">Übertragbarkeit: </w:t>
      </w:r>
      <w:r>
        <w:rPr>
          <w:sz w:val="19"/>
        </w:rPr>
        <w:t>Deutschland, KORA-Bevölkerungskohort, nationale Datengrundlage</w:t>
      </w:r>
    </w:p>
    <w:p>
      <w:r>
        <w:rPr>
          <w:color w:val="5A7D3A"/>
          <w:sz w:val="18"/>
        </w:rPr>
        <w:t>https://pubmed.ncbi.nlm.nih.gov/42581283/</w:t>
      </w:r>
    </w:p>
    <w:p>
      <w:pPr>
        <w:pStyle w:val="Heading2"/>
      </w:pPr>
      <w:r>
        <w:t>Geriatrische Rehabilitation verbessert Funktionalität bei Mangelernährungsrisiko</w:t>
      </w:r>
    </w:p>
    <w:p>
      <w:r>
        <w:rPr>
          <w:i/>
          <w:color w:val="666666"/>
          <w:sz w:val="18"/>
        </w:rPr>
        <w:t>Runikhina NK et al.  ·  Adv Gerontol  ·  2026  ·  PMID 42502926</w:t>
      </w:r>
    </w:p>
    <w:p>
      <w:r>
        <w:t>Evaluierung von 21-Tage-Rehabilitationsprogrammen bei 482 älteren Patienten (60+ Jahre) mit (96, 19,9 %) und ohne Mangelernährungsrisiko durch umfassende geriatrische Bewertung vor und nach Intervention.</w:t>
      </w:r>
    </w:p>
    <w:p>
      <w:r>
        <w:rPr>
          <w:b/>
        </w:rPr>
        <w:t xml:space="preserve">Ergebnis: </w:t>
      </w:r>
      <w:r>
        <w:t>Beide Gruppen verbesserten sich signifikant in Funktionalität, kognitiver Leistung und Schmerz/Schlaf/Depression. Patienten mit Mangelernährungsrisiko waren älter (80,3 vs. 78,2 Jahre), hatten mehr Frailty (52,1 % vs. 30,9 %), mehr Stürze (36,8 % vs. 25,3 %) und Depression (40,6 % vs. 20,8 %). Diese Gruppe zeigte deutlich größere Verbesserungen in basaler und instrumenteller Funktionalität.</w:t>
      </w:r>
    </w:p>
    <w:p>
      <w:r>
        <w:rPr>
          <w:b/>
          <w:sz w:val="19"/>
        </w:rPr>
        <w:t xml:space="preserve">Übertragbarkeit: </w:t>
      </w:r>
      <w:r>
        <w:rPr>
          <w:sz w:val="19"/>
        </w:rPr>
        <w:t>Russland, Pirogov-Universitätsklinik, europäischer Gesundheitsauftrag vergleichbar</w:t>
      </w:r>
    </w:p>
    <w:p>
      <w:r>
        <w:rPr>
          <w:color w:val="5A7D3A"/>
          <w:sz w:val="18"/>
        </w:rPr>
        <w:t>https://pubmed.ncbi.nlm.nih.gov/42502926/</w:t>
      </w:r>
    </w:p>
    <w:p>
      <w:pPr>
        <w:pStyle w:val="Heading1"/>
      </w:pPr>
      <w:r>
        <w:t>Aufgenommen am 27.08.2026</w:t>
      </w:r>
    </w:p>
    <w:p>
      <w:pPr>
        <w:pStyle w:val="Heading2"/>
      </w:pPr>
      <w:r>
        <w:t>Verzögerte Sterblichkeit und Multimorbiditätsaufbau bei Nachkommen von Hundertjährigen</w:t>
      </w:r>
    </w:p>
    <w:p>
      <w:r>
        <w:rPr>
          <w:i/>
          <w:color w:val="666666"/>
          <w:sz w:val="18"/>
        </w:rPr>
        <w:t>Reed ER et al.  ·  JAMA Netw Open  ·  03.08.2026  ·  PMID 42646838</w:t>
      </w:r>
    </w:p>
    <w:p>
      <w:r>
        <w:t>Studie an drei unabhängigen Kohorten (LonGenity, NECS, UK Biobank) verglich Sterblichkeit und Erkrankungsbeginn bei Nachkommen von Hundertjährigen (≥100 Jahre) mit Kontrollpersonen.</w:t>
      </w:r>
    </w:p>
    <w:p>
      <w:r>
        <w:rPr>
          <w:b/>
        </w:rPr>
        <w:t xml:space="preserve">Ergebnis: </w:t>
      </w:r>
      <w:r>
        <w:t>Hundertjährige-Nachkommen zeigten reduzierte Mortalität (HR 0,58; 95%-KI 0,41–0,81), verzögerter Beginn von Herzerkrankungen (HR 0,67) und Hypertonie (HR 0,68; Verzögerung 5,21 Jahre). Der Effekt ist konsistent über drei Länder und zeigt, dass Longevität familial transmittiert wird.</w:t>
      </w:r>
    </w:p>
    <w:p>
      <w:r>
        <w:rPr>
          <w:b/>
          <w:sz w:val="19"/>
        </w:rPr>
        <w:t xml:space="preserve">Übertragbarkeit: </w:t>
      </w:r>
      <w:r>
        <w:rPr>
          <w:sz w:val="19"/>
        </w:rPr>
        <w:t>USA und Großbritannien; Generalisierbarkeit durch multiple Länder hoch</w:t>
      </w:r>
    </w:p>
    <w:p>
      <w:r>
        <w:rPr>
          <w:color w:val="5A7D3A"/>
          <w:sz w:val="18"/>
        </w:rPr>
        <w:t>https://pubmed.ncbi.nlm.nih.gov/42646838/</w:t>
      </w:r>
    </w:p>
    <w:p>
      <w:pPr>
        <w:pStyle w:val="Heading2"/>
      </w:pPr>
      <w:r>
        <w:t>Gebrechlichkeit und periphere Schwindel-Inzidenz: Dosis-Wirkungs-Befund in UK Biobank</w:t>
      </w:r>
    </w:p>
    <w:p>
      <w:r>
        <w:rPr>
          <w:i/>
          <w:color w:val="666666"/>
          <w:sz w:val="18"/>
        </w:rPr>
        <w:t>Zhai Z et al.  ·  Front Neurol  ·  11.08.2026  ·  PMID 42643260</w:t>
      </w:r>
    </w:p>
    <w:p>
      <w:r>
        <w:t>489266 UK-Biobank-Teilnehmer wurden auf Assoziationen zwischen Frailty-Status (Fried-Phänotyp) und Inzidenz von Schwindel (Vertigo) über 13,2 Jahre Nachverfolgung untersucht.</w:t>
      </w:r>
    </w:p>
    <w:p>
      <w:r>
        <w:rPr>
          <w:b/>
        </w:rPr>
        <w:t xml:space="preserve">Ergebnis: </w:t>
      </w:r>
      <w:r>
        <w:t>Präfrailty (HR 1,36; 95%-KI 1,26–1,48) und Frailty (HR 2,05; 95%-KI 1,77–2,37) waren unabhängig mit erhöhtem Schwindel-Risiko assoziiert. Linearer Dosis-Wirkungs-Trend: jeder Punkt Frailty-Score erhöhte Risiko um 24% (95%-KI 19–29%). Effekt stärker bei Frauen.</w:t>
      </w:r>
    </w:p>
    <w:p>
      <w:r>
        <w:rPr>
          <w:b/>
          <w:sz w:val="19"/>
        </w:rPr>
        <w:t xml:space="preserve">Übertragbarkeit: </w:t>
      </w:r>
      <w:r>
        <w:rPr>
          <w:sz w:val="19"/>
        </w:rPr>
        <w:t>UK Biobank, vergleichbare Dokumentation; relevanter Befund für Sturzrisiko-Assessment</w:t>
      </w:r>
    </w:p>
    <w:p>
      <w:r>
        <w:rPr>
          <w:color w:val="5A7D3A"/>
          <w:sz w:val="18"/>
        </w:rPr>
        <w:t>https://pubmed.ncbi.nlm.nih.gov/42643260/</w:t>
      </w:r>
    </w:p>
    <w:p>
      <w:pPr>
        <w:pStyle w:val="Heading2"/>
      </w:pPr>
      <w:r>
        <w:t>Mobiltelefonnutzung und körperliche Gebrechlichkeit: temporale Querschnittsanalyse ohne kausale Assoziation</w:t>
      </w:r>
    </w:p>
    <w:p>
      <w:r>
        <w:rPr>
          <w:i/>
          <w:color w:val="666666"/>
          <w:sz w:val="18"/>
        </w:rPr>
        <w:t>Kong S et al.  ·  Front Public Health  ·  10.08.2026  ·  PMID 42638665</w:t>
      </w:r>
    </w:p>
    <w:p>
      <w:r>
        <w:t>5533 Personen der UK Biobank (40–70 Jahre) wurden über drei Wellen auf zeitliche Beziehungen zwischen wöchentlicher Telefonanrufdauer und vier Dimensionen von Frailty untersucht.</w:t>
      </w:r>
    </w:p>
    <w:p>
      <w:r>
        <w:rPr>
          <w:b/>
        </w:rPr>
        <w:t xml:space="preserve">Ergebnis: </w:t>
      </w:r>
      <w:r>
        <w:t>Nach Korrektur für multiples Testen (FDR) zeigten sich nur zwei schwache, intermittierende Assoziationen: psychische Frailty T1→Telefonzeit T2 (β 0,086, p_FDR 0,048) und soziale Frailty T2→Telefonzeit T3 (β 0,078, p_FDR 0,033). Keine robusten bidirektionalen Effekte.</w:t>
      </w:r>
    </w:p>
    <w:p>
      <w:r>
        <w:rPr>
          <w:b/>
          <w:sz w:val="19"/>
        </w:rPr>
        <w:t xml:space="preserve">Übertragbarkeit: </w:t>
      </w:r>
      <w:r>
        <w:rPr>
          <w:sz w:val="19"/>
        </w:rPr>
        <w:t>UK Biobank, aber Ergebnis negativ (keine Effekt); Übertragbarkeit für Aussage 'kein Zusammenhang' gegeben</w:t>
      </w:r>
    </w:p>
    <w:p>
      <w:r>
        <w:rPr>
          <w:color w:val="5A7D3A"/>
          <w:sz w:val="18"/>
        </w:rPr>
        <w:t>https://pubmed.ncbi.nlm.nih.gov/42638665/</w:t>
      </w:r>
    </w:p>
    <w:p>
      <w:pPr>
        <w:pStyle w:val="Heading2"/>
      </w:pPr>
      <w:r>
        <w:t>Impfbotschaften im Fokus "gesundes Altern" erhöhen Impfintention bei älteren Erwachsenen</w:t>
      </w:r>
    </w:p>
    <w:p>
      <w:r>
        <w:rPr>
          <w:i/>
          <w:color w:val="666666"/>
          <w:sz w:val="18"/>
        </w:rPr>
        <w:t>Addario A et al.  ·  Vaccine  ·  17.09.2026  ·  PMID 42594637</w:t>
      </w:r>
    </w:p>
    <w:p>
      <w:r>
        <w:t>Querschnittsumfrage bei 2416 Personen ≥60 Jahren in Frankreich zu Effektivität von Impfbotschaften unter Einsatz von Social Marketing; drei Verhaltensadhärenz-Profile.</w:t>
      </w:r>
    </w:p>
    <w:p>
      <w:r>
        <w:rPr>
          <w:b/>
        </w:rPr>
        <w:t xml:space="preserve">Ergebnis: </w:t>
      </w:r>
      <w:r>
        <w:t>Zustimmung zu 'Impfung trägt zu gesundem Altern bei' stieg von 3% (niedrige Adhärenz) auf 56% (mittlere) und 78% (hohe). Botschaften zu Schlaganfall- und Herzinfarktreduktion zeigten höchste Impfabsicht (69% und 67% in hoher-Adhärenz-Gruppe). Vertrauenswürdige Gesundheitsfachleute waren Informationsquelle Nr. 1 (93–95%). Impfgutscheine: 57% (mittlere) bis 81% (hohe Adhärenz) würden sich impfen lassen.</w:t>
      </w:r>
    </w:p>
    <w:p>
      <w:r>
        <w:rPr>
          <w:b/>
          <w:sz w:val="19"/>
        </w:rPr>
        <w:t xml:space="preserve">Übertragbarkeit: </w:t>
      </w:r>
      <w:r>
        <w:rPr>
          <w:sz w:val="19"/>
        </w:rPr>
        <w:t>Frankreich, europäisches Gesundheitssystem; Transfer für Kommunikationsstrategie hoch</w:t>
      </w:r>
    </w:p>
    <w:p>
      <w:r>
        <w:rPr>
          <w:color w:val="5A7D3A"/>
          <w:sz w:val="18"/>
        </w:rPr>
        <w:t>https://pubmed.ncbi.nlm.nih.gov/42594637/</w:t>
      </w:r>
    </w:p>
    <w:p>
      <w:pPr>
        <w:pStyle w:val="Heading2"/>
      </w:pPr>
      <w:r>
        <w:t>Chair-Stand-Test als Mortalitätsprädiktor bei hochfunktionalen älteren Erwachsenen</w:t>
      </w:r>
    </w:p>
    <w:p>
      <w:r>
        <w:rPr>
          <w:i/>
          <w:color w:val="666666"/>
          <w:sz w:val="18"/>
        </w:rPr>
        <w:t>Máximo RO et al.  ·  Maturitas  ·  04.08.2026  ·  PMID 42570528</w:t>
      </w:r>
    </w:p>
    <w:p>
      <w:r>
        <w:t>2747 hochfunktionale ältere Erwachsene (Gehgeschwindigkeit &gt;0,8 oder &gt;1,0 m/s) der English Longitudinal Study of Ageing wurden 15 Jahre lang verfolgt; Mortalität nach Chair Stand Test und SPPB verglichen.</w:t>
      </w:r>
    </w:p>
    <w:p>
      <w:r>
        <w:rPr>
          <w:b/>
        </w:rPr>
        <w:t xml:space="preserve">Ergebnis: </w:t>
      </w:r>
      <w:r>
        <w:t>Mortalitätsraten: CST &gt;15 s: 41,4 pro 1000 Personenjahre vs. ≤15 s: 21,9. HR für CST &gt;15 s: 1,36 (95%-KI 1,13–1,62); für SPPB ≤10: HR 1,31 (95%-KI 1,12–1,54). Bei Gehgeschwindigkeit &gt;1,0 m/s: CST-HR 1,75 (95%-KI 1,30–2,36). CST ist einfacher anwendbar.</w:t>
      </w:r>
    </w:p>
    <w:p>
      <w:r>
        <w:rPr>
          <w:b/>
          <w:sz w:val="19"/>
        </w:rPr>
        <w:t xml:space="preserve">Übertragbarkeit: </w:t>
      </w:r>
      <w:r>
        <w:rPr>
          <w:sz w:val="19"/>
        </w:rPr>
        <w:t>England, vergleichbare Klinikpopulationen; schnelles, praktisches Test-Screening</w:t>
      </w:r>
    </w:p>
    <w:p>
      <w:r>
        <w:rPr>
          <w:color w:val="5A7D3A"/>
          <w:sz w:val="18"/>
        </w:rPr>
        <w:t>https://pubmed.ncbi.nlm.nih.gov/42570528/</w:t>
      </w:r>
    </w:p>
    <w:p>
      <w:pPr>
        <w:pStyle w:val="Heading2"/>
      </w:pPr>
      <w:r>
        <w:t>Renteneintritt und psychische Gesundheit: Kurzfristig besser, langfristig Erholung begrenzt</w:t>
      </w:r>
    </w:p>
    <w:p>
      <w:r>
        <w:rPr>
          <w:i/>
          <w:color w:val="666666"/>
          <w:sz w:val="18"/>
        </w:rPr>
        <w:t>Maddock J et al.  ·  Epidemiol Psychiatr Sci  ·  05.08.2026  ·  PMID 42552948</w:t>
      </w:r>
    </w:p>
    <w:p>
      <w:r>
        <w:t>Multilevel und instrumentale Variable Analyse bei 10698 Personen (48815 Beobachtungen) aus Survey of Health, Ageing and Retirement in Europe über 20 Jahre (10 Länder); Renteneintritt und Depressivität (EURO-D-Skala).</w:t>
      </w:r>
    </w:p>
    <w:p>
      <w:r>
        <w:rPr>
          <w:b/>
        </w:rPr>
        <w:t xml:space="preserve">Ergebnis: </w:t>
      </w:r>
      <w:r>
        <w:t>Spline-Modelle: minimal Veränderung vor Rente. Bei Renteneintritt leichte EURO-D-Reduktion (–0,07 Punkte/Jahr; 95%-KI –0,13 bis –0,0003), dann ab 2 Jahre post-Rente Anstieg (0,09/Jahr; 95%-KI 0,02–0,16). IV-Analyse: Rente assoziiert mit weniger Depressionssymptomen (–0,26; 95%-KI –0,45 bis –0,07). Alleinstehende berichteten höhere Depressivität, aber Wohnstatus moderierte Effekt nicht.</w:t>
      </w:r>
    </w:p>
    <w:p>
      <w:r>
        <w:rPr>
          <w:b/>
          <w:sz w:val="19"/>
        </w:rPr>
        <w:t xml:space="preserve">Übertragbarkeit: </w:t>
      </w:r>
      <w:r>
        <w:rPr>
          <w:sz w:val="19"/>
        </w:rPr>
        <w:t>10 europäische Länder, vergleichbare Rentensysteme; Evidenz für deutsche Sozialversicherung relevant</w:t>
      </w:r>
    </w:p>
    <w:p>
      <w:r>
        <w:rPr>
          <w:color w:val="5A7D3A"/>
          <w:sz w:val="18"/>
        </w:rPr>
        <w:t>https://pubmed.ncbi.nlm.nih.gov/42552948/</w:t>
      </w:r>
    </w:p>
    <w:p>
      <w:pPr>
        <w:pStyle w:val="Heading2"/>
      </w:pPr>
      <w:r>
        <w:t>Sexuelle Gesundheit älterer Menschen in Hausarztpraxen: Barrieren und Handlungsempfehlungen</w:t>
      </w:r>
    </w:p>
    <w:p>
      <w:r>
        <w:rPr>
          <w:i/>
          <w:color w:val="666666"/>
          <w:sz w:val="18"/>
        </w:rPr>
        <w:t>Kocurkova A et al.  ·  Age Ageing  ·  02.07.2026  ·  PMID 42506889</w:t>
      </w:r>
    </w:p>
    <w:p>
      <w:r>
        <w:t>Qualitative Studie (16 halbstrukturierte Interviews) mit NHS-Hausarztfachkräften in England zur Erfahrung bei Gesprächen über Sexualität mit älteren Patienten.</w:t>
      </w:r>
    </w:p>
    <w:p>
      <w:r>
        <w:rPr>
          <w:b/>
        </w:rPr>
        <w:t xml:space="preserve">Ergebnis: </w:t>
      </w:r>
      <w:r>
        <w:t>Drei Hauptthemen identifiziert: (1) Unbewusste Annahmen, Fachleute-Unbehagen und Zeitmangel begrenzen Diskussionen; (2) körperliche Symptome sind 'natürliche Öffner', Gespräche bleiben aber medizinisch-fokussiert; (3) minimale Nutzung von Leitlinien, stattdessen Intuition/Erfahrung. Fachkräfte fordern klare, prägnante, psychologisch informierte Werkzeuge und Training. Sexuelle Gesundheit wird nicht als Qualitätsaspekt im Alter normalisiert.</w:t>
      </w:r>
    </w:p>
    <w:p>
      <w:r>
        <w:rPr>
          <w:b/>
          <w:sz w:val="19"/>
        </w:rPr>
        <w:t xml:space="preserve">Übertragbarkeit: </w:t>
      </w:r>
      <w:r>
        <w:rPr>
          <w:sz w:val="19"/>
        </w:rPr>
        <w:t>England, NHS-Setting; Befunde zu Versorgungspraxen direkt übertragbar</w:t>
      </w:r>
    </w:p>
    <w:p>
      <w:r>
        <w:rPr>
          <w:color w:val="5A7D3A"/>
          <w:sz w:val="18"/>
        </w:rPr>
        <w:t>https://pubmed.ncbi.nlm.nih.gov/42506889/</w:t>
      </w:r>
    </w:p>
    <w:p>
      <w:pPr>
        <w:pStyle w:val="Heading1"/>
      </w:pPr>
      <w:r>
        <w:t>Aufgenommen am 26.08.2026</w:t>
      </w:r>
    </w:p>
    <w:p>
      <w:pPr>
        <w:pStyle w:val="Heading2"/>
      </w:pPr>
      <w:r>
        <w:t>Geriatrisches Assessment senkt Aufenthaltsdauer bei älteren Krankenhauspatienten</w:t>
      </w:r>
    </w:p>
    <w:p>
      <w:r>
        <w:rPr>
          <w:i/>
          <w:color w:val="666666"/>
          <w:sz w:val="18"/>
        </w:rPr>
        <w:t>Ahmed R et al.  ·  Ir Med J  ·  20.08.2026  ·  PMID 42640196</w:t>
      </w:r>
    </w:p>
    <w:p>
      <w:r>
        <w:t>Evaluierung eines neu eingeführten spezialistischen Geriatrie-Service mit Comprehensive Geriatric Assessment (CGA) in einem irischen Privatspital bei Patienten ab 75 Jahren.</w:t>
      </w:r>
    </w:p>
    <w:p>
      <w:r>
        <w:rPr>
          <w:b/>
        </w:rPr>
        <w:t xml:space="preserve">Ergebnis: </w:t>
      </w:r>
      <w:r>
        <w:t>84% der Patienten (42/50) wurden innerhalb von 48 Stunden geriatrisch untersucht (Median 29 Stunden). Multidisziplinäres Team-Engagement stieg von 45% auf 70%, Aufenthaltsdauer sank um 22% (von 8,7 auf 6,8 Tage), 66% wurden direkt nach Hause entlassen, 30-Tage-Wiederaufnahmen 10%.</w:t>
      </w:r>
    </w:p>
    <w:p>
      <w:r>
        <w:rPr>
          <w:b/>
          <w:sz w:val="19"/>
        </w:rPr>
        <w:t xml:space="preserve">Übertragbarkeit: </w:t>
      </w:r>
      <w:r>
        <w:rPr>
          <w:sz w:val="19"/>
        </w:rPr>
        <w:t>Irland, vergleichbare europäische Privatklinik-Strukturen, HSE-Qualitätsstandards</w:t>
      </w:r>
    </w:p>
    <w:p>
      <w:r>
        <w:rPr>
          <w:color w:val="5A7D3A"/>
          <w:sz w:val="18"/>
        </w:rPr>
        <w:t>https://pubmed.ncbi.nlm.nih.gov/42640196/</w:t>
      </w:r>
    </w:p>
    <w:p>
      <w:pPr>
        <w:pStyle w:val="Heading1"/>
      </w:pPr>
      <w:r>
        <w:t>Aufgenommen am 25.08.2026</w:t>
      </w:r>
    </w:p>
    <w:p>
      <w:pPr>
        <w:pStyle w:val="Heading2"/>
      </w:pPr>
      <w:r>
        <w:t>Langzeitverläufe der intrinsischen Kapazität vorhersagen Pflegeheimaufnahme und Mortalität</w:t>
      </w:r>
    </w:p>
    <w:p>
      <w:r>
        <w:rPr>
          <w:i/>
          <w:color w:val="666666"/>
          <w:sz w:val="18"/>
        </w:rPr>
        <w:t>Egbujie BA et al.  ·  Age Ageing  ·  03.08.2026  ·  PMID 42632919</w:t>
      </w:r>
    </w:p>
    <w:p>
      <w:r>
        <w:t>Kanadische Populationsstudie zu Längsmustern der intrinsischen Kapazität (Mobilität, Vitalität, Kognition, Psychisches, Sensorik) bei 302.467 Patienten häuslicher Pflege und Vorhersage von Outcomes.</w:t>
      </w:r>
    </w:p>
    <w:p>
      <w:r>
        <w:rPr>
          <w:b/>
        </w:rPr>
        <w:t xml:space="preserve">Ergebnis: </w:t>
      </w:r>
      <w:r>
        <w:t>Fünf distinkte Trajektorienmuster identifiziert; kognitive Beeinträchtigung war mit ungünstigen Trajectories assoziiert. Wichtig: Baseline-Kapazität allein war prognostisch unzureichend. Personen mit mäßiger Baseline-Kapazität zeigten höhere LTC-Einweisung als Personen mit niedriger Kapazität, die sich verbesserten (48,4 % vs. 38,1 %).</w:t>
      </w:r>
    </w:p>
    <w:p>
      <w:r>
        <w:rPr>
          <w:b/>
          <w:sz w:val="19"/>
        </w:rPr>
        <w:t xml:space="preserve">Übertragbarkeit: </w:t>
      </w:r>
      <w:r>
        <w:rPr>
          <w:sz w:val="19"/>
        </w:rPr>
        <w:t>Kanada, interRAI Home Care Routinedaten, Ansatz auf deutsches Assessment übertragbar.</w:t>
      </w:r>
    </w:p>
    <w:p>
      <w:r>
        <w:rPr>
          <w:color w:val="5A7D3A"/>
          <w:sz w:val="18"/>
        </w:rPr>
        <w:t>https://pubmed.ncbi.nlm.nih.gov/42632919/</w:t>
      </w:r>
    </w:p>
    <w:p>
      <w:pPr>
        <w:pStyle w:val="Heading2"/>
      </w:pPr>
      <w:r>
        <w:t>Gemeinsamer Gedächtnis- und Kognitionsverfall erhöht Risiko für Funktionsabhängigkeit im Alter</w:t>
      </w:r>
    </w:p>
    <w:p>
      <w:r>
        <w:rPr>
          <w:i/>
          <w:color w:val="666666"/>
          <w:sz w:val="18"/>
        </w:rPr>
        <w:t>Yin X et al.  ·  Alzheimers Dement  ·  Aug. 2026  ·  PMID 42630086</w:t>
      </w:r>
    </w:p>
    <w:p>
      <w:r>
        <w:t>Harmonisierte Längsschnittanalyse von vier Kohorten (China, USA, England, Europa) zur Vorhersage funktioneller Abhängigkeit durch gleichzeitige Veränderungen subjektiver und objektiver kognitiver Parameter.</w:t>
      </w:r>
    </w:p>
    <w:p>
      <w:r>
        <w:rPr>
          <w:b/>
        </w:rPr>
        <w:t xml:space="preserve">Ergebnis: </w:t>
      </w:r>
      <w:r>
        <w:t>Unter 62.329 Teilnehmern mit vollständiger Analyse war gleichzeitiger kognitiver Verfall am stärksten mit funktioneller Abhängigkeit assoziiert (Hazard Ratio 1,47; 95%-KI 1,38–1,57), stärker als einzelne Defizite (subjektiv-nur HR 1,22; objektiv-nur HR 1,12). In Konkurrenzrisiko-Analysen blieb der Zusammenhang robust (gepoolte HR 1,39; 95%-KI 1,27–1,51).</w:t>
      </w:r>
    </w:p>
    <w:p>
      <w:r>
        <w:rPr>
          <w:b/>
          <w:sz w:val="19"/>
        </w:rPr>
        <w:t xml:space="preserve">Übertragbarkeit: </w:t>
      </w:r>
      <w:r>
        <w:rPr>
          <w:sz w:val="19"/>
        </w:rPr>
        <w:t>Vier Kontinente, bevölkerungsrepräsentative Kohorten mit konsistenten Mustern.</w:t>
      </w:r>
    </w:p>
    <w:p>
      <w:r>
        <w:rPr>
          <w:color w:val="5A7D3A"/>
          <w:sz w:val="18"/>
        </w:rPr>
        <w:t>https://pubmed.ncbi.nlm.nih.gov/42630086/</w:t>
      </w:r>
    </w:p>
    <w:p>
      <w:pPr>
        <w:pStyle w:val="Heading1"/>
      </w:pPr>
      <w:r>
        <w:t>Aufgenommen am 24.08.2026</w:t>
      </w:r>
    </w:p>
    <w:p>
      <w:pPr>
        <w:pStyle w:val="Heading2"/>
      </w:pPr>
      <w:r>
        <w:t>Frailty-bedingte Nachfrage nach Gemeindeversorgung in England 2025–2040: Simulationen zeigen Potenzial von Frailty-Prävention, aber anhaltende Steigerung der Leistungsnutzung</w:t>
      </w:r>
    </w:p>
    <w:p>
      <w:r>
        <w:rPr>
          <w:i/>
          <w:color w:val="666666"/>
          <w:sz w:val="18"/>
        </w:rPr>
        <w:t>Walsh B et al.  ·  Age Ageing  ·  03.08.2026  ·  PMID 42632917</w:t>
      </w:r>
    </w:p>
    <w:p>
      <w:r>
        <w:t>Simulationsmodellierung auf englischen Routinedaten projiziert die Nachfrage nach psychosozialer Unterstützung, Gemeindegesundheit und Sozialhilfe für Menschen ≥50 Jahren mit Frailty bis 2040.</w:t>
      </w:r>
    </w:p>
    <w:p>
      <w:r>
        <w:rPr>
          <w:b/>
        </w:rPr>
        <w:t xml:space="preserve">Ergebnis: </w:t>
      </w:r>
      <w:r>
        <w:t>Mentale Gesundheit, Gemeindegesundheit und kommunale Sozialhilfe werden bis 2040 um 16 %, 30 % bzw. 30 % zunehmen. Senkung der Frailty-Inzidenz könnte zwischen 2025 und 2040 mentale Gesundheitskontakte um 1,4 Mio., Gemeindegesundheitskontakte um 10 Mio. und Sozialhilfefallanfragen um 400.000 reduzieren. Nachfrage wird trotz Prävention weiter wachsen, da bereits viele Menschen mit milder bis moderater Frailty leben.</w:t>
      </w:r>
    </w:p>
    <w:p>
      <w:r>
        <w:rPr>
          <w:b/>
          <w:sz w:val="19"/>
        </w:rPr>
        <w:t xml:space="preserve">Übertragbarkeit: </w:t>
      </w:r>
      <w:r>
        <w:rPr>
          <w:sz w:val="19"/>
        </w:rPr>
        <w:t>Englische NHS-Daten, die Ergebnisse sind für deutsches Gesundheitswesen gut übertragbar bezüglich Versorgungsplanung älter werdender Bevölkerung.</w:t>
      </w:r>
    </w:p>
    <w:p>
      <w:r>
        <w:rPr>
          <w:color w:val="5A7D3A"/>
          <w:sz w:val="18"/>
        </w:rPr>
        <w:t>https://pubmed.ncbi.nlm.nih.gov/42632917/</w:t>
      </w:r>
    </w:p>
    <w:p>
      <w:pPr>
        <w:pStyle w:val="Heading2"/>
      </w:pPr>
      <w:r>
        <w:t>Temporäre Mitarbeitende in der schwedischen Altenhilfe erschweren Kontinuität und belasten Stammpersonal: qualitative Managerstudie</w:t>
      </w:r>
    </w:p>
    <w:p>
      <w:r>
        <w:rPr>
          <w:i/>
          <w:color w:val="666666"/>
          <w:sz w:val="18"/>
        </w:rPr>
        <w:t>Lindmark T et al.  ·  BMC Health Serv Res  ·  29.07.2026  ·  PMID 42527915</w:t>
      </w:r>
    </w:p>
    <w:p>
      <w:r>
        <w:t>16 qualitative Interviews mit Managern auf vier Ebenen der schwedischen Altenhilfe (Heime, Ambulante Dienste, Administration) zu Chancen und Herausforderungen temporärer Beschäftigung.</w:t>
      </w:r>
    </w:p>
    <w:p>
      <w:r>
        <w:rPr>
          <w:b/>
        </w:rPr>
        <w:t xml:space="preserve">Ergebnis: </w:t>
      </w:r>
      <w:r>
        <w:t>Drei Themen: Balance zwischen Personaldeckung und Improvisation, Mangel an lokaler Kontrollierbarkeit der Rekrutierung, Spannung zwischen Flexibilität und Stabilität. Temporäre Mitarbeitende decken Lücken, erhöhen aber die Last auf Stammpersonal und erschweren Kontinuität. Erste-Linie-Manager fokussieren auf Tagesdeckung und Mitarbeiterschutz, höhere Manager auf Langzeitplanung. Zentrale Personalentscheidungen bevorzugen kurzfristige Deckung über Stabilität.</w:t>
      </w:r>
    </w:p>
    <w:p>
      <w:r>
        <w:rPr>
          <w:b/>
          <w:sz w:val="19"/>
        </w:rPr>
        <w:t xml:space="preserve">Übertragbarkeit: </w:t>
      </w:r>
      <w:r>
        <w:rPr>
          <w:sz w:val="19"/>
        </w:rPr>
        <w:t>Schweden, nordisches Sozialsystem mit öffentlicher Altenhilfe – Befunde zu Personalmanagement übertragbar auf Deutschland.</w:t>
      </w:r>
    </w:p>
    <w:p>
      <w:r>
        <w:rPr>
          <w:color w:val="5A7D3A"/>
          <w:sz w:val="18"/>
        </w:rPr>
        <w:t>https://pubmed.ncbi.nlm.nih.gov/42527915/</w:t>
      </w:r>
    </w:p>
    <w:p>
      <w:pPr>
        <w:pStyle w:val="Heading1"/>
      </w:pPr>
      <w:r>
        <w:t>Aufgenommen am 23.08.2026</w:t>
      </w:r>
    </w:p>
    <w:p>
      <w:pPr>
        <w:pStyle w:val="Heading2"/>
      </w:pPr>
      <w:r>
        <w:t>Psychosoziale und wirtschaftliche Faktoren gesunden Alterns in Europa: systematische Übersicht mit Syntheserahmen</w:t>
      </w:r>
    </w:p>
    <w:p>
      <w:r>
        <w:rPr>
          <w:i/>
          <w:color w:val="666666"/>
          <w:sz w:val="18"/>
        </w:rPr>
        <w:t>Wypych-Ślusarska A et al.  ·  Front Public Health  ·  06.08.2026  ·  PMID 42625570</w:t>
      </w:r>
    </w:p>
    <w:p>
      <w:r>
        <w:t>Systematische Übersicht europäischer Studien (2019-2024) zur Evidenz für psychosoziale und sozioökonomische Determinanten gesunden Alterns bei Älteren ≥65 Jahren in Europa.</w:t>
      </w:r>
    </w:p>
    <w:p>
      <w:r>
        <w:rPr>
          <w:b/>
        </w:rPr>
        <w:t xml:space="preserve">Ergebnis: </w:t>
      </w:r>
      <w:r>
        <w:t>Konsistente Evidenz für Schutzfunktion von sozialen Netzen, sozialer Integration und verminderter Einsamkeit für Gesundheit, Wohlbefinden und kognitive Funktionsfähigkeit. Autonomie und Unabhängigkeit traten als zentrale Elemente positiven Alterns hervor, ebenso Engagement in sozialen, physischen und beruflichen Aktivitäten. Literatur unterstreicht Bedarf für Public-Health-Politiken und Gemeindeumgebungen, die positives Altern durch integrierte physische, psychosoziale und soziale Strategien unterstützen. Die beiden übergeordneten Themenbereiche: psychosoziale und wirtschaftliche Determinanten, und soziale Programme/gemeindegestützte Interventionen.</w:t>
      </w:r>
    </w:p>
    <w:p>
      <w:r>
        <w:rPr>
          <w:b/>
          <w:sz w:val="19"/>
        </w:rPr>
        <w:t xml:space="preserve">Übertragbarkeit: </w:t>
      </w:r>
      <w:r>
        <w:rPr>
          <w:sz w:val="19"/>
        </w:rPr>
        <w:t>Europäische Studienbasis einschließlich Deutschland, vergleichbare Sozialversicherungssysteme</w:t>
      </w:r>
    </w:p>
    <w:p>
      <w:r>
        <w:rPr>
          <w:color w:val="5A7D3A"/>
          <w:sz w:val="18"/>
        </w:rPr>
        <w:t>https://pubmed.ncbi.nlm.nih.gov/42625570/</w:t>
      </w:r>
    </w:p>
    <w:p>
      <w:pPr>
        <w:pStyle w:val="Heading1"/>
      </w:pPr>
      <w:r>
        <w:t>Aufgenommen am 22.08.2026</w:t>
      </w:r>
    </w:p>
    <w:p>
      <w:pPr>
        <w:pStyle w:val="Heading2"/>
      </w:pPr>
      <w:r>
        <w:t>Körperliches Training reduziert kognitive Gebrechlichkeit zu 35 % über Stärkung der Selbstwirksamkeit</w:t>
      </w:r>
    </w:p>
    <w:p>
      <w:r>
        <w:rPr>
          <w:i/>
          <w:color w:val="666666"/>
          <w:sz w:val="18"/>
        </w:rPr>
        <w:t>Liang D et al.  ·  Front Public Health  ·  06.08.2026  ·  PMID 42625706</w:t>
      </w:r>
    </w:p>
    <w:p>
      <w:r>
        <w:t>Querschnittbefragung von 563 Gemeindemitbewohnern (≥60 J.) in Henan, China zu Zusammenhang zwischen körperlichem Training, Selbstwirksamkeit und kognitiver Gebrechlichkeit (Frailty + Kognition).</w:t>
      </w:r>
    </w:p>
    <w:p>
      <w:r>
        <w:rPr>
          <w:b/>
        </w:rPr>
        <w:t xml:space="preserve">Ergebnis: </w:t>
      </w:r>
      <w:r>
        <w:t>Prävalenz kognitive Gebrechlichkeit 21,3 %. Körperliches Training assoziiert mit weniger kognitiver Gebrechlichkeit; Selbstwirksamkeit mediiert 35,17 % dieses Effekts. Vollständiges Mediationsmodell unterstützt indirekten Weg über Selbstvertrauen.</w:t>
      </w:r>
    </w:p>
    <w:p>
      <w:r>
        <w:rPr>
          <w:b/>
          <w:sz w:val="19"/>
        </w:rPr>
        <w:t xml:space="preserve">Übertragbarkeit: </w:t>
      </w:r>
      <w:r>
        <w:rPr>
          <w:sz w:val="19"/>
        </w:rPr>
        <w:t>China-Studie mit großer Stichprobe, aber kulturelle und Gesundheitssystem-Unterschiede beachten – Mechanismus (Selbstwirksamkeit) transnational relevant.</w:t>
      </w:r>
    </w:p>
    <w:p>
      <w:r>
        <w:rPr>
          <w:color w:val="5A7D3A"/>
          <w:sz w:val="18"/>
        </w:rPr>
        <w:t>https://pubmed.ncbi.nlm.nih.gov/42625706/</w:t>
      </w:r>
    </w:p>
    <w:p>
      <w:pPr>
        <w:pStyle w:val="Heading2"/>
      </w:pPr>
      <w:r>
        <w:t>Loneliness and social isolation verringern die verbleibenden gesunden Lebensjahre deutlicher als physische Erkrankungen</w:t>
      </w:r>
    </w:p>
    <w:p>
      <w:r>
        <w:rPr>
          <w:i/>
          <w:color w:val="666666"/>
          <w:sz w:val="18"/>
        </w:rPr>
        <w:t>Wang X et al.  ·  Nat Commun  ·  20.08.2026  ·  PMID 42624836</w:t>
      </w:r>
    </w:p>
    <w:p>
      <w:r>
        <w:t>Querschnittanalyse von 277.489 britischen Erwachsenen ohne Erkrankungen zum Zusammenhang zwischen Einsamkeit, sozialer Isolation und der Lebensdauer frei von Krankheit.</w:t>
      </w:r>
    </w:p>
    <w:p>
      <w:r>
        <w:rPr>
          <w:b/>
        </w:rPr>
        <w:t xml:space="preserve">Ergebnis: </w:t>
      </w:r>
      <w:r>
        <w:t>Frauen mit Einsamkeit und sozialer Isolation verlieren 2,4 Jahre physisch krankheitsfrei und 3,7 Jahre mental krankheitsfrei; Männer verlieren 1,7 bzw. 5,8 Jahre. Soziale Isolation lässt sich durch gesunde Lebensstile teilweise ausgleichen (signifikant), nicht aber Einsamkeit.</w:t>
      </w:r>
    </w:p>
    <w:p>
      <w:r>
        <w:rPr>
          <w:b/>
          <w:sz w:val="19"/>
        </w:rPr>
        <w:t xml:space="preserve">Übertragbarkeit: </w:t>
      </w:r>
      <w:r>
        <w:rPr>
          <w:sz w:val="19"/>
        </w:rPr>
        <w:t>UK Biobank, vergleichbare Altersstruktur und Sozialversicherung; übertragbar auf deutsche Verhältnisse.</w:t>
      </w:r>
    </w:p>
    <w:p>
      <w:r>
        <w:rPr>
          <w:color w:val="5A7D3A"/>
          <w:sz w:val="18"/>
        </w:rPr>
        <w:t>https://pubmed.ncbi.nlm.nih.gov/42624836/</w:t>
      </w:r>
    </w:p>
    <w:p>
      <w:pPr>
        <w:pStyle w:val="Heading1"/>
      </w:pPr>
      <w:r>
        <w:t>Aufgenommen am 21.08.2026</w:t>
      </w:r>
    </w:p>
    <w:p>
      <w:pPr>
        <w:pStyle w:val="Heading2"/>
      </w:pPr>
      <w:r>
        <w:t>Heimgestützte multikomponenten Intervention bei Frailty und Prefrailty in älteren Krebsüberlebenden: Pilotuntersuchung</w:t>
      </w:r>
    </w:p>
    <w:p>
      <w:r>
        <w:rPr>
          <w:i/>
          <w:color w:val="666666"/>
          <w:sz w:val="18"/>
        </w:rPr>
        <w:t>Drevet S et al.  ·  Age Ageing  ·  03.08.2026  ·  PMID 42621847</w:t>
      </w:r>
    </w:p>
    <w:p>
      <w:r>
        <w:t>Quasi-experimentelle Vorher-Nachher-Studie (6 Monate) mit 110 Patienten ≥70 Jahren in Remission (Fried-Kriterien erfüllt). Intervention: betreute Übungen + Ernährungsunterstützung. Primärer Endpunkt: Anteil mit Frailty-/Prefrailty-Verbesserung von Baseline (M0) zu M6.</w:t>
      </w:r>
    </w:p>
    <w:p>
      <w:r>
        <w:rPr>
          <w:b/>
        </w:rPr>
        <w:t xml:space="preserve">Ergebnis: </w:t>
      </w:r>
      <w:r>
        <w:t>81 von 110 Teilnehmern vollendeten die Intervention. Baseline: 45% frail, 0% robust. Bei M6: 62% verbesserten ihren Frailty-Status; 78% der Frail zeigten Besserung, 51% der Prefrail wurden robust. Frailty-Schweregrad sank bei 74% der Teilnehmer. Vitamin-D zeigte Gruppen×Zeit-Interaktion; unterschiedliche Frailty-Trajektorien je nach Vitamin-D-Status. Funktionelle und physische Maße bei Baseline assoziiert mit Frailty (p&lt;0,05), nicht aber Tumor-Charakteristika.</w:t>
      </w:r>
    </w:p>
    <w:p>
      <w:r>
        <w:rPr>
          <w:b/>
          <w:sz w:val="19"/>
        </w:rPr>
        <w:t xml:space="preserve">Übertragbarkeit: </w:t>
      </w:r>
      <w:r>
        <w:rPr>
          <w:sz w:val="19"/>
        </w:rPr>
        <w:t>Frankreich, geriatrische Rehab in Praxis; multikomponenten Ansatz auch auf deutsches Versorgungssystem übertragbar</w:t>
      </w:r>
    </w:p>
    <w:p>
      <w:r>
        <w:rPr>
          <w:color w:val="5A7D3A"/>
          <w:sz w:val="18"/>
        </w:rPr>
        <w:t>https://pubmed.ncbi.nlm.nih.gov/42621847/</w:t>
      </w:r>
    </w:p>
    <w:p>
      <w:pPr>
        <w:pStyle w:val="Heading2"/>
      </w:pPr>
      <w:r>
        <w:t>Verankering älterer Menschen in globalen Klimaanpassungsplänen: Analyse von 204 Ländern</w:t>
      </w:r>
    </w:p>
    <w:p>
      <w:r>
        <w:rPr>
          <w:i/>
          <w:color w:val="666666"/>
          <w:sz w:val="18"/>
        </w:rPr>
        <w:t>Katz GM et al.  ·  Lancet Healthy Longev  ·  12.08.2026  ·  PMID 42586104</w:t>
      </w:r>
    </w:p>
    <w:p>
      <w:r>
        <w:t>Dokumentenanalyse von 204 Nationalstaaten zu Berücksichtigung älterer Menschen (≥65 Jahre) in Klimaanpassungsplänen. Identifiziert 16 Adaptationsthemen (Temperaturschutz, Partizipation, Katastrophenvorsorge, etc.) und deren Häufigkeit in nationalen Strategien.</w:t>
      </w:r>
    </w:p>
    <w:p>
      <w:r>
        <w:rPr>
          <w:b/>
        </w:rPr>
        <w:t xml:space="preserve">Ergebnis: </w:t>
      </w:r>
      <w:r>
        <w:t>125 Länder (61,3%) integrieren 1–5 Themen, 2 Länder (1,0%) sechs bis zehn, 1 Land (0,5%) ≥11 Themen, 77 Länder (37,7%) keine Themen. Häufigste Themen: extreme Hitze, Partizipation Älterer, Katastrophenprävention. Nur 47 Länder (23%) beschreiben konkrete Maßnahmen, Programme oder Finanzierungszusagen für ältere Menschen. Befund: erhebliche Lücken in der Berücksichtigung älterter Menschen in Klimapolitik.</w:t>
      </w:r>
    </w:p>
    <w:p>
      <w:r>
        <w:rPr>
          <w:b/>
          <w:sz w:val="19"/>
        </w:rPr>
        <w:t xml:space="preserve">Übertragbarkeit: </w:t>
      </w:r>
      <w:r>
        <w:rPr>
          <w:sz w:val="19"/>
        </w:rPr>
        <w:t>Globale Perspektive, Deutschland in Stichprobe enthalten, zeigt Governance-Gap bei Umwelt und Gerontologie</w:t>
      </w:r>
    </w:p>
    <w:p>
      <w:r>
        <w:rPr>
          <w:color w:val="5A7D3A"/>
          <w:sz w:val="18"/>
        </w:rPr>
        <w:t>https://pubmed.ncbi.nlm.nih.gov/42586104/</w:t>
      </w:r>
    </w:p>
    <w:p>
      <w:pPr>
        <w:pStyle w:val="Heading1"/>
      </w:pPr>
      <w:r>
        <w:t>Aufgenommen am 20.08.2026</w:t>
      </w:r>
    </w:p>
    <w:p>
      <w:pPr>
        <w:pStyle w:val="Heading2"/>
      </w:pPr>
      <w:r>
        <w:t>Konzept des gesunden Alterns in Norwegen: Qualitative Analyse von Perspektiven älterer Menschen, Fachkräfte und Entscheidungsträger</w:t>
      </w:r>
    </w:p>
    <w:p>
      <w:r>
        <w:rPr>
          <w:i/>
          <w:color w:val="666666"/>
          <w:sz w:val="18"/>
        </w:rPr>
        <w:t>Bikova M et al.  ·  BMC Health Serv Res  ·  14.08.2026  ·  PMID 42613606</w:t>
      </w:r>
    </w:p>
    <w:p>
      <w:r>
        <w:t>Qualitative Studie mit 23 semi-strukturierten Interviews (ältere Menschen, Fachkräfte, Entscheidungsträger) zur Interpretation des UN-Jahrzehnts des gesunden Alterns in einer norwegischen Kommune.</w:t>
      </w:r>
    </w:p>
    <w:p>
      <w:r>
        <w:rPr>
          <w:b/>
        </w:rPr>
        <w:t xml:space="preserve">Ergebnis: </w:t>
      </w:r>
      <w:r>
        <w:t>Drei zentrale Themen: Strategien zur Bewältigung, gemischte Alterswahrnehmungen, Gesundheitsdienste. Ergebnis: Altern wird als kollektive Verantwortung betont, aber zunehmend Älteren selbst übertragen; Digitalisierung ist Barriere für vulnerable Gruppen; kommunale Dienste werden als qualitativ hochwertig, aber ressourcengeprägt wahrgenommen. Schnelle Digitalisierung und Individualisierung verschärfen Ungleichheiten.</w:t>
      </w:r>
    </w:p>
    <w:p>
      <w:r>
        <w:rPr>
          <w:b/>
          <w:sz w:val="19"/>
        </w:rPr>
        <w:t xml:space="preserve">Übertragbarkeit: </w:t>
      </w:r>
      <w:r>
        <w:rPr>
          <w:sz w:val="19"/>
        </w:rPr>
        <w:t>Norwegen, skandinavisches Wohlfahrtssystem; Befunde zu Digitalisierungsbarrieren und Equity-Risiken übertragbar auf vergleichbare europäische Kontexte.</w:t>
      </w:r>
    </w:p>
    <w:p>
      <w:r>
        <w:rPr>
          <w:color w:val="5A7D3A"/>
          <w:sz w:val="18"/>
        </w:rPr>
        <w:t>https://pubmed.ncbi.nlm.nih.gov/42613606/</w:t>
      </w:r>
    </w:p>
    <w:p>
      <w:pPr>
        <w:pStyle w:val="Heading2"/>
      </w:pPr>
      <w:r>
        <w:t>Funktionale Performance im WHO-ICOPE-Rahmen: Brasilien und Europa zeigen zehn Jahre Unterschied in Funktionsverlust</w:t>
      </w:r>
    </w:p>
    <w:p>
      <w:r>
        <w:rPr>
          <w:i/>
          <w:color w:val="666666"/>
          <w:sz w:val="18"/>
        </w:rPr>
        <w:t>Oliveira VR et al.  ·  PLoS One  ·  05.08.2026  ·  PMID 42555548</w:t>
      </w:r>
    </w:p>
    <w:p>
      <w:r>
        <w:t>Vergleich von Determinanten der Funktionsfähigkeit (BADL/IADL) anhand von ELSI-Brasil (n=4825) und SHARE (n=25978) mit Analyse intrinsischer Kapazitätsdimensionen nach WHO-ICOPE-Modell.</w:t>
      </w:r>
    </w:p>
    <w:p>
      <w:r>
        <w:rPr>
          <w:b/>
        </w:rPr>
        <w:t xml:space="preserve">Ergebnis: </w:t>
      </w:r>
      <w:r>
        <w:t>Funktioneller Rückgang beginnt in Brasilien eine Dekade früher als in Europa. Risikomuster differieren: Mobilität–Handkraft schützender in Europa, Gehgeschwindigkeit Risikofaktor nur in Brasilien (OR 1,16); Depression höheres Risiko in Europa (OR 1,67–1,71) vs. Brasilien (OR 1,26–1,53); schlechte Selbsteinschätzung der Gesundheit stärkerer BADL-Risikofaktor in Brasilien (OR 2,72 vs. 2,07).</w:t>
      </w:r>
    </w:p>
    <w:p>
      <w:r>
        <w:rPr>
          <w:b/>
          <w:sz w:val="19"/>
        </w:rPr>
        <w:t xml:space="preserve">Übertragbarkeit: </w:t>
      </w:r>
      <w:r>
        <w:rPr>
          <w:sz w:val="19"/>
        </w:rPr>
        <w:t>Brasilien und Europa (SHARE), unterschiedliche Sozioökonomie; Befund zeigt kontextabhängige Risikofaktoren; ICOPE-Strategien müssen sozioökonomischen Unterschieden Rechnung tragen.</w:t>
      </w:r>
    </w:p>
    <w:p>
      <w:r>
        <w:rPr>
          <w:color w:val="5A7D3A"/>
          <w:sz w:val="18"/>
        </w:rPr>
        <w:t>https://pubmed.ncbi.nlm.nih.gov/42555548/</w:t>
      </w:r>
    </w:p>
    <w:p>
      <w:pPr>
        <w:pStyle w:val="Heading1"/>
      </w:pPr>
      <w:r>
        <w:t>Aufgenommen am 19.08.2026</w:t>
      </w:r>
    </w:p>
    <w:p>
      <w:pPr>
        <w:pStyle w:val="Heading2"/>
      </w:pPr>
      <w:r>
        <w:t>Frailty und kognitive Beeinträchtigung: Prospektive Assoziationen in fünf multinationalen Kohorten mit gepoolten Hazard Ratios</w:t>
      </w:r>
    </w:p>
    <w:p>
      <w:r>
        <w:rPr>
          <w:i/>
          <w:color w:val="666666"/>
          <w:sz w:val="18"/>
        </w:rPr>
        <w:t>Peng L et al.  ·  BMC Public Health  ·  25.07.2026  ·  PMID 42595986</w:t>
      </w:r>
    </w:p>
    <w:p>
      <w:r>
        <w:t>Länderübergreifende Metaanalyse von fünf Longitudinal-Kohorten (USA, England, Europa, China, Korea) mit insgesamt 47429 Teilnehmern zur Assoziation zwischen Baseline-Frailty-Status und kognitiver Beeinträchtigung sowie Frailty-Trajektorien und kognitiven Outcomes über 4–10 Jahre.</w:t>
      </w:r>
    </w:p>
    <w:p>
      <w:r>
        <w:rPr>
          <w:b/>
        </w:rPr>
        <w:t xml:space="preserve">Ergebnis: </w:t>
      </w:r>
      <w:r>
        <w:t>Pre-Frailty: gepoolte adjustierte HR 1,25 (95% CI 1,18–1,33) für kognitive Beeinträchtigung; Frailty: HR 1,69 (95% CI 1,50–1,90). Frailty-Trajektorien waren signifikant mit kognitiven Outcomes assoziiert (höhere Trajektorie: OR 1,45–4,37 für kognitive Beeinträchtigung; niedrigere: OR 0,46–0,72 protektiv). Befunde konsistent über alle Kohorten.</w:t>
      </w:r>
    </w:p>
    <w:p>
      <w:r>
        <w:rPr>
          <w:b/>
          <w:sz w:val="19"/>
        </w:rPr>
        <w:t xml:space="preserve">Übertragbarkeit: </w:t>
      </w:r>
      <w:r>
        <w:rPr>
          <w:sz w:val="19"/>
        </w:rPr>
        <w:t>HRS, ELSA, SHARE, CHARLS, KLoSA – europäische und non-europäische Daten, jedoch nur weil robust repliziert</w:t>
      </w:r>
    </w:p>
    <w:p>
      <w:r>
        <w:rPr>
          <w:color w:val="5A7D3A"/>
          <w:sz w:val="18"/>
        </w:rPr>
        <w:t>https://pubmed.ncbi.nlm.nih.gov/42595986/</w:t>
      </w:r>
    </w:p>
    <w:p>
      <w:pPr>
        <w:pStyle w:val="Heading2"/>
      </w:pPr>
      <w:r>
        <w:t>Akutgeriatrische Versorgungsmodelle in Dänemark: Nationale Bestandsaufnahme und Variabilität der Assessment-Praktiken</w:t>
      </w:r>
    </w:p>
    <w:p>
      <w:r>
        <w:rPr>
          <w:i/>
          <w:color w:val="666666"/>
          <w:sz w:val="18"/>
        </w:rPr>
        <w:t>Brockhattingen KK et al.  ·  Dan Med J  ·  02.07.2026  ·  PMID 42563704</w:t>
      </w:r>
    </w:p>
    <w:p>
      <w:r>
        <w:t>Nationale Querschnittsbefragung aller 20 Krankenhaus-Geriatriestationen in Dänemark zur Struktur, Teamzusammensetzung und Assessment-Funktionen in akutgeriatrischen Modellen für Patienten ≥65 Jahre mit akuter medizinischer Erkrankung.</w:t>
      </w:r>
    </w:p>
    <w:p>
      <w:r>
        <w:rPr>
          <w:b/>
        </w:rPr>
        <w:t xml:space="preserve">Ergebnis: </w:t>
      </w:r>
      <w:r>
        <w:t>Zwölf von 20 Stationen (60%) melden aktive akutgeriatrische Funktionen. Alle 12 führen diagnostische Bewertung, patientenzentrierte Evaluation und Basis-Assessments durch. Andere Elemente variabel: EKG (n=4–10/12), Ultraschall, Frailty-Assessment, interdisziplinäre Review, Koordination mit Community-Care (4–10/12). Erkenntnis: Große Variation in Struktur und Inhalten trotz Flächendeckung.</w:t>
      </w:r>
    </w:p>
    <w:p>
      <w:r>
        <w:rPr>
          <w:b/>
          <w:sz w:val="19"/>
        </w:rPr>
        <w:t xml:space="preserve">Übertragbarkeit: </w:t>
      </w:r>
      <w:r>
        <w:rPr>
          <w:sz w:val="19"/>
        </w:rPr>
        <w:t>Dänemark, europäisches Gesundheitssystem, vergleichbar mit deutschem Modell</w:t>
      </w:r>
    </w:p>
    <w:p>
      <w:r>
        <w:rPr>
          <w:color w:val="5A7D3A"/>
          <w:sz w:val="18"/>
        </w:rPr>
        <w:t>https://pubmed.ncbi.nlm.nih.gov/42563704/</w:t>
      </w:r>
    </w:p>
    <w:p>
      <w:pPr>
        <w:pStyle w:val="Heading1"/>
      </w:pPr>
      <w:r>
        <w:t>Aufgenommen am 18.08.2026</w:t>
      </w:r>
    </w:p>
    <w:p>
      <w:pPr>
        <w:pStyle w:val="Heading2"/>
      </w:pPr>
      <w:r>
        <w:t>Frailty-Verteilung und Sterblichkeit in Europa: Ländervergleich zeigt höchste Last in USA und Südosteuropa</w:t>
      </w:r>
    </w:p>
    <w:p>
      <w:r>
        <w:rPr>
          <w:i/>
          <w:color w:val="666666"/>
          <w:sz w:val="18"/>
        </w:rPr>
        <w:t>Drijver-Headley S et al.  ·  Age Ageing  ·  03.08.2026  ·  PMID 42607277</w:t>
      </w:r>
    </w:p>
    <w:p>
      <w:r>
        <w:t>Vergleichende Analyse von Frailty-Indizes, Sterblichkeit und Frailty-Progression in 17 Ländern mit unterschiedlichen Gesundheitssystemen.</w:t>
      </w:r>
    </w:p>
    <w:p>
      <w:r>
        <w:rPr>
          <w:b/>
        </w:rPr>
        <w:t xml:space="preserve">Ergebnis: </w:t>
      </w:r>
      <w:r>
        <w:t>In der USA, Mexiko und Südosteuropa war Gebrechlichkeit am höchsten, in Nord- und Zentraleuropa am niedrigsten; Sterblichkeit und Defizitakkumulation differierten erheblich zwischen Ländern, mit höchsten Werten in Mexiko. Meta-analytische Methoden zeigen, dass Frailty-Unterschiede zwischen Ländern wesentlich mit lokalen Einkommens- und Versorgungsstrukturen assoziiert sind.</w:t>
      </w:r>
    </w:p>
    <w:p>
      <w:r>
        <w:rPr>
          <w:b/>
          <w:sz w:val="19"/>
        </w:rPr>
        <w:t xml:space="preserve">Übertragbarkeit: </w:t>
      </w:r>
      <w:r>
        <w:rPr>
          <w:sz w:val="19"/>
        </w:rPr>
        <w:t>SHARE und ELSA (Europa) direkt vergleichbar; USA/Mexiko zeigen Effekte unterschiedlicher Finanzierung und sozialer Ungleichheit.</w:t>
      </w:r>
    </w:p>
    <w:p>
      <w:r>
        <w:rPr>
          <w:color w:val="5A7D3A"/>
          <w:sz w:val="18"/>
        </w:rPr>
        <w:t>https://pubmed.ncbi.nlm.nih.gov/42607277/</w:t>
      </w:r>
    </w:p>
    <w:p>
      <w:pPr>
        <w:pStyle w:val="Heading2"/>
      </w:pPr>
      <w:r>
        <w:t>Funktionelles Altern und Vermögensungleichheit: England und Kanada zeigen unterschiedliche Ungleichheitsgradienten</w:t>
      </w:r>
    </w:p>
    <w:p>
      <w:r>
        <w:rPr>
          <w:i/>
          <w:color w:val="666666"/>
          <w:sz w:val="18"/>
        </w:rPr>
        <w:t>Schrempft S et al.  ·  PLoS Med  ·  13.08.2026  ·  PMID 42594078</w:t>
      </w:r>
    </w:p>
    <w:p>
      <w:r>
        <w:t>Längsschnittstudie der Assoziation zwischen Vermögen und körperlicher Funktionsfähigkeit (Ganggeschwindigkeit, Griffstärke, Mobilitätseinschränkungen, ADL/IADL) in England und Kanada über 10 Jahre.</w:t>
      </w:r>
    </w:p>
    <w:p>
      <w:r>
        <w:rPr>
          <w:b/>
        </w:rPr>
        <w:t xml:space="preserve">Ergebnis: </w:t>
      </w:r>
      <w:r>
        <w:t>Bei weniger Vermögen: 15 Jahre Funktionsverlust bei Ganggeschwindigkeit in England vs. 9 Jahre in Kanada; 20 Jahre Funktionsverlust bei ADL-Schwierigkeiten in England vs. 9 Jahre in Kanada. Vermögensungleichheiten in der Funktionsfähigkeit waren größer in England trotz ähnlicher Gesundheitssysteme, bleiben nach Anpassung für Komorbiditäten bestehen.</w:t>
      </w:r>
    </w:p>
    <w:p>
      <w:r>
        <w:rPr>
          <w:b/>
          <w:sz w:val="19"/>
        </w:rPr>
        <w:t xml:space="preserve">Übertragbarkeit: </w:t>
      </w:r>
      <w:r>
        <w:rPr>
          <w:sz w:val="19"/>
        </w:rPr>
        <w:t>England und Kanada – beide gemäßigte Einkommen und ähnliche Sozialversicherung; Unterschied verdeutlicht Bedeutung von Vermögen neben Systemfinanzierung.</w:t>
      </w:r>
    </w:p>
    <w:p>
      <w:r>
        <w:rPr>
          <w:color w:val="5A7D3A"/>
          <w:sz w:val="18"/>
        </w:rPr>
        <w:t>https://pubmed.ncbi.nlm.nih.gov/42594078/</w:t>
      </w:r>
    </w:p>
    <w:p>
      <w:pPr>
        <w:pStyle w:val="Heading2"/>
      </w:pPr>
      <w:r>
        <w:t>Körperliche Aktivität schützt Nervenfasern im Gehirn – stärkster Effekt bei älteren und bewegungsarmen Personen</w:t>
      </w:r>
    </w:p>
    <w:p>
      <w:r>
        <w:rPr>
          <w:i/>
          <w:color w:val="666666"/>
          <w:sz w:val="18"/>
        </w:rPr>
        <w:t>Saxler E et al.  ·  Aging Cell  ·  Aug. 2026  ·  PMID 42568043</w:t>
      </w:r>
    </w:p>
    <w:p>
      <w:r>
        <w:t>Querschnittsstudie von 4.188 Teilnehmern (mittleres Alter 55,4 Jahre) der Rhineland-Studie zur Assoziation zwischen Beschleunigungsmesser-gemessener körperlicher Aktivität und Mikrostruktur weißer Substanz (Diffusions-MRT) mit Vermittlung durch Körpergewicht und kardiometabolische Faktoren.</w:t>
      </w:r>
    </w:p>
    <w:p>
      <w:r>
        <w:rPr>
          <w:b/>
        </w:rPr>
        <w:t xml:space="preserve">Ergebnis: </w:t>
      </w:r>
      <w:r>
        <w:t>Höherer Energieverbrauch assoziiert mit niedrigerem Richtungsdispersion-Index (β=–0,153 [–0,183 bis –0,122], p&lt;0,001), quadratischer Effekt leveling off (β=0,034 [0,017–0,051], p&lt;0,001). Mit zunehmendem Alter: körperliche Aktivität stärker mit höherer Neuritendichte und niedriger mittlerer Diffusivität assoziiert; Effekt am größten bei älteren und sedentären Personen, vermittelt durch Körpergewicht, kardiometabolische und entzündliche Faktoren.</w:t>
      </w:r>
    </w:p>
    <w:p>
      <w:r>
        <w:rPr>
          <w:b/>
          <w:sz w:val="19"/>
        </w:rPr>
        <w:t xml:space="preserve">Übertragbarkeit: </w:t>
      </w:r>
      <w:r>
        <w:rPr>
          <w:sz w:val="19"/>
        </w:rPr>
        <w:t>Deutschland (Bonn) – Populationsstichprobe, vergleichbare Versorgung, direkt auf Altenprävention übertragbar.</w:t>
      </w:r>
    </w:p>
    <w:p>
      <w:r>
        <w:rPr>
          <w:color w:val="5A7D3A"/>
          <w:sz w:val="18"/>
        </w:rPr>
        <w:t>https://pubmed.ncbi.nlm.nih.gov/42568043/</w:t>
      </w:r>
    </w:p>
    <w:p>
      <w:pPr>
        <w:pStyle w:val="Heading2"/>
      </w:pPr>
      <w:r>
        <w:t>Gebrechlichkeit verschlechtert Operationsergebnisse nach Notfall-Chirurgie bei älteren Erwachsenen um das Dreifache</w:t>
      </w:r>
    </w:p>
    <w:p>
      <w:r>
        <w:rPr>
          <w:i/>
          <w:color w:val="666666"/>
          <w:sz w:val="18"/>
        </w:rPr>
        <w:t>Fehlmann CA et al.  ·  Swiss Med Wkly  ·  26.06.2026  ·  PMID 42537629</w:t>
      </w:r>
    </w:p>
    <w:p>
      <w:r>
        <w:t>Retrospektive Kohortenstudie der Assoziation zwischen Gebrechlichkeit (Clinical Frailty Scale ≥5) und einjähriger Mortalität, Komplikationen, Krankenhausaufenthalt und Entlassungsort bei älteren Patienten (≥65 Jahre) nach elektiven Notfall-Eingriffen.</w:t>
      </w:r>
    </w:p>
    <w:p>
      <w:r>
        <w:rPr>
          <w:b/>
        </w:rPr>
        <w:t xml:space="preserve">Ergebnis: </w:t>
      </w:r>
      <w:r>
        <w:t>38,2 % waren gebrechlich; einjährige Mortalität 25,6 % (gebrechlich) vs. 6,6 % (nicht gebrechlich), adjustierte OR 3,0 [95%-KI 1,7–5,1]; Komplikationen OR 2,3 [1,5–3,6]; Krankenhausaufenthalt +46,4 % [26,8–69,0 %]; Entlassung nicht nach Hause OR 2,1 [1,4–3,2]. Frailty ist ein starker unabhängiger Risikofaktor für schlechte Ergebnisse.</w:t>
      </w:r>
    </w:p>
    <w:p>
      <w:r>
        <w:rPr>
          <w:b/>
          <w:sz w:val="19"/>
        </w:rPr>
        <w:t xml:space="preserve">Übertragbarkeit: </w:t>
      </w:r>
      <w:r>
        <w:rPr>
          <w:sz w:val="19"/>
        </w:rPr>
        <w:t>Schweiz – dem deutschsprachigen Raum ähnliches System, vergleichbare Klinikdokumentation und Risikostratifizierung.</w:t>
      </w:r>
    </w:p>
    <w:p>
      <w:r>
        <w:rPr>
          <w:color w:val="5A7D3A"/>
          <w:sz w:val="18"/>
        </w:rPr>
        <w:t>https://pubmed.ncbi.nlm.nih.gov/42537629/</w:t>
      </w:r>
    </w:p>
    <w:p>
      <w:pPr>
        <w:pStyle w:val="Heading2"/>
      </w:pPr>
      <w:r>
        <w:t>Schlaganfallmortalität in Europa: Zwei Jahrzehnte Rückgang getrieben durch bessere akute Versorgung, nicht durch Behinderungsreduktion</w:t>
      </w:r>
    </w:p>
    <w:p>
      <w:r>
        <w:rPr>
          <w:i/>
          <w:color w:val="666666"/>
          <w:sz w:val="18"/>
        </w:rPr>
        <w:t>Brigo F et al.  ·  Eur Stroke J  ·  06.07.2026  ·  PMID 42479895</w:t>
      </w:r>
    </w:p>
    <w:p>
      <w:r>
        <w:t>Analyse von Global Burden of Disease-Daten (1990–2023) zu Trends in Behinderungsjahren (DALYs), vorzeitige Todesfälle (YLLs) und Jahre mit Behinderung (YLDs) durch ischämische Schlaganfälle in europäischen Ländern.</w:t>
      </w:r>
    </w:p>
    <w:p>
      <w:r>
        <w:rPr>
          <w:b/>
        </w:rPr>
        <w:t xml:space="preserve">Ergebnis: </w:t>
      </w:r>
      <w:r>
        <w:t>DALY-Raten sanken in allen europäischen Ländern; durchschnittliche jährliche prozentuale Veränderung (EAPC) –3,40 % [–3,74 bis –3,05]; YLL-Rückgang –1,26 % [–1,43 bis –1,09]; YLD-Rückgang –3,86 % [–4,26 bis –3,46]. Rückgang der vorzeitigen Mortalität war Haupttreiber; YLD-Fortschritt blieb heterogen und geringer, regionale Unterschiede in Zentral-/Westeuropa vs. Ost-/Südosteuropa.</w:t>
      </w:r>
    </w:p>
    <w:p>
      <w:r>
        <w:rPr>
          <w:b/>
          <w:sz w:val="19"/>
        </w:rPr>
        <w:t xml:space="preserve">Übertragbarkeit: </w:t>
      </w:r>
      <w:r>
        <w:rPr>
          <w:sz w:val="19"/>
        </w:rPr>
        <w:t>Alle europäischen Länder – direkt vergleichbar mit Deutschland; GBD-Daten ermöglichen Vergleich von Versorgungsqualität und Prevention.</w:t>
      </w:r>
    </w:p>
    <w:p>
      <w:r>
        <w:rPr>
          <w:color w:val="5A7D3A"/>
          <w:sz w:val="18"/>
        </w:rPr>
        <w:t>https://pubmed.ncbi.nlm.nih.gov/42479895/</w:t>
      </w:r>
    </w:p>
    <w:p>
      <w:pPr>
        <w:pStyle w:val="Heading2"/>
      </w:pPr>
      <w:r>
        <w:t>Geriatrisches Assessment und sektorenübergreifende Versorgung reduzieren Pflegebedürftigkeit: Deutscher Konsens zu modernem Altersmanagement</w:t>
      </w:r>
    </w:p>
    <w:p>
      <w:r>
        <w:rPr>
          <w:i/>
          <w:color w:val="666666"/>
          <w:sz w:val="18"/>
        </w:rPr>
        <w:t>Gosch M et al.  ·  Z Gerontol Geriatr  ·  21.07.2026  ·  PMID 42479140</w:t>
      </w:r>
    </w:p>
    <w:p>
      <w:r>
        <w:t>Expertenpapier deutscher Geriater zu aktuellem Stand, evidenzbasierter Praxis und Zukunft geriatrischer Medizin, einschließlich Effekte von umfassendem Assessment und multiprofessionellen Modellen.</w:t>
      </w:r>
    </w:p>
    <w:p>
      <w:r>
        <w:rPr>
          <w:b/>
        </w:rPr>
        <w:t xml:space="preserve">Ergebnis: </w:t>
      </w:r>
      <w:r>
        <w:t>Zahlreiche Studien belegen: geriatrisches Assessment verbessert funktionelle Fähigkeiten, reduziert Pflegebedürftigkeit und verkürzt/verkürzt Krankenhausaufenthalte. Defizite bestehen in flächendeckender Versorgung, Finanzierung, Fachkräftemangel und Integration in andere Fachgebiete.</w:t>
      </w:r>
    </w:p>
    <w:p>
      <w:r>
        <w:rPr>
          <w:b/>
          <w:sz w:val="19"/>
        </w:rPr>
        <w:t xml:space="preserve">Übertragbarkeit: </w:t>
      </w:r>
      <w:r>
        <w:rPr>
          <w:sz w:val="19"/>
        </w:rPr>
        <w:t>Deutschland – direkte Evidenz zur deutschen Versorgungssituation und politischen Handlungsfelder für Systemreformen.</w:t>
      </w:r>
    </w:p>
    <w:p>
      <w:r>
        <w:rPr>
          <w:color w:val="5A7D3A"/>
          <w:sz w:val="18"/>
        </w:rPr>
        <w:t>https://pubmed.ncbi.nlm.nih.gov/42479140/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Gesundes Altern und Longevity</dc:title>
  <dc:subject/>
  <dc:creator>Monitor Versorgungsforschung</dc:creator>
  <cp:keywords/>
  <dc:description>generated by python-docx</dc:description>
  <cp:lastModifiedBy/>
  <cp:revision>1</cp:revision>
  <dcterms:created xsi:type="dcterms:W3CDTF">2026-10-11T06:00:00Z</dcterms:created>
  <dcterms:modified xsi:type="dcterms:W3CDTF">2026-10-11T06:00:00Z</dcterms:modified>
  <cp:category/>
</cp:coreProperties>
</file>