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29.09.2026  |  6 Studien  |  longevity.m-vf.de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Funktionsfähigkeit und Frailty-Screening bei älteren Patienten mit Lungenkrebs: Prädiktion von Pflegeabhängigkeit</w:t>
      </w:r>
    </w:p>
    <w:p>
      <w:r>
        <w:rPr>
          <w:i/>
          <w:color w:val="666666"/>
          <w:sz w:val="18"/>
        </w:rPr>
        <w:t>Bulut H et al.  ·  Cancer Causes Control  ·  28.09.2026  ·  PMID 42802193</w:t>
      </w:r>
    </w:p>
    <w:p>
      <w:r>
        <w:t>Querschnittsstudie an 410 älteren Patienten mit Lungenkrebs (Durchschnittsalter 70,8 Jahre) zur Vorhersage von Pflegeabhängigkeit durch Alltagsfunktionsfähigkeit (ADL) und Frailty.</w:t>
      </w:r>
    </w:p>
    <w:p>
      <w:r>
        <w:rPr>
          <w:b/>
        </w:rPr>
        <w:t xml:space="preserve">Ergebnis: </w:t>
      </w:r>
      <w:r>
        <w:t>Funktionsfähigkeit und Frailty erklärten 81,5% der Varianz in Pflegeabhängigkeit (adjustiertes R² = 0,815; p &lt; 0,001). Höhere ADL-Werte waren mit höherer Pflegeabhängigkeit assoziiert (B = 2,344, β = 0,309, p &lt; 0,001), höhere Frailty-Werte mit niedrigerer Pflegeabhängigkeit (B = −2,391, β = −0,652, p &lt; 0,001). Frailty-Screening und funktionales Assessment können hochrisiko-Patienten früh identifizieren.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ähnliche geriatrische Versorgungsherausforderungen wie Deutschland</w:t>
      </w:r>
    </w:p>
    <w:p>
      <w:r>
        <w:rPr>
          <w:color w:val="5A7D3A"/>
          <w:sz w:val="18"/>
        </w:rPr>
        <w:t>https://pubmed.ncbi.nlm.nih.gov/42802193/</w:t>
      </w:r>
    </w:p>
    <w:p>
      <w:pPr>
        <w:pStyle w:val="Heading2"/>
      </w:pPr>
      <w:r>
        <w:t>Urinkontinenz bei älteren Frauen: Unterbehandlung sinkt bei Symptom-Fokus, nicht mit steigendem Alter</w:t>
      </w:r>
    </w:p>
    <w:p>
      <w:r>
        <w:rPr>
          <w:i/>
          <w:color w:val="666666"/>
          <w:sz w:val="18"/>
        </w:rPr>
        <w:t>Uğur DN et al.  ·  Medicina (Kaunas)  ·  16.09.2026  ·  PMID 42796384</w:t>
      </w:r>
    </w:p>
    <w:p>
      <w:r>
        <w:t>Beobachtungsstudie an 480 Frauen (≥ 65 Jahre) in drei Altersgruppen zur Behandlungslücke bei Stress- und gemischter Harninkontinenz und zur Rolle von Frailty und Symptom-Schweregrad.</w:t>
      </w:r>
    </w:p>
    <w:p>
      <w:r>
        <w:rPr>
          <w:b/>
        </w:rPr>
        <w:t xml:space="preserve">Ergebnis: </w:t>
      </w:r>
      <w:r>
        <w:t>Behandlungslücken-Prävalenz stieg von 33,8% (65–74 Jahre) auf 44,4% (75–84 Jahre) und 55,0% (≥85 Jahre). Nach Adjustierung war Alter nicht unabhängig assoziiert. Höhere ICIQ-UI-SF-Werte (adjustiertes Odds Ratio 1,10 pro Punkt; 95%CI 1,02–1,19) und Stress-Mischinkontinenz (aOR 1,53; 95%CI 1,03–2,25) blieben assoziiert. Symptom-Schweregrad erklärt Unterbehandlung besser als Chronologie.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gyn. Versorgungsstrukturen vergleichbar mit Mitteleuropa</w:t>
      </w:r>
    </w:p>
    <w:p>
      <w:r>
        <w:rPr>
          <w:color w:val="5A7D3A"/>
          <w:sz w:val="18"/>
        </w:rPr>
        <w:t>https://pubmed.ncbi.nlm.nih.gov/42796384/</w:t>
      </w:r>
    </w:p>
    <w:p>
      <w:pPr>
        <w:pStyle w:val="Heading2"/>
      </w:pPr>
      <w:r>
        <w:t>Skelettmuskelreaktion auf kombiniertes Training bei älteren Erwachsenen: RNA-Sequenzierung und Polyphenole</w:t>
      </w:r>
    </w:p>
    <w:p>
      <w:r>
        <w:rPr>
          <w:i/>
          <w:color w:val="666666"/>
          <w:sz w:val="18"/>
        </w:rPr>
        <w:t>Guadalupe-Grau A et al.  ·  J Cachexia Sarcopenia Muscle  ·  Okt. 2026  ·  PMID 42788414</w:t>
      </w:r>
    </w:p>
    <w:p>
      <w:r>
        <w:t>Randomisierte Doppelblindstudie mit 38 älteren Erwachsenen (55–70 Jahre) zur Wirkung von 12 Wochen kombiniertem Widerstands- und High-Intensity-Intervalltraining auf die Skelettmuskel-Transkriptomik mit oder ohne Polyphenol-Supplementation.</w:t>
      </w:r>
    </w:p>
    <w:p>
      <w:r>
        <w:rPr>
          <w:b/>
        </w:rPr>
        <w:t xml:space="preserve">Ergebnis: </w:t>
      </w:r>
      <w:r>
        <w:t>RT + HIIT induzierte überwiegend gering-ausgeprägte transkriptomische Veränderungen. Sieben von 60 FDR-signifikanten Transkripten überschritten die Effektgrößen-Schwelle (|log2FC| &gt; 1), einschließlich Hochregulation von CLLU1 (log2FC = 3,10; FDR = 0,0155) und PRND (log2FC = 2,60; FDR = 0,02). Polyphenol-Supplementation beeinlusste die transkriptomische Reaktion nicht bedeutsam. Robuste Pathway-Adaptationen waren nicht erkennbar.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Kohorten, methodisch vergleichbar mit deutschen Fitness-Studien</w:t>
      </w:r>
    </w:p>
    <w:p>
      <w:r>
        <w:rPr>
          <w:color w:val="5A7D3A"/>
          <w:sz w:val="18"/>
        </w:rPr>
        <w:t>https://pubmed.ncbi.nlm.nih.gov/42788414/</w:t>
      </w:r>
    </w:p>
    <w:p>
      <w:pPr>
        <w:pStyle w:val="Heading2"/>
      </w:pPr>
      <w:r>
        <w:t>Altersgerechte smartphone-gestützte kognitive Fernbeurteilung: generationsspezifische Unterschiede in Adhärenz und Zuverlässigkeit</w:t>
      </w:r>
    </w:p>
    <w:p>
      <w:r>
        <w:rPr>
          <w:i/>
          <w:color w:val="666666"/>
          <w:sz w:val="18"/>
        </w:rPr>
        <w:t>Katteri S et al.  ·  Alzheimers Dement  ·  Sept. 2026  ·  PMID 42781715</w:t>
      </w:r>
    </w:p>
    <w:p>
      <w:r>
        <w:t>Vergleichende Studie bei 444 älteren Erwachsenen und 113 jüngeren/mittelalten Probanden zur Machbarkeit smartphone-basierter kognitiver Tests bis zu viermal täglich über 7 Tage und zum Vergleich mit standardisierter Klinik-Batterie.</w:t>
      </w:r>
    </w:p>
    <w:p>
      <w:r>
        <w:rPr>
          <w:b/>
        </w:rPr>
        <w:t xml:space="preserve">Ergebnis: </w:t>
      </w:r>
      <w:r>
        <w:t>Ältere Erwachsene zeigten höhere Adhärenz als jüngere (78 % vs. 59 %). Jüngere erreichten höhere Zuverlässigkeit mit weniger Sitzungen und zeigten viel kleinere Lerneffekte. Smartphone-zu-Klinik-Korrelationen waren in beiden Altersgruppen stark. Generationelle Unterschiede beeinflussen Design und Umsetzung smartphone-gestützter Studien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Methodologie zur Remote-Kognition altersunabhängig übertragbar</w:t>
      </w:r>
    </w:p>
    <w:p>
      <w:r>
        <w:rPr>
          <w:color w:val="5A7D3A"/>
          <w:sz w:val="18"/>
        </w:rPr>
        <w:t>https://pubmed.ncbi.nlm.nih.gov/42781715/</w:t>
      </w:r>
    </w:p>
    <w:p>
      <w:pPr>
        <w:pStyle w:val="Heading2"/>
      </w:pPr>
      <w:r>
        <w:t>Proteinbasierte Inflammaging-Signaturen zur Mortalitätsvorhersage: C-Index 0,758 für alle Ursachen</w:t>
      </w:r>
    </w:p>
    <w:p>
      <w:r>
        <w:rPr>
          <w:i/>
          <w:color w:val="666666"/>
          <w:sz w:val="18"/>
        </w:rPr>
        <w:t>Jiang Z et al.  ·  Exp Gerontol  ·  15.10.2026  ·  PMID 42731645</w:t>
      </w:r>
    </w:p>
    <w:p>
      <w:r>
        <w:t>Große UK-Biobank-Studie (n = 40.471) zur Entwicklung eines proteingestützten Inflammaging-Scores aus 1.112 Proteinen, assoziiert mit Mortalität und Multimorbidität.</w:t>
      </w:r>
    </w:p>
    <w:p>
      <w:r>
        <w:rPr>
          <w:b/>
        </w:rPr>
        <w:t xml:space="preserve">Ergebnis: </w:t>
      </w:r>
      <w:r>
        <w:t>Proteinbasierter Inflammaging-Score war positiv mit allen-Ursachen-Sterblichkeit assoziiert (HR = 1,88; 95%CI: 1,79–1,98). Vereinfachte Version (93 Proteine) erreichte gleichwertig HR = 1,88 (95%CI: 1,79–1,97). C-Index für Sterblichkeit mit klinischen Indizes plus vereinfachtem Score: 0,758 (95%CI: 0,752–0,765). ProteinBasierter Score outperformte konventionelle Inflammations- und Alternsbiomarker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Proteinmarker-Verband mit Mortalität biologisch universell</w:t>
      </w:r>
    </w:p>
    <w:p>
      <w:r>
        <w:rPr>
          <w:color w:val="5A7D3A"/>
          <w:sz w:val="18"/>
        </w:rPr>
        <w:t>https://pubmed.ncbi.nlm.nih.gov/42731645/</w:t>
      </w:r>
    </w:p>
    <w:p>
      <w:pPr>
        <w:pStyle w:val="Heading2"/>
      </w:pPr>
      <w:r>
        <w:t>Kognitive Effizienz und Lebenszufriedenheit bei älteren Sarden: digitales Screening und Freizeit-Aktivitäten</w:t>
      </w:r>
    </w:p>
    <w:p>
      <w:r>
        <w:rPr>
          <w:i/>
          <w:color w:val="666666"/>
          <w:sz w:val="18"/>
        </w:rPr>
        <w:t>Fastame MC et al.  ·  Exp Gerontol  ·  15.10.2026  ·  PMID 42685868</w:t>
      </w:r>
    </w:p>
    <w:p>
      <w:r>
        <w:t>Querschnittsstudie an 127 älteren Erwachsenen (Durchschnittsalter 73,1 Jahre) auf Sardinien zu Korrelaten der Lebenszufriedenheit mittels digital-gestützter kognitiver Screening (DIGICOG-MS).</w:t>
      </w:r>
    </w:p>
    <w:p>
      <w:r>
        <w:rPr>
          <w:b/>
        </w:rPr>
        <w:t xml:space="preserve">Ergebnis: </w:t>
      </w:r>
      <w:r>
        <w:t>Nach Kontrolle für Alter, Bildung und globale kognitive Effizienz waren wahrgenommene Gesundheit, Freizeitzeit, verbale semantische Flüssigkeit, auditives verbales Lernen und unmittelbare Erinnerung signifikant mit Lebenszufriedenheit assoziiert (adjustiertes R² = 0,198, F(8,117) = 4,860, p &lt; 0,001). DIGICOG-MS-Benutzerfreundlichkeit war höher bei niedrigerer Bildung; Tool erwies sich als intuitiv und abbaut Bildungsgrenzen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Mittelmeerraum – ähnliche Bevölkerungsstruktur wie südliches Europa</w:t>
      </w:r>
    </w:p>
    <w:p>
      <w:r>
        <w:rPr>
          <w:color w:val="5A7D3A"/>
          <w:sz w:val="18"/>
        </w:rPr>
        <w:t>https://pubmed.ncbi.nlm.nih.gov/42685868/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