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28.08.2026  |  6 Studien  |  longevity.m-vf.de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Territoriale Ungleichheiten von Gebrechlichkeit und Langlebigkeit in Italien</w:t>
      </w:r>
    </w:p>
    <w:p>
      <w:r>
        <w:rPr>
          <w:i/>
          <w:color w:val="666666"/>
          <w:sz w:val="18"/>
        </w:rPr>
        <w:t>Maccheroni C et al.  ·  Int J Environ Res Public Health  ·  23.07.2026  ·  PMID 42652263</w:t>
      </w:r>
    </w:p>
    <w:p>
      <w:r>
        <w:t>Analyse der geografischen Verteilung von Frailty, funktionalen Einschränkungen und Anspruch auf öffentliche Unterstützung in 21 italienischen Regionen auf Basis von Istat-, Eurostat- und INPS-Daten.</w:t>
      </w:r>
    </w:p>
    <w:p>
      <w:r>
        <w:rPr>
          <w:b/>
        </w:rPr>
        <w:t xml:space="preserve">Ergebnis: </w:t>
      </w:r>
      <w:r>
        <w:t>Italien zeigt hohe Lebenserwartung (Frauen 85,4, Männer 81,4 Jahre), aber gesunde Lebensjahre von nur 69,6 bzw. 68,5 Jahren. Der Süden und die Inseln weisen deutlich höhere Frailty-Prävalenz, mehr funktionale Einschränkungen und höhere Ansprüche auf öffentliche Hilfe auf als Zentrum-Nord. Frauen erleben längere Leben mit mehr Behinderung und Abhängigkeit.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vollständige nationale Registeranalyse, europäisches Wohlfahrtssystem</w:t>
      </w:r>
    </w:p>
    <w:p>
      <w:r>
        <w:rPr>
          <w:color w:val="5A7D3A"/>
          <w:sz w:val="18"/>
        </w:rPr>
        <w:t>https://pubmed.ncbi.nlm.nih.gov/42652263/</w:t>
      </w:r>
    </w:p>
    <w:p>
      <w:pPr>
        <w:pStyle w:val="Heading2"/>
      </w:pPr>
      <w:r>
        <w:t>Kognitive Frailty bei älteren Herzinsuffizienzpatienten: systematische Übersicht</w:t>
      </w:r>
    </w:p>
    <w:p>
      <w:r>
        <w:rPr>
          <w:i/>
          <w:color w:val="666666"/>
          <w:sz w:val="18"/>
        </w:rPr>
        <w:t>Cheng M et al.  ·  Front Public Health  ·  11.08.2026  ·  PMID 42644078</w:t>
      </w:r>
    </w:p>
    <w:p>
      <w:r>
        <w:t>Systematische Übersicht und Metaanalyse von 22 Kohortenstudien (8.892 Patienten ≥65 Jahre mit Herzinsuffizienz) zur Prävalenz und Faktoren kognitiver Frailty.</w:t>
      </w:r>
    </w:p>
    <w:p>
      <w:r>
        <w:rPr>
          <w:b/>
        </w:rPr>
        <w:t xml:space="preserve">Ergebnis: </w:t>
      </w:r>
      <w:r>
        <w:t>Gepoolte Prävalenz kognitiver Frailty: 32 % (95%-KI 27–37 %). Bei Frauen 37 %, bei Männern 31 %. Nach NYHA-Klassifikation bei Klasse IV 44 %, Klasse II–III 28 %. Mit COPD-Komorbidität 46 %. Höheres Alter (bereinigt OR 1,12, 95%-KI 1,06–1,18) und Depression assoziiert mit höheren Odds; körperliche Aktivität und intellektuelle Aktivität mit niedrigeren Odds.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Mehrländerstudie, überwiegend observativ, Versorgungsrelevanz für Herzinsuffizienz</w:t>
      </w:r>
    </w:p>
    <w:p>
      <w:r>
        <w:rPr>
          <w:color w:val="5A7D3A"/>
          <w:sz w:val="18"/>
        </w:rPr>
        <w:t>https://pubmed.ncbi.nlm.nih.gov/42644078/</w:t>
      </w:r>
    </w:p>
    <w:p>
      <w:pPr>
        <w:pStyle w:val="Heading2"/>
      </w:pPr>
      <w:r>
        <w:t>Erhöhte Arbeitsunfälle durch verzögerte Pensionierung im Alter</w:t>
      </w:r>
    </w:p>
    <w:p>
      <w:r>
        <w:rPr>
          <w:i/>
          <w:color w:val="666666"/>
          <w:sz w:val="18"/>
        </w:rPr>
        <w:t>Ardito C et al.  ·  Econ Hum Biol  ·  10.08.2026  ·  PMID 42617339</w:t>
      </w:r>
    </w:p>
    <w:p>
      <w:r>
        <w:t>Evaluation des Effekts der italienischen Rentenreform 2012 (Erhöhung der Anspruchsaltersgrenze) auf Arbeitsunfallrisiken bei älteren Erwerbstätigen mittels administrativer Daten aus der Privatwirtschaft.</w:t>
      </w:r>
    </w:p>
    <w:p>
      <w:r>
        <w:rPr>
          <w:b/>
        </w:rPr>
        <w:t xml:space="preserve">Ergebnis: </w:t>
      </w:r>
      <w:r>
        <w:t>Verzögerte Pensionierung führte zu statistisch signifikantem Anstieg krankheitsbedingter Abwesenheit durch Arbeitsunfälle um 2,6 % gegenüber dem Ausgangswert. Der Effekt konzentriert sich auf Kleinbetriebe (unter 15 Angestellten) und körperlich oder kognitiv fordernde Sektoren wie Fertigung. Kein Spillover-Effekt auf Arbeitskollegen.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administrative Privatwirtschaftsdaten, vergleichbare Sozialversicherungssysteme</w:t>
      </w:r>
    </w:p>
    <w:p>
      <w:r>
        <w:rPr>
          <w:color w:val="5A7D3A"/>
          <w:sz w:val="18"/>
        </w:rPr>
        <w:t>https://pubmed.ncbi.nlm.nih.gov/42617339/</w:t>
      </w:r>
    </w:p>
    <w:p>
      <w:pPr>
        <w:pStyle w:val="Heading2"/>
      </w:pPr>
      <w:r>
        <w:t>Lebenserwartung und Gesundheitslebensjahre von Migranten in England und Wales</w:t>
      </w:r>
    </w:p>
    <w:p>
      <w:r>
        <w:rPr>
          <w:i/>
          <w:color w:val="666666"/>
          <w:sz w:val="18"/>
        </w:rPr>
        <w:t>Harrison J et al.  ·  PLoS One  ·  19.08.2026  ·  PMID 42616754</w:t>
      </w:r>
    </w:p>
    <w:p>
      <w:r>
        <w:t>Vergleich der Lebenserwartung und behinderungsfreien Lebensjahre bei 37 Ländern von Geburtsort in England und Wales über drei Zeitpunkte (2000–02, 2010–12, 2020–22) mittels Lebenstafeln und Sullivan-Methode.</w:t>
      </w:r>
    </w:p>
    <w:p>
      <w:r>
        <w:rPr>
          <w:b/>
        </w:rPr>
        <w:t xml:space="preserve">Ergebnis: </w:t>
      </w:r>
      <w:r>
        <w:t>Heterogene Muster: Die meisten Migrantengruppen zeigten höhere Lebenserwartung und behinderungsfreie Lebensjahre als in England und Wales geborene; einige der größten Migrantengruppen (Schottland, Irland, Polen, Litauen) zeigten niedrigere Lebenserwartung und höhere Behinderungslasten. Frauen aus Pakistan und Bangladesch lebten länger, aber mit mehr Behinderung.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nationale Zensus- und Mortalitätsdaten, vergleichbares Versicherungssystem</w:t>
      </w:r>
    </w:p>
    <w:p>
      <w:r>
        <w:rPr>
          <w:color w:val="5A7D3A"/>
          <w:sz w:val="18"/>
        </w:rPr>
        <w:t>https://pubmed.ncbi.nlm.nih.gov/42616754/</w:t>
      </w:r>
    </w:p>
    <w:p>
      <w:pPr>
        <w:pStyle w:val="Heading2"/>
      </w:pPr>
      <w:r>
        <w:t>Milde Bewegungstremor korreliert mit kognitiver Beeinträchtigung im Alter</w:t>
      </w:r>
    </w:p>
    <w:p>
      <w:r>
        <w:rPr>
          <w:i/>
          <w:color w:val="666666"/>
          <w:sz w:val="18"/>
        </w:rPr>
        <w:t>Kuhlenbäumer G et al.  ·  J Neurol  ·  11.08.2026  ·  PMID 42581283</w:t>
      </w:r>
    </w:p>
    <w:p>
      <w:r>
        <w:t>Querschnittsanalyse der KORA-Age-Studie (65–93 Jahre) zur Assoziation zwischen Tremorschweregrad (Archimedes-Spiral-Rating) und kognitiver Leistung (TICS-m) unter Verwendung multivariater Regression.</w:t>
      </w:r>
    </w:p>
    <w:p>
      <w:r>
        <w:rPr>
          <w:b/>
        </w:rPr>
        <w:t xml:space="preserve">Ergebnis: </w:t>
      </w:r>
      <w:r>
        <w:t>Tremorschweregrad war unabhängig mit kognitiver Leistung assoziiert. Im finalen Modell waren wichtigste Prädiktoren: Alter, Geschlecht, Parkinson-Score, Frailty und Tremor. Sensitivitätsanalysen unter Ausschluss wahrscheinlich pathologischer Tremoren attenuierten die Assoziation nicht. Altersbedingte Hirnveränderungen könnten gemeinsame Ursache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KORA-Bevölkerungskohort, nationale Datengrundlage</w:t>
      </w:r>
    </w:p>
    <w:p>
      <w:r>
        <w:rPr>
          <w:color w:val="5A7D3A"/>
          <w:sz w:val="18"/>
        </w:rPr>
        <w:t>https://pubmed.ncbi.nlm.nih.gov/42581283/</w:t>
      </w:r>
    </w:p>
    <w:p>
      <w:pPr>
        <w:pStyle w:val="Heading2"/>
      </w:pPr>
      <w:r>
        <w:t>Geriatrische Rehabilitation verbessert Funktionalität bei Mangelernährungsrisiko</w:t>
      </w:r>
    </w:p>
    <w:p>
      <w:r>
        <w:rPr>
          <w:i/>
          <w:color w:val="666666"/>
          <w:sz w:val="18"/>
        </w:rPr>
        <w:t>Runikhina NK et al.  ·  Adv Gerontol  ·  2026  ·  PMID 42502926</w:t>
      </w:r>
    </w:p>
    <w:p>
      <w:r>
        <w:t>Evaluierung von 21-Tage-Rehabilitationsprogrammen bei 482 älteren Patienten (60+ Jahre) mit (96, 19,9 %) und ohne Mangelernährungsrisiko durch umfassende geriatrische Bewertung vor und nach Intervention.</w:t>
      </w:r>
    </w:p>
    <w:p>
      <w:r>
        <w:rPr>
          <w:b/>
        </w:rPr>
        <w:t xml:space="preserve">Ergebnis: </w:t>
      </w:r>
      <w:r>
        <w:t>Beide Gruppen verbesserten sich signifikant in Funktionalität, kognitiver Leistung und Schmerz/Schlaf/Depression. Patienten mit Mangelernährungsrisiko waren älter (80,3 vs. 78,2 Jahre), hatten mehr Frailty (52,1 % vs. 30,9 %), mehr Stürze (36,8 % vs. 25,3 %) und Depression (40,6 % vs. 20,8 %). Diese Gruppe zeigte deutlich größere Verbesserungen in basaler und instrumenteller Funktionalität.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Russland, Pirogov-Universitätsklinik, europäischer Gesundheitsauftrag vergleichbar</w:t>
      </w:r>
    </w:p>
    <w:p>
      <w:r>
        <w:rPr>
          <w:color w:val="5A7D3A"/>
          <w:sz w:val="18"/>
        </w:rPr>
        <w:t>https://pubmed.ncbi.nlm.nih.gov/42502926/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