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06.09.2026  |  6 Studien  |  longevity.m-vf.de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Orale Gesundheit und orale Gebrechlichkeit bei älteren hospitalisierten Patienten</w:t>
      </w:r>
    </w:p>
    <w:p>
      <w:r>
        <w:rPr>
          <w:i/>
          <w:color w:val="666666"/>
          <w:sz w:val="18"/>
        </w:rPr>
        <w:t>Ren Q et al.  ·  J Coll Physicians Surg Pak  ·  Sept. 2026  ·  PMID 42698252</w:t>
      </w:r>
    </w:p>
    <w:p>
      <w:r>
        <w:t>Querschnittsstudie mit 200 älteren Patienten: Beziehung zwischen Mundgesundheitsstatus (GOHAI, Wasserschluck-Test) und Oral Frailty Index-8 (OFI-8).</w:t>
      </w:r>
    </w:p>
    <w:p>
      <w:r>
        <w:rPr>
          <w:b/>
        </w:rPr>
        <w:t xml:space="preserve">Ergebnis: </w:t>
      </w:r>
      <w:r>
        <w:t>Signifikante Unterschiede in Alter, Mundgesundheitsindikatoren und Zahnfunktion zwischen Frailty- (n=55) und Non-Frailty-Gruppe (n=145). OFI-8 zeigt praktische Relevanz für Früherkennung oraler Gebrechlichkeit im klinischen Setting.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geriatrische Versorgung; Screening-Wert für deutsches Gesundheitswesen nutzbar</w:t>
      </w:r>
    </w:p>
    <w:p>
      <w:r>
        <w:rPr>
          <w:color w:val="5A7D3A"/>
          <w:sz w:val="18"/>
        </w:rPr>
        <w:t>https://pubmed.ncbi.nlm.nih.gov/42698252/</w:t>
      </w:r>
    </w:p>
    <w:p>
      <w:pPr>
        <w:pStyle w:val="Heading2"/>
      </w:pPr>
      <w:r>
        <w:t>FRAIL- und SARC-CalF-Skalen vorhersagen HFpEF-Risiko bei älteren Patienten</w:t>
      </w:r>
    </w:p>
    <w:p>
      <w:r>
        <w:rPr>
          <w:i/>
          <w:color w:val="666666"/>
          <w:sz w:val="18"/>
        </w:rPr>
        <w:t>Yu Y et al.  ·  J Coll Physicians Surg Pak  ·  Sept. 2026  ·  PMID 42698238</w:t>
      </w:r>
    </w:p>
    <w:p>
      <w:r>
        <w:t>Querschnittsstudie mit 134 hospitalisierten Patienten ≥60 Jahren: Umfassendes geriatrisches Assessment (CGA) mit Evaluierung von Gebrechlichkeit, Sarkopenie und Ernährung; Vorhersage von Herzinsuffizienz mit erhaltener Ejektionsfraktion (HFpEF).</w:t>
      </w:r>
    </w:p>
    <w:p>
      <w:r>
        <w:rPr>
          <w:b/>
        </w:rPr>
        <w:t xml:space="preserve">Ergebnis: </w:t>
      </w:r>
      <w:r>
        <w:t>FRAIL-Score OR 3,68 (95%KI 1,83–8,39), SARC-CalF-Score OR 1,47 (95%KI 1,21–1,86) unabhängig mit HFpEF assoziiert; AUC FRAIL 0,88, AUC SARC-CalF 0,89; optimale Schwellen 1,5 Punkte (Vor-Frailty) bzw. 11 Punkte.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FRAIL und SARC-CalF sind validiert international</w:t>
      </w:r>
    </w:p>
    <w:p>
      <w:r>
        <w:rPr>
          <w:color w:val="5A7D3A"/>
          <w:sz w:val="18"/>
        </w:rPr>
        <w:t>https://pubmed.ncbi.nlm.nih.gov/42698238/</w:t>
      </w:r>
    </w:p>
    <w:p>
      <w:pPr>
        <w:pStyle w:val="Heading2"/>
      </w:pPr>
      <w:r>
        <w:t>Depressive Symptome bei älteren Indonesiern: Prävalenz und Risikofaktoren</w:t>
      </w:r>
    </w:p>
    <w:p>
      <w:r>
        <w:rPr>
          <w:i/>
          <w:color w:val="666666"/>
          <w:sz w:val="18"/>
        </w:rPr>
        <w:t>Pengpid S et al.  ·  Psychogeriatrics  ·  Sept. 2026  ·  PMID 42698196</w:t>
      </w:r>
    </w:p>
    <w:p>
      <w:r>
        <w:t>Querschnittsanalyse von 3.808 Personen ≥45 Jahren aus indonesischer Longitudinal-Studie (ILAS 2023): Depressive Symptome (CES-D-10 ≥10) in Zusammenhang mit Hospitalisierung, Selbsteinschätzung der Gesundheit, Multisite-Schmerz, Übergewicht, Behinderung und religiöser Aktivität.</w:t>
      </w:r>
    </w:p>
    <w:p>
      <w:r>
        <w:rPr>
          <w:b/>
        </w:rPr>
        <w:t xml:space="preserve">Ergebnis: </w:t>
      </w:r>
      <w:r>
        <w:t>Depressive-Symptom-Prävalenz 9,3% (9,0% Männer, 9,6% Frauen). Hospitalisierung im vergangenen Jahr, schlechte Selbsteinschätzung, Multisite-Schmerz, Übergewicht und Behinderung positiv assoziiert; religiöse Aktivität protektiv (unadjustiert); bei Männern Rauchen zusätzlicher Risikofaktor.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Indonesien; kulturelle/epidemiologische Unterschiede, aber psychosoziale Prädiktoren universal</w:t>
      </w:r>
    </w:p>
    <w:p>
      <w:r>
        <w:rPr>
          <w:color w:val="5A7D3A"/>
          <w:sz w:val="18"/>
        </w:rPr>
        <w:t>https://pubmed.ncbi.nlm.nih.gov/42698196/</w:t>
      </w:r>
    </w:p>
    <w:p>
      <w:pPr>
        <w:pStyle w:val="Heading2"/>
      </w:pPr>
      <w:r>
        <w:t>Geriatrisches Assessment mit Frailty Index optimiert Vorhersage von Sterblichkeit im Alter</w:t>
      </w:r>
    </w:p>
    <w:p>
      <w:r>
        <w:rPr>
          <w:i/>
          <w:color w:val="666666"/>
          <w:sz w:val="18"/>
        </w:rPr>
        <w:t>Quach J et al.  ·  Age Ageing  ·  04.09.2026  ·  PMID 42696642</w:t>
      </w:r>
    </w:p>
    <w:p>
      <w:r>
        <w:t>Analyse von 3.669 Patienten mit kardiovaskulärer Erkrankung: Bei einzelnen Deficit-Items war die Vorhersagekraft für Mortalität besser als bei zusammengefassten Frailty-Index-Scores; 10 Defizite reichten aus, um Vorhersagekraft zu optimieren.</w:t>
      </w:r>
    </w:p>
    <w:p>
      <w:r>
        <w:rPr>
          <w:b/>
        </w:rPr>
        <w:t xml:space="preserve">Ergebnis: </w:t>
      </w:r>
      <w:r>
        <w:t>Mit 46 Einzelitems C-Index 0,71 (95%KI 0,69–0,74) vs. composite FI 0,64–0,67; mit ~10 Items konvergierte Performance der Importance-ranked FI mit zufällig gewählten FI. Die Deficit-Interchangeability-Annahme des FI hält nur bei ausreichender Itemanzahl.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Frailty-Index-Methodik international anerkannt</w:t>
      </w:r>
    </w:p>
    <w:p>
      <w:r>
        <w:rPr>
          <w:color w:val="5A7D3A"/>
          <w:sz w:val="18"/>
        </w:rPr>
        <w:t>https://pubmed.ncbi.nlm.nih.gov/42696642/</w:t>
      </w:r>
    </w:p>
    <w:p>
      <w:pPr>
        <w:pStyle w:val="Heading2"/>
      </w:pPr>
      <w:r>
        <w:t>Benachteiligte Kindheit verschlechtert kognitive Funktion im Alter unabhängig von Erwachsenen-Erkrankungen</w:t>
      </w:r>
    </w:p>
    <w:p>
      <w:r>
        <w:rPr>
          <w:i/>
          <w:color w:val="666666"/>
          <w:sz w:val="18"/>
        </w:rPr>
        <w:t>Ripamonti E et al.  ·  J Clin Exp Neuropsychol  ·  06.07.2026  ·  PMID 42403102</w:t>
      </w:r>
    </w:p>
    <w:p>
      <w:r>
        <w:t>Longitudinale Studie: 508 schwedische Ältere verfolgt über mehrere Jahre; Analyse der Assoziation zwischen Kindheitsbenachteiligung und kognitiver Funktion (MMSE) bzw. Behinderung (ADL/iADL) im Alter mit Mediationsanalyse durch Krankheitszahl und chronische Schmerzen.</w:t>
      </w:r>
    </w:p>
    <w:p>
      <w:r>
        <w:rPr>
          <w:b/>
        </w:rPr>
        <w:t xml:space="preserve">Ergebnis: </w:t>
      </w:r>
      <w:r>
        <w:t>Benachteiligte Kindheit mit niedrigeren MMSE-Werten bei Baseline assoziiert (β=-0,14 [95%KI -0,27,-0,02]), aber nicht mit zeitlichem Verlauf (β=-0,01 [95%KI -0,03,0,01]); Mediationsanalyse: Krankheitszahl/Schmerz erklären nur minimalen Teil; keine Assoziation mit ADL/iADL. Unterstützt Sensitive-Period-Hypothese.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(skandinavisches Sozialversicherungssystem), hochgradig übertragbar auf Deutschland</w:t>
      </w:r>
    </w:p>
    <w:p>
      <w:r>
        <w:rPr>
          <w:color w:val="5A7D3A"/>
          <w:sz w:val="18"/>
        </w:rPr>
        <w:t>https://pubmed.ncbi.nlm.nih.gov/42403102/</w:t>
      </w:r>
    </w:p>
    <w:p>
      <w:pPr>
        <w:pStyle w:val="Heading2"/>
      </w:pPr>
      <w:r>
        <w:t>Muskelleistung aus Sit-to-Stand-Test identifiziert Frailty bei älteren Community-Bewohnern</w:t>
      </w:r>
    </w:p>
    <w:p>
      <w:r>
        <w:rPr>
          <w:i/>
          <w:color w:val="666666"/>
          <w:sz w:val="18"/>
        </w:rPr>
        <w:t>Condon C et al.  ·  PLoS One  ·  02.07.2026  ·  PMID 42391194</w:t>
      </w:r>
    </w:p>
    <w:p>
      <w:r>
        <w:t>Querschnittsstudie mit 2.959 irischen Teilnehmern ≥50 Jahren: Geschätzte Muskelleistung aus 5×STS-Test verglichen mit Frailty-Index und etablierten Tests.</w:t>
      </w:r>
    </w:p>
    <w:p>
      <w:r>
        <w:rPr>
          <w:b/>
        </w:rPr>
        <w:t xml:space="preserve">Ergebnis: </w:t>
      </w:r>
      <w:r>
        <w:t>Schwellenwert &lt;2,5 Watt·kg⁻¹ Männer, &lt;2,08 Watt·kg⁻¹ Frauen mit erhöhtem Frailty-Risiko assoziiert; Sensitivität und Spezifität vergleichbar mit Timed Up and Go; praktisches Screening-Tool mit moderater Vorhersagekraft.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(vergleichbares Sozialversicherungssystem), einfach durchführbar in Praxen</w:t>
      </w:r>
    </w:p>
    <w:p>
      <w:r>
        <w:rPr>
          <w:color w:val="5A7D3A"/>
          <w:sz w:val="18"/>
        </w:rPr>
        <w:t>https://pubmed.ncbi.nlm.nih.gov/42391194/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