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25.09.2026  |  6 Studien  |  longevity.m-vf.de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Klinische Entscheidungsmuster von Physiotherapeuten bei Frailty in der Krankenpflege</w:t>
      </w:r>
    </w:p>
    <w:p>
      <w:r>
        <w:rPr>
          <w:i/>
          <w:color w:val="666666"/>
          <w:sz w:val="18"/>
        </w:rPr>
        <w:t>Bloch T et al.  ·  Age Ageing  ·  04.09.2026  ·  PMID 42784539</w:t>
      </w:r>
    </w:p>
    <w:p>
      <w:r>
        <w:t>Delphi-Studie mit 44 US-amerikanischen und kanadischen Therapeuten zu klinischen Reasoning-Strategien bei der Intervention für gebrechliche ältere Menschen in Pflegeheimen.</w:t>
      </w:r>
    </w:p>
    <w:p>
      <w:r>
        <w:rPr>
          <w:b/>
        </w:rPr>
        <w:t xml:space="preserve">Ergebnis: </w:t>
      </w:r>
      <w:r>
        <w:t>Fünf Konsensthemen erreichten ≥75%-Zustimmung: (i) Therapie-Engagement durch patientenzentrierte Aktivitäten, (ii) Mobilität und Bewegungssicherheit, (iii) funktionale Ergebnisse und Belastung, (iv) Schmerzmanagement und kognitive Variabilität, (v) aufgabenspezifische duale Interventionen für ADL-Transfer. 39 von 44 Teilnehmern (89%-Retentionsquote) schlossen alle Runden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USA/Kanada – Qualitative Evidenz zur Praxis in SNF; Adaptierbarkeit auf deutsches Versorgungssystem mit Anpassungen an Dokumentation und Ressourcen.</w:t>
      </w:r>
    </w:p>
    <w:p>
      <w:r>
        <w:rPr>
          <w:color w:val="5A7D3A"/>
          <w:sz w:val="18"/>
        </w:rPr>
        <w:t>https://pubmed.ncbi.nlm.nih.gov/42784539/</w:t>
      </w:r>
    </w:p>
    <w:p>
      <w:pPr>
        <w:pStyle w:val="Heading2"/>
      </w:pPr>
      <w:r>
        <w:t>Thorakale Muskelattenuation prägt Geschlechts-spezifische Mortalität nach Bypasschirurgie im Alter</w:t>
      </w:r>
    </w:p>
    <w:p>
      <w:r>
        <w:rPr>
          <w:i/>
          <w:color w:val="666666"/>
          <w:sz w:val="18"/>
        </w:rPr>
        <w:t>Krombholz-Reindl P et al.  ·  Med Sci (Basel)  ·  14.09.2026  ·  PMID 42783442</w:t>
      </w:r>
    </w:p>
    <w:p>
      <w:r>
        <w:t>Retrospektive Studie an 479 Patienten (382 Männer, 97 Frauen) untersucht, ob die Muskelqualität (gemessen als Hounsfield Units aus Routinen-CT) die Mortalität nach Koronarer Bypasschirurgie unabhängig vom EuroSCORE II vorhersagt – mit geschlechtsspezifischen Unterschieden.</w:t>
      </w:r>
    </w:p>
    <w:p>
      <w:r>
        <w:rPr>
          <w:b/>
        </w:rPr>
        <w:t xml:space="preserve">Ergebnis: </w:t>
      </w:r>
      <w:r>
        <w:t>Bei Frauen mit niedriger Muskelattenuation (TH4) betrugen die Hazard Ratios für Mortalität 6,6 (1 Jahr), 9,5 (3 Jahre), 6,4 (5 Jahre; alle p≤0,03). Bei Männern zeigte sich ein schwächerer Effekt, der nach Gewichtungsanpassung insignifikant wurde. Hinzufügen von niedriger Muskelattenuation zu EuroSCORE II erhöhte C-Statistik um 0,046 bei Frauen insgesamt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Österreich/Deutschland – Universitätszentren; Aussage unabhängig von Versorgungssystem.</w:t>
      </w:r>
    </w:p>
    <w:p>
      <w:r>
        <w:rPr>
          <w:color w:val="5A7D3A"/>
          <w:sz w:val="18"/>
        </w:rPr>
        <w:t>https://pubmed.ncbi.nlm.nih.gov/42783442/</w:t>
      </w:r>
    </w:p>
    <w:p>
      <w:pPr>
        <w:pStyle w:val="Heading2"/>
      </w:pPr>
      <w:r>
        <w:t>Feinstaub und Luftfeuchte verstärken Sturzrisiko und Schlaganfall im Alter durch Frailty</w:t>
      </w:r>
    </w:p>
    <w:p>
      <w:r>
        <w:rPr>
          <w:i/>
          <w:color w:val="666666"/>
          <w:sz w:val="18"/>
        </w:rPr>
        <w:t>Sun M et al.  ·  Front Public Health  ·  09.09.2026  ·  PMID 42780893</w:t>
      </w:r>
    </w:p>
    <w:p>
      <w:r>
        <w:t>Prospektive Kohortenstudie (CHARLS, n=17.197) und Krankenhaus-Stichprobe (n=782) zum Zusammenhang von PM2.5-Exposition, relativer Luftfeuchte und Schlaganfallrisiko, mit Frailty Index als potenzieller Mediator.</w:t>
      </w:r>
    </w:p>
    <w:p>
      <w:r>
        <w:rPr>
          <w:b/>
        </w:rPr>
        <w:t xml:space="preserve">Ergebnis: </w:t>
      </w:r>
      <w:r>
        <w:t>Hohes PM2.5 mit Schlaganfall-Hazard Ratio 1,184 (95% KI 1,083–1,295) in CHARLS. Hohe Luftfeuchte: HR 1,112 (95% KI 1,021–1,212). Beide Expositionen zusammen: HR 1,361 (95% KI 1,171–1,582). Frailty mediierte 18,1 % der PM2.5-Assoziation und 22,3 % der Feuchte-Assoziation.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CHARLS-Kohortendaten; Luftqualität und Klimavariablen sind in Deutschland unterschiedlich, aber Frailty-Pathway-Mechanismus ist übertragbar.</w:t>
      </w:r>
    </w:p>
    <w:p>
      <w:r>
        <w:rPr>
          <w:color w:val="5A7D3A"/>
          <w:sz w:val="18"/>
        </w:rPr>
        <w:t>https://pubmed.ncbi.nlm.nih.gov/42780893/</w:t>
      </w:r>
    </w:p>
    <w:p>
      <w:pPr>
        <w:pStyle w:val="Heading2"/>
      </w:pPr>
      <w:r>
        <w:t>Umfassende Frailty-Erfassung vorhersagt Mortalität nach Herzchirurgie besser als das Fried-Phänotyp allein</w:t>
      </w:r>
    </w:p>
    <w:p>
      <w:r>
        <w:rPr>
          <w:i/>
          <w:color w:val="666666"/>
          <w:sz w:val="18"/>
        </w:rPr>
        <w:t>Silva VBMD et al.  ·  Braz J Cardiovasc Surg  ·  21.09.2026  ·  PMID 42776132</w:t>
      </w:r>
    </w:p>
    <w:p>
      <w:r>
        <w:t>Prospektive Beobachtungsstudie mit 218 Herzchirurgie-Patienten (Klappenchirurgie oder CABG) zur Validierung von Frailty-Definitionen neben dem klassischen Fried-Kriterium durch zusätzliche ernährungsmedizinische, psychologische und funktionelle Variablen.</w:t>
      </w:r>
    </w:p>
    <w:p>
      <w:r>
        <w:rPr>
          <w:b/>
        </w:rPr>
        <w:t xml:space="preserve">Ergebnis: </w:t>
      </w:r>
      <w:r>
        <w:t>Nach Fried: 43,6 % frail, 49,6 % pre-frail. Fried-Phänotyp zeigte keine Assoziation mit Mortalität. Mit zusätzlichen Variablen identifizierte Clusteranalyse zwei Gruppen: In Cluster 1 waren 84,8 % Fried-frail (vs. 27,4 % in Cluster 2, p&lt;0,001), postoperative Infektionsrate 24,2 % vs. 7,1 % (p=0,022), Krankenhausmortalität 27,3 % vs. 9,5 % (p=0,020).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– herzchirurgische Versorgung vergleichbar; Frailty-Assessment-Prinzipien übertragbar auf deutsche Kliniken.</w:t>
      </w:r>
    </w:p>
    <w:p>
      <w:r>
        <w:rPr>
          <w:color w:val="5A7D3A"/>
          <w:sz w:val="18"/>
        </w:rPr>
        <w:t>https://pubmed.ncbi.nlm.nih.gov/42776132/</w:t>
      </w:r>
    </w:p>
    <w:p>
      <w:pPr>
        <w:pStyle w:val="Heading2"/>
      </w:pPr>
      <w:r>
        <w:t>Geriatrische Versorgungskonzepte bei trochantären Femurfrakturen senken Komplikationen und Mortalität</w:t>
      </w:r>
    </w:p>
    <w:p>
      <w:r>
        <w:rPr>
          <w:i/>
          <w:color w:val="666666"/>
          <w:sz w:val="18"/>
        </w:rPr>
        <w:t>Smolka V et al.  ·  Unfallchirurgie (Heidelb)  ·  24.08.2026  ·  PMID 42637918</w:t>
      </w:r>
    </w:p>
    <w:p>
      <w:r>
        <w:t>Übersichtsartikel zur interdisziplinären, multidimensionalen Betreuung geriatrischer Hüftfrakturen nach deutschen Richtlinien mit Fokus auf Schmerzmanagement, Frühmobilisation, Delir- und Ernährungsmanagement, Deprescribing und Sturzprophylaxe.</w:t>
      </w:r>
    </w:p>
    <w:p>
      <w:r>
        <w:rPr>
          <w:b/>
        </w:rPr>
        <w:t xml:space="preserve">Ergebnis: </w:t>
      </w:r>
      <w:r>
        <w:t>Multidimensionale Betreuung reduziert nachweislich die Mortalität, vermeidet Komplikationen durch adäquate Perioperativbetreuung, Frühmobilisation und Entlassungsplanung. Keine spezifischen Zahlenwerte im Abstract genannt, aber eindeutige Evidenz für Mortalitätsreduktion dokumentiert.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nationale Richtlinien des Gemeinsamen Bundesausschusses seit 2021.</w:t>
      </w:r>
    </w:p>
    <w:p>
      <w:r>
        <w:rPr>
          <w:color w:val="5A7D3A"/>
          <w:sz w:val="18"/>
        </w:rPr>
        <w:t>https://pubmed.ncbi.nlm.nih.gov/42637918/</w:t>
      </w:r>
    </w:p>
    <w:p>
      <w:pPr>
        <w:pStyle w:val="Heading2"/>
      </w:pPr>
      <w:r>
        <w:t>Produktivitäts-angepasste Lebenserwartung in Finnland: Normwerte für bezahlte und unbezahlte Arbeit</w:t>
      </w:r>
    </w:p>
    <w:p>
      <w:r>
        <w:rPr>
          <w:i/>
          <w:color w:val="666666"/>
          <w:sz w:val="18"/>
        </w:rPr>
        <w:t>Lavikainen P et al.  ·  Soc Sci Med  ·  20.08.2026  ·  PMID 42632184</w:t>
      </w:r>
    </w:p>
    <w:p>
      <w:r>
        <w:t>Bevölkerungssurvey von 3.644 finnischen Erwachsenen (Juni–August 2024, Alter 18–79 Jahre) zur Schätzung von Produktivitätsindizes nach Alter und Geschlecht für bezahlte und unbezahlte Arbeit.</w:t>
      </w:r>
    </w:p>
    <w:p>
      <w:r>
        <w:rPr>
          <w:b/>
        </w:rPr>
        <w:t xml:space="preserve">Ergebnis: </w:t>
      </w:r>
      <w:r>
        <w:t>Gewichteter Produktivitätsindex für Gesamtpopulation: 0,770 (Männer 0,780; Frauen 0,760). Produktivitäts-angepasste Lebenserwartung (PALE) mit Undiskontiert für Männer im Alter 20: 42,9 Jahre, mit 1,5%-Diskont 29,3 Jahre. Für Frauen: 46,1, 30,4 Jahre entsprechend. Erste bevölkerungsrepräsentative Normwerte für nordische Länder.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 – Nordeuropa mit vergleichbarem Sozialsystem; für Deutschland übertragbar auf Struktur, Finanzierung unterscheidet sich.</w:t>
      </w:r>
    </w:p>
    <w:p>
      <w:r>
        <w:rPr>
          <w:color w:val="5A7D3A"/>
          <w:sz w:val="18"/>
        </w:rPr>
        <w:t>https://pubmed.ncbi.nlm.nih.gov/42632184/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2026-09-25T06:00:00Z</dcterms:created>
  <dcterms:modified xsi:type="dcterms:W3CDTF">2026-09-25T06:00:00Z</dcterms:modified>
  <cp:category/>
</cp:coreProperties>
</file>