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14.10.2026  |  6 Studien  |  longevity.m-vf.de</w:t>
      </w:r>
    </w:p>
    <w:p>
      <w:pPr>
        <w:pStyle w:val="Heading1"/>
      </w:pPr>
      <w:r>
        <w:t>Aufgenommen am 14.10.2026</w:t>
      </w:r>
    </w:p>
    <w:p>
      <w:pPr>
        <w:pStyle w:val="Heading2"/>
      </w:pPr>
      <w:r>
        <w:t>Schlafqualität als Vermittler zwischen Frailty und kognitiver Beeinträchtigung</w:t>
      </w:r>
    </w:p>
    <w:p>
      <w:r>
        <w:rPr>
          <w:i/>
          <w:color w:val="666666"/>
          <w:sz w:val="18"/>
        </w:rPr>
        <w:t>Chen L et al.  ·  Nurs Open  ·  Okt. 2026  ·  PMID 42868268</w:t>
      </w:r>
    </w:p>
    <w:p>
      <w:r>
        <w:t>Querschnittstudie an 2.830 Personen ab 60 Jahren in China untersuchte, ob Schlafqualität die Beziehung zwischen körperlicher Gebrechlichkeit (Frailty) und kognitiver Beeinträchtigung erklärt.</w:t>
      </w:r>
    </w:p>
    <w:p>
      <w:r>
        <w:rPr>
          <w:b/>
        </w:rPr>
        <w:t xml:space="preserve">Ergebnis: </w:t>
      </w:r>
      <w:r>
        <w:t>Kognitive Beeinträchtigung lag bei 21,77% vor. Schlafqualität vermittelte partiell die Beziehung zwischen Frailty und kognitiver Beeinträchtigung und erklärte 12,37 % des Gesamteffekts. Bessere Schlafqualität senkte signifikant das Risiko für kognitiven Verfall bei gebrechlichen älteren Menschen.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Frailty-Screening und Schlafintervention sind geriatrischer Standard überall.</w:t>
      </w:r>
    </w:p>
    <w:p>
      <w:r>
        <w:rPr>
          <w:color w:val="5A7D3A"/>
          <w:sz w:val="18"/>
        </w:rPr>
        <w:t>https://pubmed.ncbi.nlm.nih.gov/42868268/</w:t>
      </w:r>
    </w:p>
    <w:p>
      <w:pPr>
        <w:pStyle w:val="Heading2"/>
      </w:pPr>
      <w:r>
        <w:t>Strukturelles Training und kognitive Aktivitäten verlängern demenzfreie Lebensjahre</w:t>
      </w:r>
    </w:p>
    <w:p>
      <w:r>
        <w:rPr>
          <w:i/>
          <w:color w:val="666666"/>
          <w:sz w:val="18"/>
        </w:rPr>
        <w:t>Li X et al.  ·  Alzheimers Dement  ·  Okt. 2026  ·  PMID 42867075</w:t>
      </w:r>
    </w:p>
    <w:p>
      <w:r>
        <w:t>Vierjährige prospektive Kohortenstudie (vier internationale Kohorten) untersuchte, wie körperliche Aktivität und kognitiv-soziale Aktivitäten zusammenhängen und die demenzfreie Lebenserwartung ab 50 Jahren beeinflussen.</w:t>
      </w:r>
    </w:p>
    <w:p>
      <w:r>
        <w:rPr>
          <w:b/>
        </w:rPr>
        <w:t xml:space="preserve">Ergebnis: </w:t>
      </w:r>
      <w:r>
        <w:t>Demenzfreie Lebenserwartung ab 50 Jahren betrug 17,5 Jahre (niedrig-niedrig), 23,2 Jahre (hoch-niedrig), 20,1 Jahre (niedrig-hoch) und 24,7 Jahre (hoch-hoch). Strukturelles Training und kognitiv-soziale Aktivitäten zeigten kombinierte, nicht austauschbare Vorteile – beide Faktoren sind erforderlich für optimale kognitive Alterung.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Vier Kohorten aus Asien, Nordamerika, Europa; Befunde gelten kulturübergreifend.</w:t>
      </w:r>
    </w:p>
    <w:p>
      <w:r>
        <w:rPr>
          <w:color w:val="5A7D3A"/>
          <w:sz w:val="18"/>
        </w:rPr>
        <w:t>https://pubmed.ncbi.nlm.nih.gov/42867075/</w:t>
      </w:r>
    </w:p>
    <w:p>
      <w:pPr>
        <w:pStyle w:val="Heading2"/>
      </w:pPr>
      <w:r>
        <w:t>Soziale Unterstützung mildert Frailty-Effekte auf Kognition im Krankenhaus</w:t>
      </w:r>
    </w:p>
    <w:p>
      <w:r>
        <w:rPr>
          <w:i/>
          <w:color w:val="666666"/>
          <w:sz w:val="18"/>
        </w:rPr>
        <w:t>Dai J et al.  ·  Front Public Health  ·  28.09.2026  ·  PMID 42865808</w:t>
      </w:r>
    </w:p>
    <w:p>
      <w:r>
        <w:t>Querschnittstudie an 1.611 hospitalisierten Personen ≥60 Jahren untersuchte, wie Frailty auf Kognition wirkt und ob soziale Unterstützung diese Beziehung puffert.</w:t>
      </w:r>
    </w:p>
    <w:p>
      <w:r>
        <w:rPr>
          <w:b/>
        </w:rPr>
        <w:t xml:space="preserve">Ergebnis: </w:t>
      </w:r>
      <w:r>
        <w:t>Der Gesamteffekt von Frailty auf niedrigere kognitive Scores war statistisch nicht signifikant (p&gt;0,05), aber der indirekte Effekt über Depressionen und eingeschränkte Alltagsfunktionen erklärte 88,8 % der Assoziation. Soziale Unterstützung moderierte den Frailty-BADL-Link (B=0,120, p&lt;0,001) und den GDS-MMSE-Link (B=0,014, p=0,004)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Versorgungsmodell mit geriatrischem Assessment in Kliniken vergleichbar.</w:t>
      </w:r>
    </w:p>
    <w:p>
      <w:r>
        <w:rPr>
          <w:color w:val="5A7D3A"/>
          <w:sz w:val="18"/>
        </w:rPr>
        <w:t>https://pubmed.ncbi.nlm.nih.gov/42865808/</w:t>
      </w:r>
    </w:p>
    <w:p>
      <w:pPr>
        <w:pStyle w:val="Heading2"/>
      </w:pPr>
      <w:r>
        <w:t>Schmerz vorhersagt Frailty-Entstehung bei Fettlebererkrankung deutlich</w:t>
      </w:r>
    </w:p>
    <w:p>
      <w:r>
        <w:rPr>
          <w:i/>
          <w:color w:val="666666"/>
          <w:sz w:val="18"/>
        </w:rPr>
        <w:t>Hu H et al.  ·  Front Endocrinol (Lausanne)  ·  28.09.2026  ·  PMID 42865368</w:t>
      </w:r>
    </w:p>
    <w:p>
      <w:r>
        <w:t>Prospektive Kohortenstudie mit 3.622 CHARLS- und 2.059 ELSA-Teilnehmern (7–8 Jahre Follow-up) untersuchte, ob Schmerz ein stärkerer Prädiktor für Frailty-Neuauftreten ist als andere Faktoren und ob Depressionen die Wirkung vermitteln.</w:t>
      </w:r>
    </w:p>
    <w:p>
      <w:r>
        <w:rPr>
          <w:b/>
        </w:rPr>
        <w:t xml:space="preserve">Ergebnis: </w:t>
      </w:r>
      <w:r>
        <w:t>Schmerz war der stärkste Prädiktor für neue Frailty. Nach vollständiger Anpassung (mit Basis-Frailty-Index) zeigte Schmerz in CHARLS HR 1,219 (95%-CI 1,085–1,368) und in ELSA HR 1,310 (95%-CI 1,114–1,539). Die Bevölkerungsattributable Fraktion betrug 8,01 % (CHARLS) und 11,98 % (ELSA). Depressionen vermittelten 74,0 % (CHARLS) und 46,1 % (ELSA) des Gesamteffekts.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(CHARLS) und Großbritannien (ELSA); externe Validierung erhöht Übertragbarkeit.</w:t>
      </w:r>
    </w:p>
    <w:p>
      <w:r>
        <w:rPr>
          <w:color w:val="5A7D3A"/>
          <w:sz w:val="18"/>
        </w:rPr>
        <w:t>https://pubmed.ncbi.nlm.nih.gov/42865368/</w:t>
      </w:r>
    </w:p>
    <w:p>
      <w:pPr>
        <w:pStyle w:val="Heading2"/>
      </w:pPr>
      <w:r>
        <w:t>Chronische Einsamkeit verschlechtert Gesundheit und Funktionsfähigkeit älterer Menschen</w:t>
      </w:r>
    </w:p>
    <w:p>
      <w:r>
        <w:rPr>
          <w:i/>
          <w:color w:val="666666"/>
          <w:sz w:val="18"/>
        </w:rPr>
        <w:t>Ma Y et al.  ·  Nat Commun  ·  11.09.2026  ·  PMID 42864355</w:t>
      </w:r>
    </w:p>
    <w:p>
      <w:r>
        <w:t>Längsschnittstudie an 4.090 älteren Personen aus der English Longitudinal Study of Ageing untersuchte, wie chronische Einsamkeit und soziale Isolation mit 17 Gesundheitsergebnissen zusammenhängen.</w:t>
      </w:r>
    </w:p>
    <w:p>
      <w:r>
        <w:rPr>
          <w:b/>
        </w:rPr>
        <w:t xml:space="preserve">Ergebnis: </w:t>
      </w:r>
      <w:r>
        <w:t>Chronische Einsamkeit war mit schlechterer allgemeiner Gesundheit, reduzierter Funktionsfähigkeit und beeinträchtigtem psychischem Wohlbefinden sowie mehr gesundheitsschädlichen Verhaltensweisen assoziiert. Chronische Isolation und Isolationsbeginn waren mit niedrigerer Lebensqualität verbunden; Isolationsremission zeigte positive Effekte auf Wohlbefinden und Kognition gegenüber persistierender Isolation.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England; europäisches Versorgungssystem, vergleichbares Gesundheitswesen und Sozialstrukturen.</w:t>
      </w:r>
    </w:p>
    <w:p>
      <w:r>
        <w:rPr>
          <w:color w:val="5A7D3A"/>
          <w:sz w:val="18"/>
        </w:rPr>
        <w:t>https://pubmed.ncbi.nlm.nih.gov/42864355/</w:t>
      </w:r>
    </w:p>
    <w:p>
      <w:pPr>
        <w:pStyle w:val="Heading2"/>
      </w:pPr>
      <w:r>
        <w:t>Neue nationale Studie zeigt erhebliche Gesundheitsdefizite bei US-Midlife-Adulten</w:t>
      </w:r>
    </w:p>
    <w:p>
      <w:r>
        <w:rPr>
          <w:i/>
          <w:color w:val="666666"/>
          <w:sz w:val="18"/>
        </w:rPr>
        <w:t>Hummer RA et al.  ·  J Gerontol B Psychol Sci Soc Sci  ·  01.10.2026  ·  PMID 42837512</w:t>
      </w:r>
    </w:p>
    <w:p>
      <w:r>
        <w:t>Wave VI der National Longitudinal Study of Adolescent to Adult Health (Add Health) beschreibt Gesundheit und biologische Aging-Marker an 11.979 Personen durchschnittlich 44 Jahre alt und dokumentiert erhebliche Unterschiede nach Rasse, Ethnizität und Bildung.</w:t>
      </w:r>
    </w:p>
    <w:p>
      <w:r>
        <w:rPr>
          <w:b/>
        </w:rPr>
        <w:t xml:space="preserve">Ergebnis: </w:t>
      </w:r>
      <w:r>
        <w:t>Von 11.979 befragten Personen hatten 49,9 % BMI ≥30 kg/m², 17 % berichteten aktuelle Depression. Breite Disparitäten bestanden in allen bewerteten Gesundheitsergebnissen nach Rasse/Ethnizität und Bildung. Wave VI lieferte 11.979 Umfragen, 6.073 Hausuntersuchungen und tausende kontextuelle und biologische Variablen für Lebensverlauf-Forschung.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Aussagen zu sozialen Unterschieden in Gesundheit übertragbar, Finanzierungssystem grundlegend anders.</w:t>
      </w:r>
    </w:p>
    <w:p>
      <w:r>
        <w:rPr>
          <w:color w:val="5A7D3A"/>
          <w:sz w:val="18"/>
        </w:rPr>
        <w:t>https://pubmed.ncbi.nlm.nih.gov/42837512/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2026-10-14T06:00:00Z</dcterms:created>
  <dcterms:modified xsi:type="dcterms:W3CDTF">2026-10-14T06:00:00Z</dcterms:modified>
  <cp:category/>
</cp:coreProperties>
</file>