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04.09.2026  |  7 Studien  |  longevity.m-vf.de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Feinstaubexposition (PM2,5) erhöht Frailty-Risiko im Alter signifikant</w:t>
      </w:r>
    </w:p>
    <w:p>
      <w:r>
        <w:rPr>
          <w:i/>
          <w:color w:val="666666"/>
          <w:sz w:val="18"/>
        </w:rPr>
        <w:t>Chen K et al.  ·  Sichuan Da Xue Xue Bao Yi Xue Ban  ·  20.07.2026  ·  PMID 42688627</w:t>
      </w:r>
    </w:p>
    <w:p>
      <w:r>
        <w:t>Prospektive Kohortenstudie: 9603 Teilnehmende aus China Health and Retirement Longitudinal Study 2011–2020, Langzeit-PM2,5-Exposition und chemische Komponenten, Outcome Frailty nach Frailty-Index.</w:t>
      </w:r>
    </w:p>
    <w:p>
      <w:r>
        <w:rPr>
          <w:b/>
        </w:rPr>
        <w:t xml:space="preserve">Ergebnis: </w:t>
      </w:r>
      <w:r>
        <w:t>Jede Viertelbereichs-Zunahme der durchschnittlichen PM2,5-Konzentration des Vorjahres war mit 10,0% erhöhtem Frailty-Risiko assoziiert (HR 1,100, 95% KI 1,015–1,193). Organische Substanzen: HR 1,142 (14,2%); schwarzer Kohlenstoff: HR 1,131 (13,1%); Ammonium: HR 1,098 (9,8%). Luftschadstoffe, besonders Ruß und organische Aerosole, sind Risikofaktoren für Gebrechlichkeit bei älteren Menschen.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Feinstaubbelastung und Expositionsmessung auch in Deutschland relevant</w:t>
      </w:r>
    </w:p>
    <w:p>
      <w:r>
        <w:rPr>
          <w:color w:val="5A7D3A"/>
          <w:sz w:val="18"/>
        </w:rPr>
        <w:t>https://pubmed.ncbi.nlm.nih.gov/42688627/</w:t>
      </w:r>
    </w:p>
    <w:p>
      <w:pPr>
        <w:pStyle w:val="Heading2"/>
      </w:pPr>
      <w:r>
        <w:t>Multikomponenten-Training und HMB-Supplementierung verbessern Gebrechlichkeit</w:t>
      </w:r>
    </w:p>
    <w:p>
      <w:r>
        <w:rPr>
          <w:i/>
          <w:color w:val="666666"/>
          <w:sz w:val="18"/>
        </w:rPr>
        <w:t>Jiang Y et al.  ·  Sichuan Da Xue Xue Bao Yi Xue Ban  ·  20.07.2026  ·  PMID 42688609</w:t>
      </w:r>
    </w:p>
    <w:p>
      <w:r>
        <w:t>Randomisierte Studie: 136 ältere Patienten mit Frailty erhielten 12 Wochen lang Übungstraining plus 3 g/d HMB oder Placebo; gemessen wurden physische Funktion (SPPB), Gangfähigkeit, Griffstärke, Muskelquerschnitt und Serumalbumin.</w:t>
      </w:r>
    </w:p>
    <w:p>
      <w:r>
        <w:rPr>
          <w:b/>
        </w:rPr>
        <w:t xml:space="preserve">Ergebnis: </w:t>
      </w:r>
      <w:r>
        <w:t>SPPB-Gesamtscore besserte sich in der HMB-Gruppe über 12 Wochen signifikant mehr als in der Kontrolle (Interaktionseffekt p&lt;0,001). HMB-Gruppe zeigte nach 4 Wochen bessere Bilanz (p&lt;0,05) und nach 12 Wochen auch bessere Gangscores und ASMI (p&lt;0,05). Serumalbumin war in der Interventionsgruppe erhöht (p&lt;0,05). HMB 3 g/d plus multikomponentales Training verbessert körperliche Funktion und Muskulatur bei älteren Patienten mit Gebrechlichkeit.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Rehabilitation nach westlichem Standard, Frailty-Diagnostik vergleichbar</w:t>
      </w:r>
    </w:p>
    <w:p>
      <w:r>
        <w:rPr>
          <w:color w:val="5A7D3A"/>
          <w:sz w:val="18"/>
        </w:rPr>
        <w:t>https://pubmed.ncbi.nlm.nih.gov/42688609/</w:t>
      </w:r>
    </w:p>
    <w:p>
      <w:pPr>
        <w:pStyle w:val="Heading2"/>
      </w:pPr>
      <w:r>
        <w:t>Benzodiazepine-Induced Resistance: Drug Use Blunts Frailty-Intervention Effect</w:t>
      </w:r>
    </w:p>
    <w:p>
      <w:r>
        <w:rPr>
          <w:i/>
          <w:color w:val="666666"/>
          <w:sz w:val="18"/>
        </w:rPr>
        <w:t>Levati E et al.  ·  Age Ageing  ·  03.08.2026  ·  PMID 42685256</w:t>
      </w:r>
    </w:p>
    <w:p>
      <w:r>
        <w:t>Sekundäranalyse eines Trials zu multikomponentigen Lebensstiländerungen bei Frailty: 1506 ältere Patienten, 14% mit Benzodiazepin-Nutzung, Verfolgung der Mobilitätsbehindertung über Median 3,3 Jahre.</w:t>
      </w:r>
    </w:p>
    <w:p>
      <w:r>
        <w:rPr>
          <w:b/>
        </w:rPr>
        <w:t xml:space="preserve">Ergebnis: </w:t>
      </w:r>
      <w:r>
        <w:t>Bei Frailty-Patienten mit Benzodiazepin-Nutzung war die Effektivität der kombinierten Intervention (körperliche Übungen plus Ernährungsberatung) erheblich reduziert oder aufgehoben. Im Subgroup mit SPPB-Score 3–7 zeigte sich der präventive Effekt (HR 0,80) nur bei Nicht-Nutzern; Nutzer zeigten keinen Schutz (HR 1,06; p=0,035 für Interaktion). Benzodiazepine signifikant mindern die Wirksamkeit von Lebensstiländerungen bei älteren fragilen Menschen.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und Deutschland, vergleichbare klinische Versorgung und Frailty-Konzepte</w:t>
      </w:r>
    </w:p>
    <w:p>
      <w:r>
        <w:rPr>
          <w:color w:val="5A7D3A"/>
          <w:sz w:val="18"/>
        </w:rPr>
        <w:t>https://pubmed.ncbi.nlm.nih.gov/42685256/</w:t>
      </w:r>
    </w:p>
    <w:p>
      <w:pPr>
        <w:pStyle w:val="Heading2"/>
      </w:pPr>
      <w:r>
        <w:t>Gebrechlichkeit und Alter erhöhen postoperative Komplikationen nach Meningiom-Resektion</w:t>
      </w:r>
    </w:p>
    <w:p>
      <w:r>
        <w:rPr>
          <w:i/>
          <w:color w:val="666666"/>
          <w:sz w:val="18"/>
        </w:rPr>
        <w:t>Eibl T et al.  ·  J Clin Neurosci  ·  06.07.2026  ·  PMID 42407322</w:t>
      </w:r>
    </w:p>
    <w:p>
      <w:r>
        <w:t>Retrospektive Studie: 120 Patienten mit nicht-schädelbasis-Meningiomen (Alter Median 61 Jahre), Frailty (mFI-5, mFI-11), Charlson-Komorbidität, Outcome Heimententlassung, Aufenthaltssdauer, ICU-Tage, Komplikationen.</w:t>
      </w:r>
    </w:p>
    <w:p>
      <w:r>
        <w:rPr>
          <w:b/>
        </w:rPr>
        <w:t xml:space="preserve">Ergebnis: </w:t>
      </w:r>
      <w:r>
        <w:t>82,5% wurden nach Hause entlassen. Risikofaktoren für Nicht-Heimententlassung: höheres Alter (p&lt;0,001), größere Tumorvolumina (p=0,012), höhere Ödemvolumina (p=0,002), höhere Charlson-Score (p&lt;0,001), höhere mFI-5 und mFI-11 (beide p&lt;0,001). Postoperative Aufenthaltssdauer korrelierte mit mFI (rs=0,34 für beide, p&lt;0,001). Gebrechlichkeit und chronologisches Alter beeinflussen operatives Ergebnis erheblich und verlängern postoperativen Aufenthalt.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Neurochirurgische Versorgung und Frailty-Konzepte</w:t>
      </w:r>
    </w:p>
    <w:p>
      <w:r>
        <w:rPr>
          <w:color w:val="5A7D3A"/>
          <w:sz w:val="18"/>
        </w:rPr>
        <w:t>https://pubmed.ncbi.nlm.nih.gov/42407322/</w:t>
      </w:r>
    </w:p>
    <w:p>
      <w:pPr>
        <w:pStyle w:val="Heading2"/>
      </w:pPr>
      <w:r>
        <w:t>TyG-Index mit BMI/WHtR vorhersagt Herz-Kreislauf-Erkrankung bei älteren Menschen</w:t>
      </w:r>
    </w:p>
    <w:p>
      <w:r>
        <w:rPr>
          <w:i/>
          <w:color w:val="666666"/>
          <w:sz w:val="18"/>
        </w:rPr>
        <w:t>Liu Z et al.  ·  Cardiovasc Diabetol  ·  05.07.2026  ·  PMID 42402573</w:t>
      </w:r>
    </w:p>
    <w:p>
      <w:r>
        <w:t>Prospektive Kohortenstudie: 1808 CVD-freie Personen ≥50 Jahre aus English Longitudinal Study of Ageing, Gruppierungstrajectorie von TyG mit BMI bzw. WHtR über ~8 Jahre, Outcome Herzinfarkt, Schlaganfall, Herzkrankheit.</w:t>
      </w:r>
    </w:p>
    <w:p>
      <w:r>
        <w:rPr>
          <w:b/>
        </w:rPr>
        <w:t xml:space="preserve">Ergebnis: </w:t>
      </w:r>
      <w:r>
        <w:t>Vier Trajektorie-Gruppen identifiziert. Im BMI+TyG-Modell (vs. Normalgewicht-niedriger TyG): Übergewicht-moderater TyG (HR 2,31, 95% KI 1,40–3,83), adipös-hoher TyG (HR 2,72, 1,63–4,52), stark adipös-hoher TyG (HR 5,06, 3,01–8,51). WHtR+TyG ähnliche Dosisantwort. Für Schlaganfall signifikant nur in höchstem Risiko. Robuste Dosis-Antwort-Gradienten unterstützen Monitoring dieser Indizes bei älteren 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Epidemiologie und Metabolismus-Diagnostik</w:t>
      </w:r>
    </w:p>
    <w:p>
      <w:r>
        <w:rPr>
          <w:color w:val="5A7D3A"/>
          <w:sz w:val="18"/>
        </w:rPr>
        <w:t>https://pubmed.ncbi.nlm.nih.gov/42402573/</w:t>
      </w:r>
    </w:p>
    <w:p>
      <w:pPr>
        <w:pStyle w:val="Heading2"/>
      </w:pPr>
      <w:r>
        <w:t>Immunseneszenz-Biomarker für klinische Aging-Interventionsstudien</w:t>
      </w:r>
    </w:p>
    <w:p>
      <w:r>
        <w:rPr>
          <w:i/>
          <w:color w:val="666666"/>
          <w:sz w:val="18"/>
        </w:rPr>
        <w:t>Cipriano A et al.  ·  Nat Med  ·  03.07.2026  ·  PMID 42399672</w:t>
      </w:r>
    </w:p>
    <w:p>
      <w:r>
        <w:t>Konsensusrahmen von 26 Gerontologen und Immunologen zur Evaluierung von Immune-Aging-Biomarkern für klinische Trials; fünf Selektionskriterien, Bewertung von Kandidaten-Biomarkern und Empfehlungen für Lücken.</w:t>
      </w:r>
    </w:p>
    <w:p>
      <w:r>
        <w:rPr>
          <w:b/>
        </w:rPr>
        <w:t xml:space="preserve">Ergebnis: </w:t>
      </w:r>
      <w:r>
        <w:t>Metriken mit multidimensionalem Immunfunktionsspektrum, Inflammaging-Scores und funktionelle Assays schnitten gegen Selektionskriterien am besten ab. Vielversprechende aufkommende Maße identifiziert, aber kritische Lücken für zuverlässige, prädiktive Biomarker erkannt. Rahmen bietet kohärenten Weg zu klinisch aussagekräftigen Immunalterungs-Biomarkern für Geroscience-Interventionen.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konsensiert; Framework unabhängig von Ländersystem, aber Implementierung in Deutschland möglich</w:t>
      </w:r>
    </w:p>
    <w:p>
      <w:r>
        <w:rPr>
          <w:color w:val="5A7D3A"/>
          <w:sz w:val="18"/>
        </w:rPr>
        <w:t>https://pubmed.ncbi.nlm.nih.gov/42399672/</w:t>
      </w:r>
    </w:p>
    <w:p>
      <w:pPr>
        <w:pStyle w:val="Heading2"/>
      </w:pPr>
      <w:r>
        <w:t>Sexuelle Aktivitätsveränderung beeinträchtigt Lebensqualität im Alter nachweislich</w:t>
      </w:r>
    </w:p>
    <w:p>
      <w:r>
        <w:rPr>
          <w:i/>
          <w:color w:val="666666"/>
          <w:sz w:val="18"/>
        </w:rPr>
        <w:t>Kujawska A et al.  ·  Maturitas  ·  29.06.2026  ·  PMID 42391932</w:t>
      </w:r>
    </w:p>
    <w:p>
      <w:r>
        <w:t>Zweijahrliche Längsschnittstudie: 199 ältere Polen (80% Frauen, Alter 69,7±6 Jahre), Assessment von Sexualität und Lebensqualität nach WHO-QoL, Kovariaten Alter, Basalwerte, Traurigkeit, Gesundheit.</w:t>
      </w:r>
    </w:p>
    <w:p>
      <w:r>
        <w:rPr>
          <w:b/>
        </w:rPr>
        <w:t xml:space="preserve">Ergebnis: </w:t>
      </w:r>
      <w:r>
        <w:t>Keine signifikanten Veränderungen in Gesamt-QoL-Werten über zwei Jahre (p=0,3). Aber: Aufhören von Sexualität war assoziiert mit signifikant niedrigeren Folgepunkten in Sozialbeziehungen (p=0,006) und Umwelt-Domäne (p=0,007). Effekt hielt nach Ausschluß von Gesundheits- und Depressions-Veränderungen. Beendigung der Sexualität im Alter reduziert Sozialbeziehungen und Umwelt-Wohlbefinden nachweislich.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ähnliche Altersstruktur, aber Übertragung auf Deutschland kulturabhängig</w:t>
      </w:r>
    </w:p>
    <w:p>
      <w:r>
        <w:rPr>
          <w:color w:val="5A7D3A"/>
          <w:sz w:val="18"/>
        </w:rPr>
        <w:t>https://pubmed.ncbi.nlm.nih.gov/42391932/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