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30.10.2026  |  417 Studien  |  longevity.m-vf.de</w:t>
      </w:r>
    </w:p>
    <w:p>
      <w:pPr>
        <w:pStyle w:val="Heading1"/>
      </w:pPr>
      <w:r>
        <w:t>Aufgenommen am 30.10.2026</w:t>
      </w:r>
    </w:p>
    <w:p>
      <w:pPr>
        <w:pStyle w:val="Heading2"/>
      </w:pPr>
      <w:r>
        <w:t>Maschinenlernmodell zur 4-Jahres-Vorhersage von Frailty bei älteren Arthritis-Patienten: CHARLS/KLoSA-Validierung</w:t>
      </w:r>
    </w:p>
    <w:p>
      <w:r>
        <w:rPr>
          <w:i/>
          <w:color w:val="666666"/>
          <w:sz w:val="18"/>
        </w:rPr>
        <w:t>Xu X et al.  ·  J Int Med Res  ·  27.10.2026  ·  PMID 42947315</w:t>
      </w:r>
    </w:p>
    <w:p>
      <w:r>
        <w:t>Retroleospektive Kohortenstudie an 2.126 chinesnischen Arthritis-Patienten ≥45 Jahren (CHARLS, Entwicklungskohorte) mit externer Validierung in südkoreanischer KLoSA-Kohorte, die ein logistisches Regressionsmodell mit 10 Routine-Variablen zur Vorhersage der 4-Jahres-Inzidenz von Frailty entwickelte und testete.</w:t>
      </w:r>
    </w:p>
    <w:p>
      <w:r>
        <w:rPr>
          <w:b/>
        </w:rPr>
        <w:t xml:space="preserve">Ergebnis: </w:t>
      </w:r>
      <w:r>
        <w:t>Interne AUC 0,764 (95 %-KI 0,707–0,816), externe AUC 0,747 (0,701–0,793) nach Recalibration. Zehnfach-Kreuzvalidierung: Mittelwert 0,772 ± 0,046. Top-Prädiktoren (SHAP-Ranking): Anzahl schmerzhafter Lokalisationen, antirheumatische Medikation, Beinschmerz, Alter, Griffstärke. Schmerzlast und niedriger Grip bleiben unabhängige Risikofaktoren auch bei gegebener Frailty.</w:t>
      </w:r>
    </w:p>
    <w:p>
      <w:r>
        <w:rPr>
          <w:b/>
          <w:sz w:val="19"/>
        </w:rPr>
        <w:t xml:space="preserve">Übertragbarkeit: </w:t>
      </w:r>
      <w:r>
        <w:rPr>
          <w:sz w:val="19"/>
        </w:rPr>
        <w:t>China und Südkorea, externe Validierung mehrsprachig; Modell zur Risikoschichtung in der Geriatrie relevant</w:t>
      </w:r>
    </w:p>
    <w:p>
      <w:r>
        <w:rPr>
          <w:color w:val="5A7D3A"/>
          <w:sz w:val="18"/>
        </w:rPr>
        <w:t>https://pubmed.ncbi.nlm.nih.gov/42947315/</w:t>
      </w:r>
    </w:p>
    <w:p>
      <w:pPr>
        <w:pStyle w:val="Heading2"/>
      </w:pPr>
      <w:r>
        <w:t>Wie Frauen mittleren Alters ihre körperliche und seelische Veränderung erleben und bewältigen</w:t>
      </w:r>
    </w:p>
    <w:p>
      <w:r>
        <w:rPr>
          <w:i/>
          <w:color w:val="666666"/>
          <w:sz w:val="18"/>
        </w:rPr>
        <w:t>Lei Y et al.  ·  BMC Public Health  ·  15.08.2026  ·  PMID 42947074</w:t>
      </w:r>
    </w:p>
    <w:p>
      <w:r>
        <w:t>Qualitative Interviewstudie mit 15 Frauen im Alter 46–57 Jahren in Changsha, China, zu ihren Wahrnehmungen des Alterns und ihren Bewältigungsstrategien mittels thematischer Analyse nach COREQ-Standard.</w:t>
      </w:r>
    </w:p>
    <w:p>
      <w:r>
        <w:rPr>
          <w:b/>
        </w:rPr>
        <w:t xml:space="preserve">Ergebnis: </w:t>
      </w:r>
      <w:r>
        <w:t>Fünf Kernthemen ermittelt (im Schema '1H4W' zusammengefasst): (1) Wie nehmen die Frauen ihr Altern wahr (körperlich, psychisch, sozial)? (2) Welche Auswirkungen hat es (dual: Bedrohung und Wachstum)? (3) Ursachenzuschreibung des Alterns (multidimensional)? (4) Bewältigungsstrategien mit wahrgenommener Wirksamkeit (zwei Trajektorien)? (5) Barrieren für die Umsetzung (Hemmfaktoren). Ergebnis: Frauen erleben komplexe, mehrdimensionale Alternswahrnehmungen; ihre Attributionen beeinflussen Bewältigungswahl, aber die Umsetzung scheitert an Barrieren.</w:t>
      </w:r>
    </w:p>
    <w:p>
      <w:r>
        <w:rPr>
          <w:b/>
          <w:sz w:val="19"/>
        </w:rPr>
        <w:t xml:space="preserve">Übertragbarkeit: </w:t>
      </w:r>
      <w:r>
        <w:rPr>
          <w:sz w:val="19"/>
        </w:rPr>
        <w:t>China, qualitative Befunde zur psychosozialen Wahrnehmung, Übertragbarkeit auf Konzeptentwicklung</w:t>
      </w:r>
    </w:p>
    <w:p>
      <w:r>
        <w:rPr>
          <w:color w:val="5A7D3A"/>
          <w:sz w:val="18"/>
        </w:rPr>
        <w:t>https://pubmed.ncbi.nlm.nih.gov/42947074/</w:t>
      </w:r>
    </w:p>
    <w:p>
      <w:pPr>
        <w:pStyle w:val="Heading2"/>
      </w:pPr>
      <w:r>
        <w:t>Gesunde Ernährung erhält kognitive Funktionen im Alter, mit stärkerer Schutzwirkung bei älteren Erwachsenen</w:t>
      </w:r>
    </w:p>
    <w:p>
      <w:r>
        <w:rPr>
          <w:i/>
          <w:color w:val="666666"/>
          <w:sz w:val="18"/>
        </w:rPr>
        <w:t>Liu Y et al.  ·  Nutrients  ·  14.10.2026  ·  PMID 42942936</w:t>
      </w:r>
    </w:p>
    <w:p>
      <w:r>
        <w:t>Querschnittstudie an 9.615 älteren Chinesen (≥65 Jahre) aus der 2021 Chinese Longitudinal Healthy Longevity Survey, in der die Assoziationen von drei Ernährungsindizes (cMIND, Dietary Diversity Score, Healthy Plant-Based Diet Index) mit kognitiven Domänen (Aufmerksamkeit, Exekutive, Visuomotorik, Orientierung) mittels gewichteter linearer Regression untersucht wurden.</w:t>
      </w:r>
    </w:p>
    <w:p>
      <w:r>
        <w:rPr>
          <w:b/>
        </w:rPr>
        <w:t xml:space="preserve">Ergebnis: </w:t>
      </w:r>
      <w:r>
        <w:t>Pro 1-SD-Anstieg der Ernährungsindizes: cMIND β = 0,355 (95 %-KI 0,147–0,563), Diversity β = 0,342 (0,119–0,565), HPDI β = 0,388 (0,132–0,643) bei Globalergebnis. Alle drei Indizes waren mit Aufmerksamkeit, exekutiver Funktion und Visuomotorik assoziiert; Diversity und HPDI auch mit Orientierung. Signifikante Diät-Alter-Interaktionen für alle drei Indizes (p &lt; 0,001 für Nichtlinearität), mit stärkeren Assoziationen bei älteren Teilnehmern.</w:t>
      </w:r>
    </w:p>
    <w:p>
      <w:r>
        <w:rPr>
          <w:b/>
          <w:sz w:val="19"/>
        </w:rPr>
        <w:t xml:space="preserve">Übertragbarkeit: </w:t>
      </w:r>
      <w:r>
        <w:rPr>
          <w:sz w:val="19"/>
        </w:rPr>
        <w:t>China, Langzeitkohortendaten, Ernährung-Kognitiv-Verbindung übertragbar, aber Kontextfaktoren unterschiedlich</w:t>
      </w:r>
    </w:p>
    <w:p>
      <w:r>
        <w:rPr>
          <w:color w:val="5A7D3A"/>
          <w:sz w:val="18"/>
        </w:rPr>
        <w:t>https://pubmed.ncbi.nlm.nih.gov/42942936/</w:t>
      </w:r>
    </w:p>
    <w:p>
      <w:pPr>
        <w:pStyle w:val="Heading2"/>
      </w:pPr>
      <w:r>
        <w:t>SGLT2-Inhibitoren und Frailty-Risiko bei älteren Nierenerkrankten: Komorbiditäten und Blutarmut als Schlüsselfaktoren</w:t>
      </w:r>
    </w:p>
    <w:p>
      <w:r>
        <w:rPr>
          <w:i/>
          <w:color w:val="666666"/>
          <w:sz w:val="18"/>
        </w:rPr>
        <w:t>Sezen M et al.  ·  Medicina (Kaunas)  ·  08.10.2026  ·  PMID 42942469</w:t>
      </w:r>
    </w:p>
    <w:p>
      <w:r>
        <w:t>Prospektive Querschnittstudie an 163 Erwachsenen ≥60 Jahren mit chronischer Nierenerkrankung unter SGLT2-Inhibitor-Therapie, bei der Frailty-Status mittels modifiziertem Fried-Phänotyp (Schwäche, Verlangsamung, Erschöpfung, geringe Aktivität, Gewichtsverlust) erfasst wurde.</w:t>
      </w:r>
    </w:p>
    <w:p>
      <w:r>
        <w:rPr>
          <w:b/>
        </w:rPr>
        <w:t xml:space="preserve">Ergebnis: </w:t>
      </w:r>
      <w:r>
        <w:t>Frailty-Prävalenz 26,4 % (95 %-KI 20,2–33,6 %), Pre-Frailty 46,0 % (38,5–53,7 %). In multivariater Analyse: höherer BMI (aOR 1,12; 95 %-KI 1,03–1,22; p = 0,010) und höhere Charlson-Komorbiditäts-Werte (aOR 1,42; 95 %-KI 1,12–1,81; p = 0,004) erhöhten Frailty-Risiko, höhere Hämoglobin-Spiegel (aOR 0,72; 95 %-KI 0,57–0,91; p = 0,007) reduzierten es. Keine SGLT2-spezifischen Behandlungsschlüsse möglich.</w:t>
      </w:r>
    </w:p>
    <w:p>
      <w:r>
        <w:rPr>
          <w:b/>
          <w:sz w:val="19"/>
        </w:rPr>
        <w:t xml:space="preserve">Übertragbarkeit: </w:t>
      </w:r>
      <w:r>
        <w:rPr>
          <w:sz w:val="19"/>
        </w:rPr>
        <w:t>Türkei, Geriatrie und Nephrologie, Frailty-Assessment relevant für deutsches System</w:t>
      </w:r>
    </w:p>
    <w:p>
      <w:r>
        <w:rPr>
          <w:color w:val="5A7D3A"/>
          <w:sz w:val="18"/>
        </w:rPr>
        <w:t>https://pubmed.ncbi.nlm.nih.gov/42942469/</w:t>
      </w:r>
    </w:p>
    <w:p>
      <w:pPr>
        <w:pStyle w:val="Heading2"/>
      </w:pPr>
      <w:r>
        <w:t>Biologisches Alter als Biomarker für Ovarialkrebsentwicklung bei Endometriose</w:t>
      </w:r>
    </w:p>
    <w:p>
      <w:r>
        <w:rPr>
          <w:i/>
          <w:color w:val="666666"/>
          <w:sz w:val="18"/>
        </w:rPr>
        <w:t>Kordowitzki P et al.  ·  BMC Med  ·  27.07.2026  ·  PMID 42928289</w:t>
      </w:r>
    </w:p>
    <w:p>
      <w:r>
        <w:t>Vergleichende Analyse von Biomarkern des biologischen Alterns (DNA-Methylierung, Telomerlänge) in Blutproben von Patientinnen mit Endometriose, endometriose-assoziiertem Ovarialkarzinom und Kontrollen.</w:t>
      </w:r>
    </w:p>
    <w:p>
      <w:r>
        <w:rPr>
          <w:b/>
        </w:rPr>
        <w:t xml:space="preserve">Ergebnis: </w:t>
      </w:r>
      <w:r>
        <w:t>Patientinnen mit Endometriose zeigten eine Beschleunigung des biologischen Alterns um 16,92 % und längere Telomere (13,18 ± 0,46 kbp), während Ovarialkrebspatientinnen biologisch jünger waren (−14,64 %) mit verkürzten Telomeren (12,45 ± 0,72 kbp; p &lt; 0,001). Methylierungs-basierte Marker unterschieden die Gruppen hochsignifikant. Dies deutet auf einen fundamentalen Wechsel in Aging-Trajektorien während der malignen Transformation hin.</w:t>
      </w:r>
    </w:p>
    <w:p>
      <w:r>
        <w:rPr>
          <w:b/>
          <w:sz w:val="19"/>
        </w:rPr>
        <w:t xml:space="preserve">Übertragbarkeit: </w:t>
      </w:r>
      <w:r>
        <w:rPr>
          <w:sz w:val="19"/>
        </w:rPr>
        <w:t>Deutschland: Biomarker-Studie ohne direkten Versorgungsbezug, eher Grundlagenforschung</w:t>
      </w:r>
    </w:p>
    <w:p>
      <w:r>
        <w:rPr>
          <w:color w:val="5A7D3A"/>
          <w:sz w:val="18"/>
        </w:rPr>
        <w:t>https://pubmed.ncbi.nlm.nih.gov/42928289/</w:t>
      </w:r>
    </w:p>
    <w:p>
      <w:pPr>
        <w:pStyle w:val="Heading2"/>
      </w:pPr>
      <w:r>
        <w:t>Sozioökonomische Ungleichheit und soziale Isolation beeinflussen psychisches Wohlbefinden älterer Menschen</w:t>
      </w:r>
    </w:p>
    <w:p>
      <w:r>
        <w:rPr>
          <w:i/>
          <w:color w:val="666666"/>
          <w:sz w:val="18"/>
        </w:rPr>
        <w:t>Calvey B et al.  ·  J Gerontol B Psychol Sci Soc Sci  ·  07.10.2026  ·  PMID 42742397</w:t>
      </w:r>
    </w:p>
    <w:p>
      <w:r>
        <w:t>Longitudinalanalyse der Zusammenhänge zwischen Einkommensarmut, niedriger Bildung, Arbeitslosigkeit und räumlicher Benachteiligung einerseits sowie subjektiver Einsamkeit und objektiver sozialer Isolation andererseits in der englischen ELSA-Kohorte (8.164 Erwachsene ≥60 Jahre, Wellen 7–9).</w:t>
      </w:r>
    </w:p>
    <w:p>
      <w:r>
        <w:rPr>
          <w:b/>
        </w:rPr>
        <w:t xml:space="preserve">Ergebnis: </w:t>
      </w:r>
      <w:r>
        <w:t>Alle sozioökonomischen Indikatoren waren mit sozialer Asymmetrie assoziiert. Höhere Bildung (β = 0,44; p &lt; 0,001), Einkommen (β = 0,22; p &lt; 0,001) und subjektiver sozialer Status (β = 0,004; p &lt; 0,001) schützten vor erhöhter Einsamkeit trotz Isolation. Umgekehrt waren Deprivation (β = −0,20; p &lt; 0,001), Arbeitslosigkeit (β = −0,07; p &lt; 0,05) und Wohnungsarmut (β = −0,35 bis −0,41; p &lt; 0,001) mit psychischer Verletzlichkeit assoziiert. Die Befunde zeigen, dass Einsamkeitsbekämpfung strukturelle Ungleichheiten adressieren muss, nicht nur individuelle Verhaltensänderung.</w:t>
      </w:r>
    </w:p>
    <w:p>
      <w:r>
        <w:rPr>
          <w:b/>
          <w:sz w:val="19"/>
        </w:rPr>
        <w:t xml:space="preserve">Übertragbarkeit: </w:t>
      </w:r>
      <w:r>
        <w:rPr>
          <w:sz w:val="19"/>
        </w:rPr>
        <w:t>England, vergleichbares Sozialversicherungssystem, Langzeitkohorte mit stabiler Erfassung</w:t>
      </w:r>
    </w:p>
    <w:p>
      <w:r>
        <w:rPr>
          <w:color w:val="5A7D3A"/>
          <w:sz w:val="18"/>
        </w:rPr>
        <w:t>https://pubmed.ncbi.nlm.nih.gov/42742397/</w:t>
      </w:r>
    </w:p>
    <w:p>
      <w:pPr>
        <w:pStyle w:val="Heading1"/>
      </w:pPr>
      <w:r>
        <w:t>Aufgenommen am 29.10.2026</w:t>
      </w:r>
    </w:p>
    <w:p>
      <w:pPr>
        <w:pStyle w:val="Heading2"/>
      </w:pPr>
      <w:r>
        <w:t>Frailty-Vorhersage per Machine Learning aus Kliniksystemen innerhalb 72 Stunden</w:t>
      </w:r>
    </w:p>
    <w:p>
      <w:r>
        <w:rPr>
          <w:i/>
          <w:color w:val="666666"/>
          <w:sz w:val="18"/>
        </w:rPr>
        <w:t>Laurea Szabo GC et al.  ·  JMIR Med Inform  ·  28.10.2026  ·  PMID 42950281</w:t>
      </w:r>
    </w:p>
    <w:p>
      <w:r>
        <w:t>An 26.824 stationären Aufnahmen (Royal Adelaide Hospital, Juli 2023–Dezember 2024) wurde ein XGBoost-Modell entwickelt und validiert, das aus EMR-Daten der ersten 72 Stunden Frailty (HFRS&gt;4) vorhersagt.</w:t>
      </w:r>
    </w:p>
    <w:p>
      <w:r>
        <w:rPr>
          <w:b/>
        </w:rPr>
        <w:t xml:space="preserve">Ergebnis: </w:t>
      </w:r>
      <w:r>
        <w:t>Das finale XGBoost-Modell erreichte F2-Score 0,755 (95%-KI 0,741–0,768), AUROC 0,777 (0,764–0,790), Recall 0,873 (0,857–0,887). Wichtigste Prädiktoren: Polypharmazi, Laborwerte (Kreatinin, Albumin, Natrium), konsultierte Fachgruppen, Pflegeassessments. Performance war zu 24 Stunden niedrig, verbesserte sich bis Entlassung. Reduzierte Performance bei Indigenous-Patienten zeigte Bedarf für kulturelle Validierung.</w:t>
      </w:r>
    </w:p>
    <w:p>
      <w:r>
        <w:rPr>
          <w:b/>
          <w:sz w:val="19"/>
        </w:rPr>
        <w:t xml:space="preserve">Übertragbarkeit: </w:t>
      </w:r>
      <w:r>
        <w:rPr>
          <w:sz w:val="19"/>
        </w:rPr>
        <w:t>Australien, EMR-Datenstruktur vergleichbar mit deutschen Kliniksystemen; maschinelle Frailty-Vorhersage technisch unmittelbar übernehmbar.</w:t>
      </w:r>
    </w:p>
    <w:p>
      <w:r>
        <w:rPr>
          <w:color w:val="5A7D3A"/>
          <w:sz w:val="18"/>
        </w:rPr>
        <w:t>https://pubmed.ncbi.nlm.nih.gov/42950281/</w:t>
      </w:r>
    </w:p>
    <w:p>
      <w:pPr>
        <w:pStyle w:val="Heading2"/>
      </w:pPr>
      <w:r>
        <w:t>Gebrechlichkeitsindex vorhersagt Bauchschmerzen bei älteren Erwachsenen</w:t>
      </w:r>
    </w:p>
    <w:p>
      <w:r>
        <w:rPr>
          <w:i/>
          <w:color w:val="666666"/>
          <w:sz w:val="18"/>
        </w:rPr>
        <w:t>Cheng G et al.  ·  J Int Med Res  ·  28.10.2026  ·  PMID 42948986</w:t>
      </w:r>
    </w:p>
    <w:p>
      <w:r>
        <w:t>24.280 Teilnehmer ≥45 Jahre aus der China Health and Retirement Longitudinal Study (2011–2013) wurden untersucht auf Assoziation eines konstruierten Gebrechlichkeitsindex mit selbstberichteten Bauchschmerzen.</w:t>
      </w:r>
    </w:p>
    <w:p>
      <w:r>
        <w:rPr>
          <w:b/>
        </w:rPr>
        <w:t xml:space="preserve">Ergebnis: </w:t>
      </w:r>
      <w:r>
        <w:t>Höherer Gebrechlichkeitsindex war signifikant mit erhöhter Wahrscheinlichkeit für Bauchschmerzen assoziiert (adjustierte OR 2,17; 95%-KI 1,95–2,42; p&lt;0,001). Restriktive kubische Spline-Analyse zeigte signifikante nichtlineare Beziehung (p für Nichtlinearität &lt;0,001). Das eXtreme Gradient Boosting-Modell zeigte gute Diskrimination. Der Gebrechlichkeitsindex gehörte zu den einflussreichsten Vorhersage-Features.</w:t>
      </w:r>
    </w:p>
    <w:p>
      <w:r>
        <w:rPr>
          <w:b/>
          <w:sz w:val="19"/>
        </w:rPr>
        <w:t xml:space="preserve">Übertragbarkeit: </w:t>
      </w:r>
      <w:r>
        <w:rPr>
          <w:sz w:val="19"/>
        </w:rPr>
        <w:t>China; Gebrechlichkeitsindex-Konstrukt international anwendbar, Screening-Wert auf Deutschland übertragbar.</w:t>
      </w:r>
    </w:p>
    <w:p>
      <w:r>
        <w:rPr>
          <w:color w:val="5A7D3A"/>
          <w:sz w:val="18"/>
        </w:rPr>
        <w:t>https://pubmed.ncbi.nlm.nih.gov/42948986/</w:t>
      </w:r>
    </w:p>
    <w:p>
      <w:pPr>
        <w:pStyle w:val="Heading2"/>
      </w:pPr>
      <w:r>
        <w:t>Gesellschaftliche Teilhabe im Alter stärkt emotionales Wohlbefinden – europaweit</w:t>
      </w:r>
    </w:p>
    <w:p>
      <w:r>
        <w:rPr>
          <w:i/>
          <w:color w:val="666666"/>
          <w:sz w:val="18"/>
        </w:rPr>
        <w:t>da Silva JB et al.  ·  Front Public Health  ·  13.10.2026  ·  PMID 42947923</w:t>
      </w:r>
    </w:p>
    <w:p>
      <w:r>
        <w:t>Die Studie untersuchte an 13.765 Europäern ab 65 Jahren, wie verschiedene Formen von Bürgerbeteiligung mit emotionalem Wohlbefinden assoziiert sind.</w:t>
      </w:r>
    </w:p>
    <w:p>
      <w:r>
        <w:rPr>
          <w:b/>
        </w:rPr>
        <w:t xml:space="preserve">Ergebnis: </w:t>
      </w:r>
      <w:r>
        <w:t>Kooperative Partizipation (gemeinsame Aktivitäten mit sozialer Einbettung) zeigte die stärkste positive Assoziation mit Wohlbefinden, gefolgt von ausdrücklicher und pflichtbewusster Teilhabe. Aktivierende Partizipation (konfrontative Engagement-Formen) korrelierte negativ mit Wohlbefinden. Regionale Unterschiede bestanden: Nord- und Westeuropa zeigten höhere Wohlbefindenswerte als Süd- und Osteuropa.</w:t>
      </w:r>
    </w:p>
    <w:p>
      <w:r>
        <w:rPr>
          <w:b/>
          <w:sz w:val="19"/>
        </w:rPr>
        <w:t xml:space="preserve">Übertragbarkeit: </w:t>
      </w:r>
      <w:r>
        <w:rPr>
          <w:sz w:val="19"/>
        </w:rPr>
        <w:t>Europäische Sozialerhebung; Ergebnisse zu sozial eingebetteten Engagementformen direkt auf deutsche Altenbetreuung übertragbar.</w:t>
      </w:r>
    </w:p>
    <w:p>
      <w:r>
        <w:rPr>
          <w:color w:val="5A7D3A"/>
          <w:sz w:val="18"/>
        </w:rPr>
        <w:t>https://pubmed.ncbi.nlm.nih.gov/42947923/</w:t>
      </w:r>
    </w:p>
    <w:p>
      <w:pPr>
        <w:pStyle w:val="Heading2"/>
      </w:pPr>
      <w:r>
        <w:t>Funktionelle Verbesserungen durch stationäre Lungenreha – ICF-basierte Analyse</w:t>
      </w:r>
    </w:p>
    <w:p>
      <w:r>
        <w:rPr>
          <w:i/>
          <w:color w:val="666666"/>
          <w:sz w:val="18"/>
        </w:rPr>
        <w:t>Pawlak K et al.  ·  Front Public Health  ·  13.10.2026  ·  PMID 42947856</w:t>
      </w:r>
    </w:p>
    <w:p>
      <w:r>
        <w:t>Bei 100 älteren Patienten (Mittelwert 68,7 Jahre, 75 % ≥65 Jahre) während stationärer Lungenrehabilitation wurden Funktionsveränderungen nach 2–3 Wochen mit dem ICF-Framework gemessen.</w:t>
      </w:r>
    </w:p>
    <w:p>
      <w:r>
        <w:rPr>
          <w:b/>
        </w:rPr>
        <w:t xml:space="preserve">Ergebnis: </w:t>
      </w:r>
      <w:r>
        <w:t>Signifikante Verbesserungen in Körperfunktionen: Muskelkraft (Qualifier 3→1), Muskeldauer (3→2), Gelenkigkeit (3→1), Gehfähigkeit (2→1). Aktivitätseinschränkungen: Transfer mit schweren/kompletten Einschränkungen sank von 17 % auf 4 %, tägliche Routinen von 36 % auf 19 %. Selbstpflegefähigkeiten (Waschen, Toilettenhygiene, Anziehen) zeigten Qualifier-Verbesserungen von 1→0.</w:t>
      </w:r>
    </w:p>
    <w:p>
      <w:r>
        <w:rPr>
          <w:b/>
          <w:sz w:val="19"/>
        </w:rPr>
        <w:t xml:space="preserve">Übertragbarkeit: </w:t>
      </w:r>
      <w:r>
        <w:rPr>
          <w:sz w:val="19"/>
        </w:rPr>
        <w:t>Polen, vergleichbare Sozialversicherung; ICF-Rahmen international, Ergebnisse zur Effektivität geriatrischer Reha auf Deutschland übertragbar.</w:t>
      </w:r>
    </w:p>
    <w:p>
      <w:r>
        <w:rPr>
          <w:color w:val="5A7D3A"/>
          <w:sz w:val="18"/>
        </w:rPr>
        <w:t>https://pubmed.ncbi.nlm.nih.gov/42947856/</w:t>
      </w:r>
    </w:p>
    <w:p>
      <w:pPr>
        <w:pStyle w:val="Heading2"/>
      </w:pPr>
      <w:r>
        <w:t>Frailty besser als Muskelsonographie zur Prognose bei Leberzirrhose</w:t>
      </w:r>
    </w:p>
    <w:p>
      <w:r>
        <w:rPr>
          <w:i/>
          <w:color w:val="666666"/>
          <w:sz w:val="18"/>
        </w:rPr>
        <w:t>Kremer WM et al.  ·  J Cachexia Sarcopenia Muscle  ·  Dez. 2026  ·  PMID 42936921</w:t>
      </w:r>
    </w:p>
    <w:p>
      <w:r>
        <w:t>153 Patienten mit Leberzirrhose wurden mit Clinical Frailty Scale und Muskeldickenindizes (feather und compression thigh muscle thickness index) bewertet und auf Mortalität bzw. Lebertransplantation verfolgt.</w:t>
      </w:r>
    </w:p>
    <w:p>
      <w:r>
        <w:rPr>
          <w:b/>
        </w:rPr>
        <w:t xml:space="preserve">Ergebnis: </w:t>
      </w:r>
      <w:r>
        <w:t>Über 90 Tage: 71 Patienten (46,4 %) starben oder bekamen Transplantat. Höhere Frailty-Scores waren in multivariablem Cox-Modell (adjustiert für Alter und MELD) unabhängig mit erhöhter Mortalität assoziiert (HR 1,25; 95%-KI 1,14–1,63; p&lt;0,001), während Muskeldickenindizes nicht konsistent prognostisch waren (fTMTI HR 1,52; p=0,300; cTMTI HR 1,01; p&gt;0,9).</w:t>
      </w:r>
    </w:p>
    <w:p>
      <w:r>
        <w:rPr>
          <w:b/>
          <w:sz w:val="19"/>
        </w:rPr>
        <w:t xml:space="preserve">Übertragbarkeit: </w:t>
      </w:r>
      <w:r>
        <w:rPr>
          <w:sz w:val="19"/>
        </w:rPr>
        <w:t>Deutschland; Frailty-Assessment als bedside-Instrument deutschlandweit etabliert, braucht keine Spezialausrüstung.</w:t>
      </w:r>
    </w:p>
    <w:p>
      <w:r>
        <w:rPr>
          <w:color w:val="5A7D3A"/>
          <w:sz w:val="18"/>
        </w:rPr>
        <w:t>https://pubmed.ncbi.nlm.nih.gov/42936921/</w:t>
      </w:r>
    </w:p>
    <w:p>
      <w:pPr>
        <w:pStyle w:val="Heading2"/>
      </w:pPr>
      <w:r>
        <w:t>Beschleunigtes biologisches Altern erhöht Pankreaserkrankungsrisiko – UK-Biobank-Studie</w:t>
      </w:r>
    </w:p>
    <w:p>
      <w:r>
        <w:rPr>
          <w:i/>
          <w:color w:val="666666"/>
          <w:sz w:val="18"/>
        </w:rPr>
        <w:t>Zhang H et al.  ·  J Nutr Health Aging  ·  15.09.2026  ·  PMID 42743792</w:t>
      </w:r>
    </w:p>
    <w:p>
      <w:r>
        <w:t>326.873 Erwachsene aus der UK Biobank (2006–2010 rekrutiert) wurden auf Assoziation von Biological-Age-Beschleunigung (KDMAgeAccel und PhenoAgeAccel) mit Pankreaserkrankungen über prospektiven Follow-up untersucht.</w:t>
      </w:r>
    </w:p>
    <w:p>
      <w:r>
        <w:rPr>
          <w:b/>
        </w:rPr>
        <w:t xml:space="preserve">Ergebnis: </w:t>
      </w:r>
      <w:r>
        <w:t>PhenoAgeAccel zeigte signifikante nichtlineare Assoziationen mit Pankreaserkrankungen insgesamt, Pankreaszysten, Pankreaskrebs und Pankreastod (alle p für Nichtlinearität &lt;0,05). Gegenüber Gruppe G1 (niedrigste Beschleunigung) hatte G4 (höchste) erhöhte Risiken: Pankreaserkrankungen insgesamt HR 1,706 (95%-KI 1,513–1,923), akute Pankreatitis 1,637 (1,352–1,981), chronische Pankreatitis 3,551 (2,248–5,609), Pankreaskrebs 1,387 (1,123–1,713). Lipid-Biomarker medierten teilweise die Assoziation (z.B. 6,66 % für chronische Pankreatitis über Cholesterin in small LDL).</w:t>
      </w:r>
    </w:p>
    <w:p>
      <w:r>
        <w:rPr>
          <w:b/>
          <w:sz w:val="19"/>
        </w:rPr>
        <w:t xml:space="preserve">Übertragbarkeit: </w:t>
      </w:r>
      <w:r>
        <w:rPr>
          <w:sz w:val="19"/>
        </w:rPr>
        <w:t>UK Biobank; epigenetische Alter-Beschleunigung als Risikostratifizierer auch in deutschen Kohorten anwendbar.</w:t>
      </w:r>
    </w:p>
    <w:p>
      <w:r>
        <w:rPr>
          <w:color w:val="5A7D3A"/>
          <w:sz w:val="18"/>
        </w:rPr>
        <w:t>https://pubmed.ncbi.nlm.nih.gov/42743792/</w:t>
      </w:r>
    </w:p>
    <w:p>
      <w:pPr>
        <w:pStyle w:val="Heading2"/>
      </w:pPr>
      <w:r>
        <w:t>Gebrechlichkeit ist unabhängiger Mortalitätsprädiktor bei Krebspatienten – Metaanalyse</w:t>
      </w:r>
    </w:p>
    <w:p>
      <w:r>
        <w:rPr>
          <w:i/>
          <w:color w:val="666666"/>
          <w:sz w:val="18"/>
        </w:rPr>
        <w:t>Brum CM et al.  ·  J Geriatr Oncol  ·  12.09.2026  ·  PMID 42731927</w:t>
      </w:r>
    </w:p>
    <w:p>
      <w:r>
        <w:t>Systematische Übersicht und Metaanalyse von 191 Beobachtungsstudien (626.975 Patienten, Medianalter 72 Jahre) zur Assoziation von Frailty mit Mortalität bei Krebskranken.</w:t>
      </w:r>
    </w:p>
    <w:p>
      <w:r>
        <w:rPr>
          <w:b/>
        </w:rPr>
        <w:t xml:space="preserve">Ergebnis: </w:t>
      </w:r>
      <w:r>
        <w:t>Frailty war mit höherer Gesamtmortalität assoziiert (n=162; adjustierte HR 1,98; 95%-KI 1,85–2,09) sowie krebsspezifischer Mortalität (n=18; HR 1,84; 95%-KI 1,58–2,15). Diese Assoziation blieb konsistent über Subgruppen (Alter, Geschlecht, BMI, Tumorstadium, Therapiemodalität) hinweg. 83,8 % der Studien erreichten Newcastle-Ottawa-Scores von 9 Punkten.</w:t>
      </w:r>
    </w:p>
    <w:p>
      <w:r>
        <w:rPr>
          <w:b/>
          <w:sz w:val="19"/>
        </w:rPr>
        <w:t xml:space="preserve">Übertragbarkeit: </w:t>
      </w:r>
      <w:r>
        <w:rPr>
          <w:sz w:val="19"/>
        </w:rPr>
        <w:t>International Evidenz; Frailty-Assessment als routinenahes Screening in onkologischen Kliniken weltweit empfohlen, auf deutsche Onkologiestationen unmittelbar übertragbar.</w:t>
      </w:r>
    </w:p>
    <w:p>
      <w:r>
        <w:rPr>
          <w:color w:val="5A7D3A"/>
          <w:sz w:val="18"/>
        </w:rPr>
        <w:t>https://pubmed.ncbi.nlm.nih.gov/42731927/</w:t>
      </w:r>
    </w:p>
    <w:p>
      <w:pPr>
        <w:pStyle w:val="Heading1"/>
      </w:pPr>
      <w:r>
        <w:t>Aufgenommen am 28.10.2026</w:t>
      </w:r>
    </w:p>
    <w:p>
      <w:pPr>
        <w:pStyle w:val="Heading2"/>
      </w:pPr>
      <w:r>
        <w:t>Richtige Nährstoffverteilung beugt Frailty vor – aber nur bei ausreichender Energiezufuhr</w:t>
      </w:r>
    </w:p>
    <w:p>
      <w:r>
        <w:rPr>
          <w:i/>
          <w:color w:val="666666"/>
          <w:sz w:val="18"/>
        </w:rPr>
        <w:t>Seo YB et al.  ·  Nutrients  ·  16.10.2026  ·  PMID 42942964</w:t>
      </w:r>
    </w:p>
    <w:p>
      <w:r>
        <w:t>Querschnittstudie von 2.803 Koreanern ≥65 Jahren (KNHANES 2022/2024), Assoziationen zwischen Makronährstoff-Adherenz (AMDR) und Frailty, stratifiziert nach Energiesuffizenz (≥30 kcal/kg/Tag).</w:t>
      </w:r>
    </w:p>
    <w:p>
      <w:r>
        <w:rPr>
          <w:b/>
        </w:rPr>
        <w:t xml:space="preserve">Ergebnis: </w:t>
      </w:r>
      <w:r>
        <w:t>Bei Energie-suffizienten Teilnehmern (n=925): AMDR-Nicht-Adherenz mit Frailty assoziiert (OR 5,58; 95% KI 1,59–19,67). Nicht-Adherenz zu Protein (OR 2,63) und Fett (OR 2,38) signifikant; bei energie-insuffizienten keine signifikante Assoziation (OR 1,08; p=0,58).</w:t>
      </w:r>
    </w:p>
    <w:p>
      <w:r>
        <w:rPr>
          <w:b/>
          <w:sz w:val="19"/>
        </w:rPr>
        <w:t xml:space="preserve">Übertragbarkeit: </w:t>
      </w:r>
      <w:r>
        <w:rPr>
          <w:sz w:val="19"/>
        </w:rPr>
        <w:t>Südkorea; Ernährungsempfehlungen für Ältere gelten international, aber Energiebedarfsberechnung ist populationsspezifisch</w:t>
      </w:r>
    </w:p>
    <w:p>
      <w:r>
        <w:rPr>
          <w:color w:val="5A7D3A"/>
          <w:sz w:val="18"/>
        </w:rPr>
        <w:t>https://pubmed.ncbi.nlm.nih.gov/42942964/</w:t>
      </w:r>
    </w:p>
    <w:p>
      <w:pPr>
        <w:pStyle w:val="Heading2"/>
      </w:pPr>
      <w:r>
        <w:t>Frailty vorhersagt Mortalität bei akuter Herzinsuffizienz stärker als NT-proBNP</w:t>
      </w:r>
    </w:p>
    <w:p>
      <w:r>
        <w:rPr>
          <w:i/>
          <w:color w:val="666666"/>
          <w:sz w:val="18"/>
        </w:rPr>
        <w:t>Aletras G et al.  ·  Medicina (Kaunas)  ·  08.10.2026  ·  PMID 42942474</w:t>
      </w:r>
    </w:p>
    <w:p>
      <w:r>
        <w:t>Prospektive Single-Center-Registerstudie mit 530 hospitalisierten AHF-Patienten (Feb 2023–Juni 2025), Frailty nach Clinical Frailty Scale gegen kardiorenal-pathologische Variablen als Mortalitätsprädiktor.</w:t>
      </w:r>
    </w:p>
    <w:p>
      <w:r>
        <w:rPr>
          <w:b/>
        </w:rPr>
        <w:t xml:space="preserve">Ergebnis: </w:t>
      </w:r>
      <w:r>
        <w:t>Frailty stark mit 12-Monats-Mortalität assoziiert (HR 3,29 pro Stratum, 95% KI 2,43–4,45). Mortalität stieg: CFS 1–3: 4,5 %, CFS 4–5: 19,3 %, CFS 6–9: 49,7 %. Addition von CFS zum kardiorenal-Modell verbesserte C-Index von 0,701 auf 0,734 (optimism-korrigiert 0,694–0,726).</w:t>
      </w:r>
    </w:p>
    <w:p>
      <w:r>
        <w:rPr>
          <w:b/>
          <w:sz w:val="19"/>
        </w:rPr>
        <w:t xml:space="preserve">Übertragbarkeit: </w:t>
      </w:r>
      <w:r>
        <w:rPr>
          <w:sz w:val="19"/>
        </w:rPr>
        <w:t>Griechenland, Universitätsklinik; CFS-Messung in deutschen Kliniken praktikabel</w:t>
      </w:r>
    </w:p>
    <w:p>
      <w:r>
        <w:rPr>
          <w:color w:val="5A7D3A"/>
          <w:sz w:val="18"/>
        </w:rPr>
        <w:t>https://pubmed.ncbi.nlm.nih.gov/42942474/</w:t>
      </w:r>
    </w:p>
    <w:p>
      <w:pPr>
        <w:pStyle w:val="Heading2"/>
      </w:pPr>
      <w:r>
        <w:t>Intrinsic Capacity vorhersagt Erfolg kardiovaskulärer Rehabilitation bei Älteren</w:t>
      </w:r>
    </w:p>
    <w:p>
      <w:r>
        <w:rPr>
          <w:i/>
          <w:color w:val="666666"/>
          <w:sz w:val="18"/>
        </w:rPr>
        <w:t>Bencivenga L et al.  ·  J Nutr Health Aging  ·  26.09.2026  ·  PMID 42800461</w:t>
      </w:r>
    </w:p>
    <w:p>
      <w:r>
        <w:t>Prospektive Studie mit 551 italienischen Patienten ≥65 Jahren in kardialer Rehabilitation, vergleichend Intrinsic Capacity und Frailty Index als Prädiktoren für Gehstrecke nach Rehabilitation.</w:t>
      </w:r>
    </w:p>
    <w:p>
      <w:r>
        <w:rPr>
          <w:b/>
        </w:rPr>
        <w:t xml:space="preserve">Ergebnis: </w:t>
      </w:r>
      <w:r>
        <w:t>Intrinsic Capacity zeigte stärkere Assoziation mit Gehstreckengewinn (β=0,571; R²adj=0,362) als Frailty Index (β=-0,281; R²adj=0,235). Effektstärke für Intrinsic Capacity vs. Frailty: Differenz in R²adj von 0,127 Punkte (12,7 % besser erklärte Varianz).</w:t>
      </w:r>
    </w:p>
    <w:p>
      <w:r>
        <w:rPr>
          <w:b/>
          <w:sz w:val="19"/>
        </w:rPr>
        <w:t xml:space="preserve">Übertragbarkeit: </w:t>
      </w:r>
      <w:r>
        <w:rPr>
          <w:sz w:val="19"/>
        </w:rPr>
        <w:t>Italien, vergleichbares Sozialsystem; Comprehensive Geriatric Assessment etabliert in DACH-Ländern</w:t>
      </w:r>
    </w:p>
    <w:p>
      <w:r>
        <w:rPr>
          <w:color w:val="5A7D3A"/>
          <w:sz w:val="18"/>
        </w:rPr>
        <w:t>https://pubmed.ncbi.nlm.nih.gov/42800461/</w:t>
      </w:r>
    </w:p>
    <w:p>
      <w:pPr>
        <w:pStyle w:val="Heading2"/>
      </w:pPr>
      <w:r>
        <w:t>Bewegungsförderung älterer Menschen auf kommunaler Ebene: Strukturen, Barrieren, politische Strategien</w:t>
      </w:r>
    </w:p>
    <w:p>
      <w:r>
        <w:rPr>
          <w:i/>
          <w:color w:val="666666"/>
          <w:sz w:val="18"/>
        </w:rPr>
        <w:t>Aluttis C et al.  ·  Bundesgesundheitsblatt Gesundheitsforschung Gesundheitsschutz  ·  23.09.2026  ·  PMID 42776169</w:t>
      </w:r>
    </w:p>
    <w:p>
      <w:r>
        <w:t>Deutsche Qualitativ-Analyse zu Bewegungsförderung von über 65-Jährigen in Kommunen, untersucht Strukturen, Implementierungsbarrieren und Rolle von Narrativen in der Politikpriorisierung.</w:t>
      </w:r>
    </w:p>
    <w:p>
      <w:r>
        <w:rPr>
          <w:b/>
        </w:rPr>
        <w:t xml:space="preserve">Ergebnis: </w:t>
      </w:r>
      <w:r>
        <w:t>Mehrheit der 65+-Jährigen in Deutschland erfüllt Bewegungsempfehlungen nicht (Norm: Mangel statt Aktivität). Barrieren auf kommunaler Ebene: Fragmentierung, projektbezogene Ansätze, begrenzte Ressourcen. Lösungsfaktoren: aktivitätsfreundliche Strukturen (sichere Wege, erreichbare Ziele, öffentliche Räume); strategische Narrative können Priorisierung verschieben.</w:t>
      </w:r>
    </w:p>
    <w:p>
      <w:r>
        <w:rPr>
          <w:b/>
          <w:sz w:val="19"/>
        </w:rPr>
        <w:t xml:space="preserve">Übertragbarkeit: </w:t>
      </w:r>
      <w:r>
        <w:rPr>
          <w:sz w:val="19"/>
        </w:rPr>
        <w:t>Deutschland, direktes Erhebungsland; kommunale Ebene Schlüsselansatz im föderalen System</w:t>
      </w:r>
    </w:p>
    <w:p>
      <w:r>
        <w:rPr>
          <w:color w:val="5A7D3A"/>
          <w:sz w:val="18"/>
        </w:rPr>
        <w:t>https://pubmed.ncbi.nlm.nih.gov/42776169/</w:t>
      </w:r>
    </w:p>
    <w:p>
      <w:pPr>
        <w:pStyle w:val="Heading2"/>
      </w:pPr>
      <w:r>
        <w:t>Insulinresistenz-Surrogate vorhersagt Cardiometabolische Multimorbidität konsistent in China und England</w:t>
      </w:r>
    </w:p>
    <w:p>
      <w:r>
        <w:rPr>
          <w:i/>
          <w:color w:val="666666"/>
          <w:sz w:val="18"/>
        </w:rPr>
        <w:t>Wei J et al.  ·  Maturitas  ·  04.09.2026  ·  PMID 42721914</w:t>
      </w:r>
    </w:p>
    <w:p>
      <w:r>
        <w:t>Prospektive Kohortenstudie: China Health and Retirement Longitudinal Study + English Longitudinal Study of Ageing, harmonisierte Daten von älteren Teilnehmern, geschätzte Glukose-Disposal-Rate als Prädiktor für nicht-glykämische Herzerkrankung/-Schlaganfall und Multimorbidität-Progression.</w:t>
      </w:r>
    </w:p>
    <w:p>
      <w:r>
        <w:rPr>
          <w:b/>
        </w:rPr>
        <w:t xml:space="preserve">Ergebnis: </w:t>
      </w:r>
      <w:r>
        <w:t>Untere Glukose-Disposal-Rate mit Herzerkrankung/Schlaganfall-Inzidenz: HR 1,25 (KI 1,18–1,33) China, HR 1,23 (1,14–1,32) England; gepoolte HR 1,24 (1,19–1,30). External Concordance 0,66–0,68; Diskrimination besser als Hämoglobin A1c allein, aber nicht über Einzelkomponenten hinaus.</w:t>
      </w:r>
    </w:p>
    <w:p>
      <w:r>
        <w:rPr>
          <w:b/>
          <w:sz w:val="19"/>
        </w:rPr>
        <w:t xml:space="preserve">Übertragbarkeit: </w:t>
      </w:r>
      <w:r>
        <w:rPr>
          <w:sz w:val="19"/>
        </w:rPr>
        <w:t>China + England; Crossover-Validität, aber absolute Risikokalibrierung erfordert lokale Anpassung</w:t>
      </w:r>
    </w:p>
    <w:p>
      <w:r>
        <w:rPr>
          <w:color w:val="5A7D3A"/>
          <w:sz w:val="18"/>
        </w:rPr>
        <w:t>https://pubmed.ncbi.nlm.nih.gov/42721914/</w:t>
      </w:r>
    </w:p>
    <w:p>
      <w:pPr>
        <w:pStyle w:val="Heading2"/>
      </w:pPr>
      <w:r>
        <w:t>Frailty beschleunigt Multimorbiditätsaccumulation und kostet Jahre voller Gesundheit</w:t>
      </w:r>
    </w:p>
    <w:p>
      <w:r>
        <w:rPr>
          <w:i/>
          <w:color w:val="666666"/>
          <w:sz w:val="18"/>
        </w:rPr>
        <w:t>Xing X et al.  ·  J Nutr Health Aging  ·  04.09.2026  ·  PMID 42697174</w:t>
      </w:r>
    </w:p>
    <w:p>
      <w:r>
        <w:t>Multistate-Analyse von 276.696 UK-Biobank-Teilnehmern ohne Grunderkrankungen (mittleres Alter 55,3 Jahre), Frailty-Phänotyp als Prädiktor für Transition zu Erkrankung und Multimorbidität über 13 Jahre.</w:t>
      </w:r>
    </w:p>
    <w:p>
      <w:r>
        <w:rPr>
          <w:b/>
        </w:rPr>
        <w:t xml:space="preserve">Ergebnis: </w:t>
      </w:r>
      <w:r>
        <w:t>Frail-Gruppe verlor 2,72 Jahre (95% KI 2,64–2,81) multimorbidität-freies Überleben über 12 Jahre. Transition von gesund zu Erkrankung: HR 1,77 (1,72–1,83); von Erkrankung zu Multimorbidität: HR 1,73 (1,68–1,79). Eliminierung von Pre-Frailty/Frailty könnte 9,85 % der Inzidenzfälle verhindern.</w:t>
      </w:r>
    </w:p>
    <w:p>
      <w:r>
        <w:rPr>
          <w:b/>
          <w:sz w:val="19"/>
        </w:rPr>
        <w:t xml:space="preserve">Übertragbarkeit: </w:t>
      </w:r>
      <w:r>
        <w:rPr>
          <w:sz w:val="19"/>
        </w:rPr>
        <w:t>UK Biobank; Frailty-Screening in Prävention übertragbar auf deutsche Primärversorgung</w:t>
      </w:r>
    </w:p>
    <w:p>
      <w:r>
        <w:rPr>
          <w:color w:val="5A7D3A"/>
          <w:sz w:val="18"/>
        </w:rPr>
        <w:t>https://pubmed.ncbi.nlm.nih.gov/42697174/</w:t>
      </w:r>
    </w:p>
    <w:p>
      <w:pPr>
        <w:pStyle w:val="Heading1"/>
      </w:pPr>
      <w:r>
        <w:t>Aufgenommen am 27.10.2026</w:t>
      </w:r>
    </w:p>
    <w:p>
      <w:pPr>
        <w:pStyle w:val="Heading2"/>
      </w:pPr>
      <w:r>
        <w:t>Gefäßchirurgie: Geriatrisches Konsil senkt Sterblichkeit und Komplikationen bei älteren Patienten</w:t>
      </w:r>
    </w:p>
    <w:p>
      <w:r>
        <w:rPr>
          <w:i/>
          <w:color w:val="666666"/>
          <w:sz w:val="18"/>
        </w:rPr>
        <w:t>Power Foley M et al.  ·  Age Ageing  ·  03.08.2026  ·  PMID 42933995</w:t>
      </w:r>
    </w:p>
    <w:p>
      <w:r>
        <w:t>Systematische Übersicht von 8 Studien mit 2.441 Patienten, die formalisierte geriatrische Interventionen (präoperatives Comprehensive Assessment, Liaison-Service oder Co-Management) vor/während Gefäßchirurgie mit Standardversorgung verglich.</w:t>
      </w:r>
    </w:p>
    <w:p>
      <w:r>
        <w:rPr>
          <w:b/>
        </w:rPr>
        <w:t xml:space="preserve">Ergebnis: </w:t>
      </w:r>
      <w:r>
        <w:t>Geriatrische Modelle waren assoziiert mit reduziertem Risiko für Krankenhaussterblichkeit (RR 0,65; 95%-CI 0,46–0,90; p=0,010), kardiale Komplikationen (RR 0,35; p&lt;0,001) und Infektionen (RR 0,48; p&lt;0,001). Delirium-Risiko war nicht signifikant gesenkt. Verweildauer und Entlassungsort unterschieden sich nicht.</w:t>
      </w:r>
    </w:p>
    <w:p>
      <w:r>
        <w:rPr>
          <w:b/>
          <w:sz w:val="19"/>
        </w:rPr>
        <w:t xml:space="preserve">Übertragbarkeit: </w:t>
      </w:r>
      <w:r>
        <w:rPr>
          <w:sz w:val="19"/>
        </w:rPr>
        <w:t>Irland und Großbritannien; Befund übertragbar auf deutsches Gesundheitssystem mit ähnlichem Auftrag zur geriatrischen Ko-Versorgung.</w:t>
      </w:r>
    </w:p>
    <w:p>
      <w:r>
        <w:rPr>
          <w:color w:val="5A7D3A"/>
          <w:sz w:val="18"/>
        </w:rPr>
        <w:t>https://pubmed.ncbi.nlm.nih.gov/42933995/</w:t>
      </w:r>
    </w:p>
    <w:p>
      <w:pPr>
        <w:pStyle w:val="Heading2"/>
      </w:pPr>
      <w:r>
        <w:t>Depression und Frailty: Depressive Symptome verdoppeln Gebrechlichkeitsrisiko bei älteren Patienten mit Kardiometabolischer Erkrankung</w:t>
      </w:r>
    </w:p>
    <w:p>
      <w:r>
        <w:rPr>
          <w:i/>
          <w:color w:val="666666"/>
          <w:sz w:val="18"/>
        </w:rPr>
        <w:t>Kobayashi F et al.  ·  PLoS One  ·  26.10.2026  ·  PMID 42932359</w:t>
      </w:r>
    </w:p>
    <w:p>
      <w:r>
        <w:t>Längscohortenstudie von 431 Patienten ≥65 Jahren mit kardiometabolischen Erkrankungen (Nachbeobachtung Median 2,9 Jahre) zur Assoziation depressiver Symptome (GDS-15 ≥5) mit neu aufgetretener Frailty.</w:t>
      </w:r>
    </w:p>
    <w:p>
      <w:r>
        <w:rPr>
          <w:b/>
        </w:rPr>
        <w:t xml:space="preserve">Ergebnis: </w:t>
      </w:r>
      <w:r>
        <w:t>Depressive Symptome waren unabhängig assoziiert mit Frailty (adjustierte HR für mCHS-Definition 1,92; 95%-CI 1,60–2,31; für KCL-Definition 2,05; 95%-CI 1,70–2,48). Signifikante Interaktion zwischen Depression und Diabetes: Patienten mit beiden Merkmalen hatten markant erhöhtes Frailty-Risiko.</w:t>
      </w:r>
    </w:p>
    <w:p>
      <w:r>
        <w:rPr>
          <w:b/>
          <w:sz w:val="19"/>
        </w:rPr>
        <w:t xml:space="preserve">Übertragbarkeit: </w:t>
      </w:r>
      <w:r>
        <w:rPr>
          <w:sz w:val="19"/>
        </w:rPr>
        <w:t>Japan; Befund ist altersunabhängig übertragbar, aber Messinstrumente (mCHS, KCL) sind von regionaler Anwendbarkeit abhängig.</w:t>
      </w:r>
    </w:p>
    <w:p>
      <w:r>
        <w:rPr>
          <w:color w:val="5A7D3A"/>
          <w:sz w:val="18"/>
        </w:rPr>
        <w:t>https://pubmed.ncbi.nlm.nih.gov/42932359/</w:t>
      </w:r>
    </w:p>
    <w:p>
      <w:pPr>
        <w:pStyle w:val="Heading2"/>
      </w:pPr>
      <w:r>
        <w:t>Schlaganfall-Rehabilitation: Ältere Patienten über 80 Jahren profitieren weniger von koordinierter Langzeitintervention</w:t>
      </w:r>
    </w:p>
    <w:p>
      <w:r>
        <w:rPr>
          <w:i/>
          <w:color w:val="666666"/>
          <w:sz w:val="18"/>
        </w:rPr>
        <w:t>Ihle-Hansen H et al.  ·  J Rehabil Med  ·  26.10.2026  ·  PMID 42929098</w:t>
      </w:r>
    </w:p>
    <w:p>
      <w:r>
        <w:t>Randomisierte Studie an 301 norwegischen Patienten nach Schlaganfall (Durchschnittsalter 71 Jahre), die eine 18 Monate andauernde koordinierte Intervention mit monatlichen Treffen versus Standardversorgung verglich.</w:t>
      </w:r>
    </w:p>
    <w:p>
      <w:r>
        <w:rPr>
          <w:b/>
        </w:rPr>
        <w:t xml:space="preserve">Ergebnis: </w:t>
      </w:r>
      <w:r>
        <w:t>Bei Patienten ≥80 Jahren war die Wahrscheinlichkeit für günstige Funktionsergebnisse in der Interventionsgruppe signifikant niedriger als in der Kontrolle (23,4 % vs. 57,0 %; p=0,004). Bei jüngeren Patienten verbesserte die Intervention die kognitiven Testergebnisse (Trail Making Test B: −32,2 s; p=0,015). Frailty als solche modifizierte die Interventionswirkung nicht.</w:t>
      </w:r>
    </w:p>
    <w:p>
      <w:r>
        <w:rPr>
          <w:b/>
          <w:sz w:val="19"/>
        </w:rPr>
        <w:t xml:space="preserve">Übertragbarkeit: </w:t>
      </w:r>
      <w:r>
        <w:rPr>
          <w:sz w:val="19"/>
        </w:rPr>
        <w:t>Norwegen, vergleichbares europäisches Versicherungssystem; Befund zu Altersgrenze hat universelle Relevanz für Geriatrie.</w:t>
      </w:r>
    </w:p>
    <w:p>
      <w:r>
        <w:rPr>
          <w:color w:val="5A7D3A"/>
          <w:sz w:val="18"/>
        </w:rPr>
        <w:t>https://pubmed.ncbi.nlm.nih.gov/42929098/</w:t>
      </w:r>
    </w:p>
    <w:p>
      <w:pPr>
        <w:pStyle w:val="Heading2"/>
      </w:pPr>
      <w:r>
        <w:t>Umweltbelastung und Schilddrüse: Benzol-Exposition erhöht Dysfunktionsrisiko durch Beschleunigung biologischen Alterns</w:t>
      </w:r>
    </w:p>
    <w:p>
      <w:r>
        <w:rPr>
          <w:i/>
          <w:color w:val="666666"/>
          <w:sz w:val="18"/>
        </w:rPr>
        <w:t>Yu L et al.  ·  Front Public Health  ·  17.09.2026  ·  PMID 42823953</w:t>
      </w:r>
    </w:p>
    <w:p>
      <w:r>
        <w:t>Kohortenstudie von 385.130 UK-Biobank-Teilnehmern zur Assoziation chronischer Benzol-Exposition mit Hypothyreose und Hyperthyreose; Testung, ob biologisches Altern den Effekt mediiert.</w:t>
      </w:r>
    </w:p>
    <w:p>
      <w:r>
        <w:rPr>
          <w:b/>
        </w:rPr>
        <w:t xml:space="preserve">Ergebnis: </w:t>
      </w:r>
      <w:r>
        <w:t>Benzol-Exposition zeigte dosisabhängige Assoziation mit Hypothyreose (HR pro 1 μg/m³: 1,19; 95%-CI 1,16–1,21) und Hyperthyreose (HR 1,21; 95%-CI 1,18–1,25). Beschleunigte biologische Alterung mediierte 3,07 % des Benzol-Hyperthyreose-Effekts; additive Interaktion mit höherem biologischem Alter auf Hypothyreose.</w:t>
      </w:r>
    </w:p>
    <w:p>
      <w:r>
        <w:rPr>
          <w:b/>
          <w:sz w:val="19"/>
        </w:rPr>
        <w:t xml:space="preserve">Übertragbarkeit: </w:t>
      </w:r>
      <w:r>
        <w:rPr>
          <w:sz w:val="19"/>
        </w:rPr>
        <w:t>UK Biobank; Luftqualitätsdaten sind in Deutschland verfügbar; biologische Altersmarker sind populationsübergreifend einsetzbar.</w:t>
      </w:r>
    </w:p>
    <w:p>
      <w:r>
        <w:rPr>
          <w:color w:val="5A7D3A"/>
          <w:sz w:val="18"/>
        </w:rPr>
        <w:t>https://pubmed.ncbi.nlm.nih.gov/42823953/</w:t>
      </w:r>
    </w:p>
    <w:p>
      <w:pPr>
        <w:pStyle w:val="Heading2"/>
      </w:pPr>
      <w:r>
        <w:t>Beschleunigte biologische Alterung erhöht Gicht-Risiko und Sterblichkeit bei älteren Menschen</w:t>
      </w:r>
    </w:p>
    <w:p>
      <w:r>
        <w:rPr>
          <w:i/>
          <w:color w:val="666666"/>
          <w:sz w:val="18"/>
        </w:rPr>
        <w:t>Zhao H et al.  ·  Maturitas  ·  25.09.2026  ·  PMID 42815273</w:t>
      </w:r>
    </w:p>
    <w:p>
      <w:r>
        <w:t>Querschnitts- und Kohortenstudie mit 385.130 UK-Biobank-Teilnehmern und 5.228 NHANES-Erwachsenen zur Assoziation von biologischem Altern (KDMAge, PhenoAge) mit Gicht-Prävalenz, Gicht-Inzidenz und Mortalität.</w:t>
      </w:r>
    </w:p>
    <w:p>
      <w:r>
        <w:rPr>
          <w:b/>
        </w:rPr>
        <w:t xml:space="preserve">Ergebnis: </w:t>
      </w:r>
      <w:r>
        <w:t>In NHANES war jedes Jahr biologischer Alterungsbeschleunigung mit 4 % erhöhtem Gicht-Risiko verbunden (OR 1,04; 95%-CI 1,03–1,05). Im UK Biobank: HR für Gicht-Neuauftreten bei KDMAge-Beschleunigung 1,80 (95%-CI 1,71–1,90). Bei Gicht-Patienten: beschleunigte biologische Alterung war mit 21–134 % erhöhtem Sterberisiko assoziiert (HR 1,21–2,34).</w:t>
      </w:r>
    </w:p>
    <w:p>
      <w:r>
        <w:rPr>
          <w:b/>
          <w:sz w:val="19"/>
        </w:rPr>
        <w:t xml:space="preserve">Übertragbarkeit: </w:t>
      </w:r>
      <w:r>
        <w:rPr>
          <w:sz w:val="19"/>
        </w:rPr>
        <w:t>UK Biobank und NHANES; biologische Altersmarker sind populationsübergreifend relevant, aber absolute Risiken gelten nur lokal.</w:t>
      </w:r>
    </w:p>
    <w:p>
      <w:r>
        <w:rPr>
          <w:color w:val="5A7D3A"/>
          <w:sz w:val="18"/>
        </w:rPr>
        <w:t>https://pubmed.ncbi.nlm.nih.gov/42815273/</w:t>
      </w:r>
    </w:p>
    <w:p>
      <w:pPr>
        <w:pStyle w:val="Heading2"/>
      </w:pPr>
      <w:r>
        <w:t>Armmuskulatur und Frailty: Dysbalance zwischen Fett und Muskel als klinisches Marker für biologische Alterung</w:t>
      </w:r>
    </w:p>
    <w:p>
      <w:r>
        <w:rPr>
          <w:i/>
          <w:color w:val="666666"/>
          <w:sz w:val="18"/>
        </w:rPr>
        <w:t>Sun Z et al.  ·  Maturitas  ·  17.09.2026  ·  PMID 42777331</w:t>
      </w:r>
    </w:p>
    <w:p>
      <w:r>
        <w:t>Querschnittsanalyse von 445.317 UK-Biobank-Teilnehmern zur Assoziation von regionalem Fett-Muskel-Verhältnis (aus Bioimpedanz) mit Frailty-Status und proteingestütztem biologischem Altern.</w:t>
      </w:r>
    </w:p>
    <w:p>
      <w:r>
        <w:rPr>
          <w:b/>
        </w:rPr>
        <w:t xml:space="preserve">Ergebnis: </w:t>
      </w:r>
      <w:r>
        <w:t>Höhere Fett-Muskel-Quoten waren dosisabhängig assoziiert mit Pre-Frailty und Frailty; Arm-Verhältnis war stärkster regionaler Prädiktor (Frauen: OR 2,95 für Frailty; 95%-CI 2,75–3,18). Arm-Quote verbesserte die BMI-basierte Diskrimination um AUC 0,0068–0,0137. Konkordanz mit multi-organ proteingestütztem Alterungsmuster.</w:t>
      </w:r>
    </w:p>
    <w:p>
      <w:r>
        <w:rPr>
          <w:b/>
          <w:sz w:val="19"/>
        </w:rPr>
        <w:t xml:space="preserve">Übertragbarkeit: </w:t>
      </w:r>
      <w:r>
        <w:rPr>
          <w:sz w:val="19"/>
        </w:rPr>
        <w:t>UK Biobank; körperanalytische Methoden sind in Deutschland verfügbar; Befund erfordert Validierung an deutschen Kohorten.</w:t>
      </w:r>
    </w:p>
    <w:p>
      <w:r>
        <w:rPr>
          <w:color w:val="5A7D3A"/>
          <w:sz w:val="18"/>
        </w:rPr>
        <w:t>https://pubmed.ncbi.nlm.nih.gov/42777331/</w:t>
      </w:r>
    </w:p>
    <w:p>
      <w:pPr>
        <w:pStyle w:val="Heading1"/>
      </w:pPr>
      <w:r>
        <w:t>Aufgenommen am 26.10.2026</w:t>
      </w:r>
    </w:p>
    <w:p>
      <w:pPr>
        <w:pStyle w:val="Heading2"/>
      </w:pPr>
      <w:r>
        <w:t>Frailty-Assessments in präoperativer Geriatrie: systematische Übersicht von 35 Werkzeugen</w:t>
      </w:r>
    </w:p>
    <w:p>
      <w:r>
        <w:rPr>
          <w:i/>
          <w:color w:val="666666"/>
          <w:sz w:val="18"/>
        </w:rPr>
        <w:t>Chesney TR et al.  ·  BJS Open  ·  04.09.2026  ·  PMID 42925091</w:t>
      </w:r>
    </w:p>
    <w:p>
      <w:r>
        <w:t>Systematische Scoping Review von 160 Studien zu 35 Frailty-Messinstrumenten bei Personen ≥65 Jahren vor großen Operationen, untersucht anhand von 6 Performanzmetriken (Messeigenschaften, klinische Implikationen, praktische Faktoren).</w:t>
      </w:r>
    </w:p>
    <w:p>
      <w:r>
        <w:rPr>
          <w:b/>
        </w:rPr>
        <w:t xml:space="preserve">Ergebnis: </w:t>
      </w:r>
      <w:r>
        <w:t>Clinical Frailty Scale extensiv erforscht (4 von 6 Metriken), aber 40 % der Tools nur in einer Studie untersucht. Edmonton Frail Scale einziges Tool über alle 6 Metriken validiert. FRAIL scale, Geriatric 8 und Vulnerable Elders Survey-13 zeigen gute Balance zwischen Simplizität und Evidenzlage. Prädiktive Validität am meisten untersucht, während klinische Auswirkungen und Implementierungsfaktoren untererforscht.</w:t>
      </w:r>
    </w:p>
    <w:p>
      <w:r>
        <w:rPr>
          <w:b/>
          <w:sz w:val="19"/>
        </w:rPr>
        <w:t xml:space="preserve">Übertragbarkeit: </w:t>
      </w:r>
      <w:r>
        <w:rPr>
          <w:sz w:val="19"/>
        </w:rPr>
        <w:t>Kanada, Cochrane Review – internationale Standards; Auswahl übertragbar auf deutschsprachige Kliniken.</w:t>
      </w:r>
    </w:p>
    <w:p>
      <w:r>
        <w:rPr>
          <w:color w:val="5A7D3A"/>
          <w:sz w:val="18"/>
        </w:rPr>
        <w:t>https://pubmed.ncbi.nlm.nih.gov/42925091/</w:t>
      </w:r>
    </w:p>
    <w:p>
      <w:pPr>
        <w:pStyle w:val="Heading2"/>
      </w:pPr>
      <w:r>
        <w:t>Arbeitsplatzmaßnahmen für gesundes Altern: Verfügbarkeit und Effekt auf Arbeitsfähigkeit in Italien</w:t>
      </w:r>
    </w:p>
    <w:p>
      <w:r>
        <w:rPr>
          <w:i/>
          <w:color w:val="666666"/>
          <w:sz w:val="18"/>
        </w:rPr>
        <w:t>Dragano N et al.  ·  Med Lav  ·  23.10.2026  ·  PMID 42925044</w:t>
      </w:r>
    </w:p>
    <w:p>
      <w:r>
        <w:t>Querschnittstudie an 3.741 berufstätigen Personen im Alter 50–65 Jahren in Italien, die Verfügbarkeit von 20 Maßnahmen zur Förderung gesunden Alterns sowie deren Assoziationen mit dem Work Ability Index (WAI) untersuchte.</w:t>
      </w:r>
    </w:p>
    <w:p>
      <w:r>
        <w:rPr>
          <w:b/>
        </w:rPr>
        <w:t xml:space="preserve">Ergebnis: </w:t>
      </w:r>
      <w:r>
        <w:t>Durchschnittliche Verfügbarkeit von 5 von 20 Maßnahmen (viele unter 20 % der Arbeitnehmer); weniger verfügbar für Frauen, mit niedrigem Einkommen, in bestimmten Wirtschaftssektoren und bei befristeten Verträgen. Höhere Verfügbarkeit von Maßnahmen assoziiert mit besserem WAI (β = 0,107; 95%-KI 0,058–0,157). Implementierung bleibt noch deutlich ausbaubar, besonders für benachteiligte Arbeitnehmergruppen.</w:t>
      </w:r>
    </w:p>
    <w:p>
      <w:r>
        <w:rPr>
          <w:b/>
          <w:sz w:val="19"/>
        </w:rPr>
        <w:t xml:space="preserve">Übertragbarkeit: </w:t>
      </w:r>
      <w:r>
        <w:rPr>
          <w:sz w:val="19"/>
        </w:rPr>
        <w:t>Italien/DACH-Nachbar, vergleichbarer Arbeitsmarkt und Sozialversicherung.</w:t>
      </w:r>
    </w:p>
    <w:p>
      <w:r>
        <w:rPr>
          <w:color w:val="5A7D3A"/>
          <w:sz w:val="18"/>
        </w:rPr>
        <w:t>https://pubmed.ncbi.nlm.nih.gov/42925044/</w:t>
      </w:r>
    </w:p>
    <w:p>
      <w:pPr>
        <w:pStyle w:val="Heading2"/>
      </w:pPr>
      <w:r>
        <w:t>Digitale Teilhabe älterer Menschen mit Gebrechlichkeit: qualitative Analyse von fünf Nutzer-Profilen</w:t>
      </w:r>
    </w:p>
    <w:p>
      <w:r>
        <w:rPr>
          <w:i/>
          <w:color w:val="666666"/>
          <w:sz w:val="18"/>
        </w:rPr>
        <w:t>Ren K et al.  ·  Front Public Health  ·  08.10.2026  ·  PMID 42923139</w:t>
      </w:r>
    </w:p>
    <w:p>
      <w:r>
        <w:t>Qualitative Studie mit 24 älteren Erwachsenen mit Interneterfahrung, die Muster der Internetnutzung nach Gebrechlichkeit mittels semi-strukturierter Interviews und inductiver Inhaltsanalyse mit Entwicklung von fünf User-Personas analysierte.</w:t>
      </w:r>
    </w:p>
    <w:p>
      <w:r>
        <w:rPr>
          <w:b/>
        </w:rPr>
        <w:t xml:space="preserve">Ergebnis: </w:t>
      </w:r>
      <w:r>
        <w:t>Fünf Personas identifiziert: Health-Empowered Integrators, Basic-Function Adapters, Entertainment-Oriented Users, Resource-Limited Users, Health-Affected Users. Kernfindung: Gebrechlichkeit korreliert nicht direkt mit Internetnutzung; stattdessen bestimmen Gesundheitsfunktionsfähigkeit, digitale Kompetenzen, Bildungsressourcen und soziale Unterstützung gemeinsam die Muster. Gezielte Unterstützung nach Persona-Merkmalen könnte digitale Gerechtigkeit und Zugang zu Gesundheitsressourcen verbessern.</w:t>
      </w:r>
    </w:p>
    <w:p>
      <w:r>
        <w:rPr>
          <w:b/>
          <w:sz w:val="19"/>
        </w:rPr>
        <w:t xml:space="preserve">Übertragbarkeit: </w:t>
      </w:r>
      <w:r>
        <w:rPr>
          <w:sz w:val="19"/>
        </w:rPr>
        <w:t>China, qualitative Methode universell; Persona-Ansatz zur Gesundheitsdigitalisierung übertragbar.</w:t>
      </w:r>
    </w:p>
    <w:p>
      <w:r>
        <w:rPr>
          <w:color w:val="5A7D3A"/>
          <w:sz w:val="18"/>
        </w:rPr>
        <w:t>https://pubmed.ncbi.nlm.nih.gov/42923139/</w:t>
      </w:r>
    </w:p>
    <w:p>
      <w:pPr>
        <w:pStyle w:val="Heading2"/>
      </w:pPr>
      <w:r>
        <w:t>Integrierte Altenpolitik und Lebensqualität: Difference-in-Differences-Analyse über 24 Länder</w:t>
      </w:r>
    </w:p>
    <w:p>
      <w:r>
        <w:rPr>
          <w:i/>
          <w:color w:val="666666"/>
          <w:sz w:val="18"/>
        </w:rPr>
        <w:t>Tu Y et al.  ·  Front Public Health  ·  09.10.2026  ·  PMID 42920700</w:t>
      </w:r>
    </w:p>
    <w:p>
      <w:r>
        <w:t>Differenzen-in-Differenzen-Analyse mit Daten von 24 Ländern (2018–2025), vergleichend 11 Länder mit nationalen integrierten Altenpflegepolitiken (2021–2022 eingeführt) mit 13 Kontrollländern, Endpunkte Lebensqualitätsindex und Lebenserwartung mit 60 Jahren.</w:t>
      </w:r>
    </w:p>
    <w:p>
      <w:r>
        <w:rPr>
          <w:b/>
        </w:rPr>
        <w:t xml:space="preserve">Ergebnis: </w:t>
      </w:r>
      <w:r>
        <w:t>Politikadoption assoziiert mit +3,84 Punkten im Lebensqualitätsindex (95%-KI 2,39–5,30; p&lt;0,01; 0,33 SD) und +1,13 Jahren Lebenserwartung mit 60 Jahren (95%-KI 0,50–1,75; p&lt;0,01; 0,36 SD). Effekte stiegen von Jahr 1 (1,26 Punkte) auf Jahr 3 nach Einführung (3,84 Punkte). Mechanismen: Erhöhte universelle Krankenversicherung (+4,13), Ausweitung Sozialschutz (+5,28), reduzierte Selbstbeteiligung (−3,42). Effekte robuster in Ländern mit niedrigerem Einkommen.</w:t>
      </w:r>
    </w:p>
    <w:p>
      <w:r>
        <w:rPr>
          <w:b/>
          <w:sz w:val="19"/>
        </w:rPr>
        <w:t xml:space="preserve">Übertragbarkeit: </w:t>
      </w:r>
      <w:r>
        <w:rPr>
          <w:sz w:val="19"/>
        </w:rPr>
        <w:t>Globale Evidenz, DACH-orientiert; Ergebnis hängt an Finanzierungssystem – teilweise übertragbar auf deutsche Ländermodelle.</w:t>
      </w:r>
    </w:p>
    <w:p>
      <w:r>
        <w:rPr>
          <w:color w:val="5A7D3A"/>
          <w:sz w:val="18"/>
        </w:rPr>
        <w:t>https://pubmed.ncbi.nlm.nih.gov/42920700/</w:t>
      </w:r>
    </w:p>
    <w:p>
      <w:pPr>
        <w:pStyle w:val="Heading2"/>
      </w:pPr>
      <w:r>
        <w:t>Clinical Frailty Scale: Assoziationen mit Lebensqualität bei akut hospitalisierten Älteren</w:t>
      </w:r>
    </w:p>
    <w:p>
      <w:r>
        <w:rPr>
          <w:i/>
          <w:color w:val="666666"/>
          <w:sz w:val="18"/>
        </w:rPr>
        <w:t>Roa Santervas L et al.  ·  J Frailty Aging  ·  17.10.2026  ·  PMID 42891948</w:t>
      </w:r>
    </w:p>
    <w:p>
      <w:r>
        <w:t>Cross-sektonale Studie an 382 Patienten ≥70 Jahren in einer norwegischen Notfallaufnahme, die Zusammenhänge zwischen Clinical Frailty Scale und allgemeiner sowie oraler gesundheitsbezogener Lebensqualität untersuchte.</w:t>
      </w:r>
    </w:p>
    <w:p>
      <w:r>
        <w:rPr>
          <w:b/>
        </w:rPr>
        <w:t xml:space="preserve">Ergebnis: </w:t>
      </w:r>
      <w:r>
        <w:t>Zunehmende Gebrechlichkeit war signifikant mit niedrigeren 15D-Scores assoziiert (adjustiertes B −0,053; 95%-KI −0,061 bis −0,045), höheren Odds für niedrigere Lebenszufriedenheit (adjustierte OR 1,19; 95%-KI 1,02–1,39) und höheren Odds für negative Auswirkungen der Mundgesundheit (adjustierte OR 1,25; 95%-KI 1,05–1,48). Einfache Frailty-Bewertung bei akuter Aufnahme kann Patienten mit schlechterer Lebensqualität identifizieren.</w:t>
      </w:r>
    </w:p>
    <w:p>
      <w:r>
        <w:rPr>
          <w:b/>
          <w:sz w:val="19"/>
        </w:rPr>
        <w:t xml:space="preserve">Übertragbarkeit: </w:t>
      </w:r>
      <w:r>
        <w:rPr>
          <w:sz w:val="19"/>
        </w:rPr>
        <w:t>Norwegen, vergleichbares Versicherungssystem, ähnliche Notfallversorgungsstruktur.</w:t>
      </w:r>
    </w:p>
    <w:p>
      <w:r>
        <w:rPr>
          <w:color w:val="5A7D3A"/>
          <w:sz w:val="18"/>
        </w:rPr>
        <w:t>https://pubmed.ncbi.nlm.nih.gov/42891948/</w:t>
      </w:r>
    </w:p>
    <w:p>
      <w:pPr>
        <w:pStyle w:val="Heading2"/>
      </w:pPr>
      <w:r>
        <w:t>Gemeindeübungen und Funktionsbesserung bei älteren Menschen mit Gebrechlichkeit</w:t>
      </w:r>
    </w:p>
    <w:p>
      <w:r>
        <w:rPr>
          <w:i/>
          <w:color w:val="666666"/>
          <w:sz w:val="18"/>
        </w:rPr>
        <w:t>O'Shea M et al.  ·  J Frailty Aging  ·  05.10.2026  ·  PMID 42832337</w:t>
      </w:r>
    </w:p>
    <w:p>
      <w:r>
        <w:t>Prospektive Kohortenstudie mit 1.290 Teilnehmern (Durchschnittsalter 69 Jahre) in einem irischen, medizinisch betreuten Gruppentrainingsprogramm, stratifiziert nach Baseline-Gebrechlichkeit über 24 Wochen.</w:t>
      </w:r>
    </w:p>
    <w:p>
      <w:r>
        <w:rPr>
          <w:b/>
        </w:rPr>
        <w:t xml:space="preserve">Ergebnis: </w:t>
      </w:r>
      <w:r>
        <w:t>Bei Baseline 15 % fraile, 23 % präfraile, 62 % robuste Teilnehmer. Fraile Patienten zeigten Verbesserungen in Gehgeschwindigkeit, Timed Up and Go, sechsminütigem Gehtest und EQVAS zwischen Baseline und Woche 24; Präfraile in Sit-to-Stand, sechsminütigem Test und EQVAS; robuste in allen Maßnahmen. Programm war mit Funktionsverbesserungen über alle Frailty-Gruppen hinweg assoziiert.</w:t>
      </w:r>
    </w:p>
    <w:p>
      <w:r>
        <w:rPr>
          <w:b/>
          <w:sz w:val="19"/>
        </w:rPr>
        <w:t xml:space="preserve">Übertragbarkeit: </w:t>
      </w:r>
      <w:r>
        <w:rPr>
          <w:sz w:val="19"/>
        </w:rPr>
        <w:t>Irland, vergleichbares Primärversorgungssystem, Community-Setting übertragbar.</w:t>
      </w:r>
    </w:p>
    <w:p>
      <w:r>
        <w:rPr>
          <w:color w:val="5A7D3A"/>
          <w:sz w:val="18"/>
        </w:rPr>
        <w:t>https://pubmed.ncbi.nlm.nih.gov/42832337/</w:t>
      </w:r>
    </w:p>
    <w:p>
      <w:pPr>
        <w:pStyle w:val="Heading2"/>
      </w:pPr>
      <w:r>
        <w:t>Gebrechlichkeit und Palliativbedarf: Unterscheidung durch Fachleute – qualitative Fallstudiensynthese</w:t>
      </w:r>
    </w:p>
    <w:p>
      <w:r>
        <w:rPr>
          <w:i/>
          <w:color w:val="666666"/>
          <w:sz w:val="18"/>
        </w:rPr>
        <w:t>van der Ploeg T et al.  ·  J Frailty Aging  ·  05.09.2026  ·  PMID 42700391</w:t>
      </w:r>
    </w:p>
    <w:p>
      <w:r>
        <w:t>Qualitative Studie mit 15 Fallstudien, präsentiert an Fachleute in Niederlanden und Belgien (n=Respondenten mit Expertise), die Fähigkeit zur Unterscheidung zwischen Frailty-Komponenten und Palliativbedarf sowie Sicherheit dieser Urteile untersuchte.</w:t>
      </w:r>
    </w:p>
    <w:p>
      <w:r>
        <w:rPr>
          <w:b/>
        </w:rPr>
        <w:t xml:space="preserve">Ergebnis: </w:t>
      </w:r>
      <w:r>
        <w:t>Fachleute nutzen unterschiedliche Komponenten zur Klassifikation: In den meisten Fällen unterscheiden sich Frailty- und Palliativbewertungen signifikant (p&lt;0,05). Fachleute sind sicherer in der Erkennung von Frailty-Komponenten als Palliativbedarf. Erkenntnis: Patienten können Frailty-Komponenten haben ohne Palliativbedarf, aber nicht umgekehrt erkannt. Besseres Verständnis für Progression von Frailty zu Palliativbedarf könnte patientenzentrierte Versorgung und Lebensqualität verbessern.</w:t>
      </w:r>
    </w:p>
    <w:p>
      <w:r>
        <w:rPr>
          <w:b/>
          <w:sz w:val="19"/>
        </w:rPr>
        <w:t xml:space="preserve">Übertragbarkeit: </w:t>
      </w:r>
      <w:r>
        <w:rPr>
          <w:sz w:val="19"/>
        </w:rPr>
        <w:t>Niederlande/Belgien, deutschsprachige Gesundheitssysteme ähnlich; Befunde zur Versorgungsüberleitung anwendbar.</w:t>
      </w:r>
    </w:p>
    <w:p>
      <w:r>
        <w:rPr>
          <w:color w:val="5A7D3A"/>
          <w:sz w:val="18"/>
        </w:rPr>
        <w:t>https://pubmed.ncbi.nlm.nih.gov/42700391/</w:t>
      </w:r>
    </w:p>
    <w:p>
      <w:pPr>
        <w:pStyle w:val="Heading1"/>
      </w:pPr>
      <w:r>
        <w:t>Aufgenommen am 25.10.2026</w:t>
      </w:r>
    </w:p>
    <w:p>
      <w:pPr>
        <w:pStyle w:val="Heading2"/>
      </w:pPr>
      <w:r>
        <w:t>Frailty-Screening mit Prävention senkt Pflegequoten bei Älteren</w:t>
      </w:r>
    </w:p>
    <w:p>
      <w:r>
        <w:rPr>
          <w:i/>
          <w:color w:val="666666"/>
          <w:sz w:val="18"/>
        </w:rPr>
        <w:t>Soma S et al.  ·  Age Ageing  ·  03.08.2026  ·  PMID 42920343</w:t>
      </w:r>
    </w:p>
    <w:p>
      <w:r>
        <w:t>Untersucht wurde, ob ein kommunales Programm aus Frailty-Screening und Gesundheitsberatung die Quote der Pflegebedürftigkeit bei Menschen über 75 Jahren reduziert.</w:t>
      </w:r>
    </w:p>
    <w:p>
      <w:r>
        <w:rPr>
          <w:b/>
        </w:rPr>
        <w:t xml:space="preserve">Ergebnis: </w:t>
      </w:r>
      <w:r>
        <w:t>Nach Einführung des Programms nahm die altersstandardisierte Pflegequote bei den über 75-Jährigen deutlich ab: Der Trend sank um 0,974 pro Jahr (95 %-KI 0,963–0,983), sodass die Quote am Ende um 6,8 % unter der zu erwartenden Fortsetzung lag (95 %-KI 4,4–10,0 %). Dies zeigt den Nutzen von Frailty-Screening in der bevölkerungsgestützten Prävention.</w:t>
      </w:r>
    </w:p>
    <w:p>
      <w:r>
        <w:rPr>
          <w:b/>
          <w:sz w:val="19"/>
        </w:rPr>
        <w:t xml:space="preserve">Übertragbarkeit: </w:t>
      </w:r>
      <w:r>
        <w:rPr>
          <w:sz w:val="19"/>
        </w:rPr>
        <w:t>Japan, vergleichbare Langzeitpflegeversicherung; Ergebnis auf Alterungsgesellschaften übertragbar</w:t>
      </w:r>
    </w:p>
    <w:p>
      <w:r>
        <w:rPr>
          <w:color w:val="5A7D3A"/>
          <w:sz w:val="18"/>
        </w:rPr>
        <w:t>https://pubmed.ncbi.nlm.nih.gov/42920343/</w:t>
      </w:r>
    </w:p>
    <w:p>
      <w:pPr>
        <w:pStyle w:val="Heading2"/>
      </w:pPr>
      <w:r>
        <w:t>Messbare Indikatoren für Aging-in-Place bei älteren Menschen mit Frailty</w:t>
      </w:r>
    </w:p>
    <w:p>
      <w:r>
        <w:rPr>
          <w:i/>
          <w:color w:val="666666"/>
          <w:sz w:val="18"/>
        </w:rPr>
        <w:t>Dlima SD et al.  ·  BMC Geriatr  ·  28.07.2026  ·  PMID 42919131</w:t>
      </w:r>
    </w:p>
    <w:p>
      <w:r>
        <w:t>Experten-Delphi-Befragung zur Identifizierung von routinemäßig messbaren Indikatoren für gelungenes Altern zu Hause bei älteren Menschen mit oder Risiko für Frailty.</w:t>
      </w:r>
    </w:p>
    <w:p>
      <w:r>
        <w:rPr>
          <w:b/>
        </w:rPr>
        <w:t xml:space="preserve">Ergebnis: </w:t>
      </w:r>
      <w:r>
        <w:t>Nur vier Indikatoren erreichten Konsens für Wichtigkeit und praktische Machbarkeit: körperliche Leistung/Mobilität, Multimorbidität, Sinnesfunktionen und Druckgeschwüre. 27 weitere Indikatoren waren sehr wichtig, aber schwer routinemäßig zu erfassen. Technologie-Indikatoren waren weder wichtig noch machbar; Laien-Experten betonten jedoch digitale Kompetenz.</w:t>
      </w:r>
    </w:p>
    <w:p>
      <w:r>
        <w:rPr>
          <w:b/>
          <w:sz w:val="19"/>
        </w:rPr>
        <w:t xml:space="preserve">Übertragbarkeit: </w:t>
      </w:r>
      <w:r>
        <w:rPr>
          <w:sz w:val="19"/>
        </w:rPr>
        <w:t>UK (Manchester); Geriatrisches Assessment und Indikatorauswahl sind auf deutsches Versorgungssystem übertragbar</w:t>
      </w:r>
    </w:p>
    <w:p>
      <w:r>
        <w:rPr>
          <w:color w:val="5A7D3A"/>
          <w:sz w:val="18"/>
        </w:rPr>
        <w:t>https://pubmed.ncbi.nlm.nih.gov/42919131/</w:t>
      </w:r>
    </w:p>
    <w:p>
      <w:pPr>
        <w:pStyle w:val="Heading2"/>
      </w:pPr>
      <w:r>
        <w:t>Gesundheitsausgaben älterer Menschen treiben Haushalte in Armut: Versicherungslücken in Indien</w:t>
      </w:r>
    </w:p>
    <w:p>
      <w:r>
        <w:rPr>
          <w:i/>
          <w:color w:val="666666"/>
          <w:sz w:val="18"/>
        </w:rPr>
        <w:t>Soni N et al.  ·  Front Public Health  ·  07.10.2026  ·  PMID 42908591</w:t>
      </w:r>
    </w:p>
    <w:p>
      <w:r>
        <w:t>Untersucht wurde, wie Eigenleistungen für Gesundheit Haushalte mit älteren Menschen in Indien in Armut treiben und welche Faktoren dieses Risiko verschärfen oder puffern.</w:t>
      </w:r>
    </w:p>
    <w:p>
      <w:r>
        <w:rPr>
          <w:b/>
        </w:rPr>
        <w:t xml:space="preserve">Ergebnis: </w:t>
      </w:r>
      <w:r>
        <w:t>Längere Krankenhausaufenthalte, größere Haushalte, Kaste und private Gesundheitsversorgung erhöhen die Armutsquote erheblich. Krankenversicherung und Bildung reduzieren das Risiko. Trotz öffentlicher Programme ist die Abdeckung unzureichend und ungleich, weshalb ältere Menschen finanziell ungeschützt bleiben.</w:t>
      </w:r>
    </w:p>
    <w:p>
      <w:r>
        <w:rPr>
          <w:b/>
          <w:sz w:val="19"/>
        </w:rPr>
        <w:t xml:space="preserve">Übertragbarkeit: </w:t>
      </w:r>
      <w:r>
        <w:rPr>
          <w:sz w:val="19"/>
        </w:rPr>
        <w:t>Indien; zeigt Versorgungslücken in Ländern ohne Vollversicherung; für Deutschland relevant als Warnung vor Privatisierung von Altenversorgung</w:t>
      </w:r>
    </w:p>
    <w:p>
      <w:r>
        <w:rPr>
          <w:color w:val="5A7D3A"/>
          <w:sz w:val="18"/>
        </w:rPr>
        <w:t>https://pubmed.ncbi.nlm.nih.gov/42908591/</w:t>
      </w:r>
    </w:p>
    <w:p>
      <w:pPr>
        <w:pStyle w:val="Heading2"/>
      </w:pPr>
      <w:r>
        <w:t>Geriatrische Versorgung: Risikogeschichtetes Drei-Ebenen-Modell statt Checkliste</w:t>
      </w:r>
    </w:p>
    <w:p>
      <w:r>
        <w:rPr>
          <w:i/>
          <w:color w:val="666666"/>
          <w:sz w:val="18"/>
        </w:rPr>
        <w:t>Amir O et al.  ·  NEJM Catal Innov Care Deliv  ·  21.10.2026  ·  PMID 42904679</w:t>
      </w:r>
    </w:p>
    <w:p>
      <w:r>
        <w:t>Beschreibt ein risikostratifiziertes Versorgungsmodell für ältere Klinikpatienten, das die 4Ms (Mobility, Mentation, Medication, What Matters) allen Über-65-Jährigen anbietet und dann Hochrisiko-Patienten zu spezialisierten geriatrischen Teams leitet.</w:t>
      </w:r>
    </w:p>
    <w:p>
      <w:r>
        <w:rPr>
          <w:b/>
        </w:rPr>
        <w:t xml:space="preserve">Ergebnis: </w:t>
      </w:r>
      <w:r>
        <w:t>Das Modell unterscheidet: (1) universelle 4Ms-Prozesse für alle älteren Patienten, (2) spezialisierte Protokolle (z. B. Hüftfraktur) durch Generalisten mit Geriater-Aufsicht, (3) intensive Comanagement-Modelle durch spezialisierte geriatrische Teams. Dies vermeidet Ressourcen-Ineffizienz und verbessert die Ergebnisse durch angepasste Intensität.</w:t>
      </w:r>
    </w:p>
    <w:p>
      <w:r>
        <w:rPr>
          <w:b/>
          <w:sz w:val="19"/>
        </w:rPr>
        <w:t xml:space="preserve">Übertragbarkeit: </w:t>
      </w:r>
      <w:r>
        <w:rPr>
          <w:sz w:val="19"/>
        </w:rPr>
        <w:t>USA, CMS-System; Risikostratifizierung und Strukturmodell sind auf deutsches Klinikmanagement übertragbar</w:t>
      </w:r>
    </w:p>
    <w:p>
      <w:r>
        <w:rPr>
          <w:color w:val="5A7D3A"/>
          <w:sz w:val="18"/>
        </w:rPr>
        <w:t>https://pubmed.ncbi.nlm.nih.gov/42904679/</w:t>
      </w:r>
    </w:p>
    <w:p>
      <w:pPr>
        <w:pStyle w:val="Heading2"/>
      </w:pPr>
      <w:r>
        <w:t>Mobile interprofessionelle 4Ms-Versorgung für ländliche ältere Menschen</w:t>
      </w:r>
    </w:p>
    <w:p>
      <w:r>
        <w:rPr>
          <w:i/>
          <w:color w:val="666666"/>
          <w:sz w:val="18"/>
        </w:rPr>
        <w:t>Wick K et al.  ·  NEJM Catal Innov Care Deliv  ·  21.10.2026  ·  PMID 42904676</w:t>
      </w:r>
    </w:p>
    <w:p>
      <w:r>
        <w:t>Beschreibt ein mobiles interprofessionelles Klinik-Modell (MobileMOC), das die 4Ms in ländlichen Regionen über Klinikbesuche, Senior-Zentren und Lehre erbringt.</w:t>
      </w:r>
    </w:p>
    <w:p>
      <w:r>
        <w:rPr>
          <w:b/>
        </w:rPr>
        <w:t xml:space="preserve">Ergebnis: </w:t>
      </w:r>
      <w:r>
        <w:t>In den ersten 6 Monaten 2026 wurden 182 Patientenkontakte erbracht, 129 Patienten (45 % älter als 65 Jahre) erreicht, 1.579 Screenings durchgeführt, 119 Fachüberweisungen generiert und 710 Stunden klinische Lehre geleistet. Das Modell zeigt Machbarkeit, offenbart aber Messlücken und Finanzierungsgaps.</w:t>
      </w:r>
    </w:p>
    <w:p>
      <w:r>
        <w:rPr>
          <w:b/>
          <w:sz w:val="19"/>
        </w:rPr>
        <w:t xml:space="preserve">Übertragbarkeit: </w:t>
      </w:r>
      <w:r>
        <w:rPr>
          <w:sz w:val="19"/>
        </w:rPr>
        <w:t>USA; Struktur und Interprofessionalität sind auf deutsche ländliche Regionen mit Fachkräftemangel übertragbar</w:t>
      </w:r>
    </w:p>
    <w:p>
      <w:r>
        <w:rPr>
          <w:color w:val="5A7D3A"/>
          <w:sz w:val="18"/>
        </w:rPr>
        <w:t>https://pubmed.ncbi.nlm.nih.gov/42904676/</w:t>
      </w:r>
    </w:p>
    <w:p>
      <w:pPr>
        <w:pStyle w:val="Heading2"/>
      </w:pPr>
      <w:r>
        <w:t>Hundertjährige in Genua: Kohortenstudie zu kognitiver Gesundheit im höchsten Alter</w:t>
      </w:r>
    </w:p>
    <w:p>
      <w:r>
        <w:rPr>
          <w:i/>
          <w:color w:val="666666"/>
          <w:sz w:val="18"/>
        </w:rPr>
        <w:t>Di Maria E et al.  ·  Exp Gerontol  ·  01.10.2026  ·  PMID 42822552</w:t>
      </w:r>
    </w:p>
    <w:p>
      <w:r>
        <w:t>Italienische multidisziplinäre Kohorte von 88 Hundertjährigen (Alter 99–108 Jahre) zur Untersuchung von Schutzfaktoren für kognitive Funktion durch Neuropsychologie und Genomik.</w:t>
      </w:r>
    </w:p>
    <w:p>
      <w:r>
        <w:rPr>
          <w:b/>
        </w:rPr>
        <w:t xml:space="preserve">Ergebnis: </w:t>
      </w:r>
      <w:r>
        <w:t>Von 84 Hundertjährigen mit erfasstem kognitiven Status zeigte sich großes Spektrum: CDR 0–5 (Median 1), MMSE 3–30 (Median 24). 32 Patienten wurden nachbeobachtet, DNA von 67 gelagert. Protokoll ist praktikabel und wird akzeptiert. Erkenntnisse werden längerfristig genomische Varianten für kognitive Variabilität im hohen Alter aufklären.</w:t>
      </w:r>
    </w:p>
    <w:p>
      <w:r>
        <w:rPr>
          <w:b/>
          <w:sz w:val="19"/>
        </w:rPr>
        <w:t xml:space="preserve">Übertragbarkeit: </w:t>
      </w:r>
      <w:r>
        <w:rPr>
          <w:sz w:val="19"/>
        </w:rPr>
        <w:t>Italien, europäische Langzeitpflege; italienisches Alterssystem und High-Prevalence-Hundertjähriger machen Übertrag auf Deutschland begrenzt, aber kognitives Screening relevant</w:t>
      </w:r>
    </w:p>
    <w:p>
      <w:r>
        <w:rPr>
          <w:color w:val="5A7D3A"/>
          <w:sz w:val="18"/>
        </w:rPr>
        <w:t>https://pubmed.ncbi.nlm.nih.gov/42822552/</w:t>
      </w:r>
    </w:p>
    <w:p>
      <w:pPr>
        <w:pStyle w:val="Heading1"/>
      </w:pPr>
      <w:r>
        <w:t>Aufgenommen am 24.10.2026</w:t>
      </w:r>
    </w:p>
    <w:p>
      <w:pPr>
        <w:pStyle w:val="Heading2"/>
      </w:pPr>
      <w:r>
        <w:t>Frailty-Schweregrad bestimmt Überleben und Arztkostenbelastung bei älteren Menschen</w:t>
      </w:r>
    </w:p>
    <w:p>
      <w:r>
        <w:rPr>
          <w:i/>
          <w:color w:val="666666"/>
          <w:sz w:val="18"/>
        </w:rPr>
        <w:t>Pulok MH et al.  ·  Age Ageing  ·  03.08.2026  ·  PMID 42910912</w:t>
      </w:r>
    </w:p>
    <w:p>
      <w:r>
        <w:t>Retrospektive Kohortenstudie an 944 älteren Notaufnahmepatienten (Median 80,8 Jahre) zur Vorhersage von Kosten und Überleben anhand des Clinical Frailty Scale.</w:t>
      </w:r>
    </w:p>
    <w:p>
      <w:r>
        <w:rPr>
          <w:b/>
        </w:rPr>
        <w:t xml:space="preserve">Ergebnis: </w:t>
      </w:r>
      <w:r>
        <w:t>Schwer gebrechliche Patienten hatten über ein Jahr 704 CAD weniger Arztkosen als unkomplizierte – hauptsächlich durch kürzeres Überleben bedingt (41,6% starben innerhalb eines Jahres). Während der Lebenszeit fielen für alle Gebrechlichkeitsgruppen höhere Kosten an als für Nicht-Gebrechliche, was auf intensivere Nutzung bei kürzerer Dauer hindeutet. Der Frailty-Status war ein besserer Kostenprädiktor als Alter allein.</w:t>
      </w:r>
    </w:p>
    <w:p>
      <w:r>
        <w:rPr>
          <w:b/>
          <w:sz w:val="19"/>
        </w:rPr>
        <w:t xml:space="preserve">Übertragbarkeit: </w:t>
      </w:r>
      <w:r>
        <w:rPr>
          <w:sz w:val="19"/>
        </w:rPr>
        <w:t>Kanada, ähnliche Sozialversicherung und Gesundheitsfinanzierung wie Deutschland.</w:t>
      </w:r>
    </w:p>
    <w:p>
      <w:r>
        <w:rPr>
          <w:color w:val="5A7D3A"/>
          <w:sz w:val="18"/>
        </w:rPr>
        <w:t>https://pubmed.ncbi.nlm.nih.gov/42910912/</w:t>
      </w:r>
    </w:p>
    <w:p>
      <w:pPr>
        <w:pStyle w:val="Heading2"/>
      </w:pPr>
      <w:r>
        <w:t>Aktives Altern durch Betreuung und Freiwilligenarbeit: Wer profitiert, wer leidet?</w:t>
      </w:r>
    </w:p>
    <w:p>
      <w:r>
        <w:rPr>
          <w:i/>
          <w:color w:val="666666"/>
          <w:sz w:val="18"/>
        </w:rPr>
        <w:t>Cretazzo F et al.  ·  Front Public Health  ·  07.10.2026  ·  PMID 42909995</w:t>
      </w:r>
    </w:p>
    <w:p>
      <w:r>
        <w:t>Längsschnittstudie (SHARE Wellen 7–9) an älteren Europäern, die Übergänge zwischen Betreuungs- und Freiwilligentätigkeit in Bezug auf Gesundheit und psychisches Wohlbefinden verfolgten.</w:t>
      </w:r>
    </w:p>
    <w:p>
      <w:r>
        <w:rPr>
          <w:b/>
        </w:rPr>
        <w:t xml:space="preserve">Ergebnis: </w:t>
      </w:r>
      <w:r>
        <w:t>Übergänge von reiner Betreuung zu Doppelrolle („Super-Helper</w:t>
      </w:r>
    </w:p>
    <w:p>
      <w:r>
        <w:rPr>
          <w:b/>
          <w:sz w:val="19"/>
        </w:rPr>
        <w:t xml:space="preserve">Übertragbarkeit: </w:t>
      </w:r>
      <w:r>
        <w:rPr>
          <w:sz w:val="19"/>
        </w:rPr>
        <w:t>Europa, SHARE-Daten aus sozialversicherungsgestützten Systemen.</w:t>
      </w:r>
    </w:p>
    <w:p>
      <w:r>
        <w:rPr>
          <w:color w:val="5A7D3A"/>
          <w:sz w:val="18"/>
        </w:rPr>
        <w:t>https://pubmed.ncbi.nlm.nih.gov/42909995/</w:t>
      </w:r>
    </w:p>
    <w:p>
      <w:pPr>
        <w:pStyle w:val="Heading2"/>
      </w:pPr>
      <w:r>
        <w:t>Biologische Gebrechlichkeit und Chemotherapiedosis bestimmen Überleben bei älteren Darmkrebspatienten</w:t>
      </w:r>
    </w:p>
    <w:p>
      <w:r>
        <w:rPr>
          <w:i/>
          <w:color w:val="666666"/>
          <w:sz w:val="18"/>
        </w:rPr>
        <w:t>Ağaoğlu AB et al.  ·  Cancer Chemother Pharmacol  ·  23.10.2026  ·  PMID 42909624</w:t>
      </w:r>
    </w:p>
    <w:p>
      <w:r>
        <w:t>Retrospektive Studie an 94 Patienten ≥65 Jahren mit adjuvanter Chemotherapie nach Darmkrebsoperation zu Frailty-Index und Dosisintensität als Überlebensprädiktoren.</w:t>
      </w:r>
    </w:p>
    <w:p>
      <w:r>
        <w:rPr>
          <w:b/>
        </w:rPr>
        <w:t xml:space="preserve">Ergebnis: </w:t>
      </w:r>
      <w:r>
        <w:t>Laborgestützter Frailty-Index (FI-Lab) ≥0,25 sagte unabhängig schlechteres Gesamtüberleben vorher (Hazard Ratio 3,73, p=0,023) und krankheitsfreies Überleben (HR 2,81, p=0,029). Patienten ohne optimale Anfangsdosis hatten deutlich schlechtere Ergebnisse (OS HR 14,41; p=0,011). G8, mFI-5 und Charlson-Index waren nicht unabhängig prädiktiv.</w:t>
      </w:r>
    </w:p>
    <w:p>
      <w:r>
        <w:rPr>
          <w:b/>
          <w:sz w:val="19"/>
        </w:rPr>
        <w:t xml:space="preserve">Übertragbarkeit: </w:t>
      </w:r>
      <w:r>
        <w:rPr>
          <w:sz w:val="19"/>
        </w:rPr>
        <w:t>Türkei; biologische Reserve als Prädiktor ist universell, Dosisintensität und Messmethoden sind aber systemabhängig.</w:t>
      </w:r>
    </w:p>
    <w:p>
      <w:r>
        <w:rPr>
          <w:color w:val="5A7D3A"/>
          <w:sz w:val="18"/>
        </w:rPr>
        <w:t>https://pubmed.ncbi.nlm.nih.gov/42909624/</w:t>
      </w:r>
    </w:p>
    <w:p>
      <w:pPr>
        <w:pStyle w:val="Heading2"/>
      </w:pPr>
      <w:r>
        <w:t>Geriatrische Atemwegsmedizin: Künstliche Intelligenz und maßgeschneiderte Versorgung polymorber älterer Patienten</w:t>
      </w:r>
    </w:p>
    <w:p>
      <w:r>
        <w:rPr>
          <w:i/>
          <w:color w:val="666666"/>
          <w:sz w:val="18"/>
        </w:rPr>
        <w:t>Sorino C et al.  ·  Eur Respir Rev  ·  21.10.2026  ·  PMID 42906940</w:t>
      </w:r>
    </w:p>
    <w:p>
      <w:r>
        <w:t>Fachnachricht italienischer und europäischer Pneumologen zu klinischen Schnittstellen von Altern, Immunoseneszenz, Gebrechlichkeit und Lungenerkrankung im Alter mit Fokus auf praktische Versorgungsmodelle.</w:t>
      </w:r>
    </w:p>
    <w:p>
      <w:r>
        <w:rPr>
          <w:b/>
        </w:rPr>
        <w:t xml:space="preserve">Ergebnis: </w:t>
      </w:r>
      <w:r>
        <w:t>Kernbefunde: pneumonie-assoziierte Sarkopenie als Motor für Rezidivinfektion und funktionellen Niedergang; nicht-invasive Beatmungswahl muss Delirium-Risiko gegen Wirksamkeit abwägen; 20-valenter Pneumokokken- und RSV-Impfstoff als neue Präventionsstrategie; gerätegestützte Inhalationstherapie angepasst an inspiratorische Kraft statt nur Pharmakologie; Biologika (Dupilumab, Mepolizumab) ermöglichen Steroid-Einsparung; 4Ms-Modell (Mentation, Medication, Mobility, Morbidities) integriert mit KI als strukturierte Versorgung.</w:t>
      </w:r>
    </w:p>
    <w:p>
      <w:r>
        <w:rPr>
          <w:b/>
          <w:sz w:val="19"/>
        </w:rPr>
        <w:t xml:space="preserve">Übertragbarkeit: </w:t>
      </w:r>
      <w:r>
        <w:rPr>
          <w:sz w:val="19"/>
        </w:rPr>
        <w:t>Italien und Europa, Sozialversicherungssysteme; praxisorientiert für deutschsprachige Lungenkliniken.</w:t>
      </w:r>
    </w:p>
    <w:p>
      <w:r>
        <w:rPr>
          <w:color w:val="5A7D3A"/>
          <w:sz w:val="18"/>
        </w:rPr>
        <w:t>https://pubmed.ncbi.nlm.nih.gov/42906940/</w:t>
      </w:r>
    </w:p>
    <w:p>
      <w:pPr>
        <w:pStyle w:val="Heading2"/>
      </w:pPr>
      <w:r>
        <w:t>Flächendeckende Umsetzung der Age-Friendly 4Ms in 26 Krankenhäusern</w:t>
      </w:r>
    </w:p>
    <w:p>
      <w:r>
        <w:rPr>
          <w:i/>
          <w:color w:val="666666"/>
          <w:sz w:val="18"/>
        </w:rPr>
        <w:t>Ryer S et al.  ·  NEJM Catal Innov Care Deliv  ·  21.10.2026  ·  PMID 42904678</w:t>
      </w:r>
    </w:p>
    <w:p>
      <w:r>
        <w:t>Implementierungsstudie an 26 Krankenhäusern im Mittleren Westen (Wisconsin, Illinois) zur standardisierten Umsetzung der 4Ms (What Matters, Medication, Mentation, Mobility) mit Governance-Struktur, EHR-Integration und Qualitätsmessungen.</w:t>
      </w:r>
    </w:p>
    <w:p>
      <w:r>
        <w:rPr>
          <w:b/>
        </w:rPr>
        <w:t xml:space="preserve">Ergebnis: </w:t>
      </w:r>
      <w:r>
        <w:t>Implementierungsreife bei frühen Kohorten in geriatrischen stationären Einrichtungen Median 0,66, nicht-geriatrischen stationär 0,63, geriatrischen ambulant 0,47, nicht-geriatrischen ambulant 0,36 (Skala 0–1). Dokumentation What Matters und Kognitives Screening erheblich verbessert, Deliriumrate und Liegedauer reduziert. Hohe Variabilität zwischen Organisationen. Herausforderungen: Dokumentationslast, variable Adoption, konkurrierende Prioritäten.</w:t>
      </w:r>
    </w:p>
    <w:p>
      <w:r>
        <w:rPr>
          <w:b/>
          <w:sz w:val="19"/>
        </w:rPr>
        <w:t xml:space="preserve">Übertragbarkeit: </w:t>
      </w:r>
      <w:r>
        <w:rPr>
          <w:sz w:val="19"/>
        </w:rPr>
        <w:t>USA, aber Implementierungsmethode und Messrahmen sind auf deutsche Krankenhäuser übertragbar.</w:t>
      </w:r>
    </w:p>
    <w:p>
      <w:r>
        <w:rPr>
          <w:color w:val="5A7D3A"/>
          <w:sz w:val="18"/>
        </w:rPr>
        <w:t>https://pubmed.ncbi.nlm.nih.gov/42904678/</w:t>
      </w:r>
    </w:p>
    <w:p>
      <w:pPr>
        <w:pStyle w:val="Heading2"/>
      </w:pPr>
      <w:r>
        <w:t>Age-Friendly 4Ms in Sicherheitsnetzklnik: Implementierung bei älteren vulnerable Patienten</w:t>
      </w:r>
    </w:p>
    <w:p>
      <w:r>
        <w:rPr>
          <w:i/>
          <w:color w:val="666666"/>
          <w:sz w:val="18"/>
        </w:rPr>
        <w:t>Ohuabunwa UK et al.  ·  NEJM Catal Innov Care Deliv  ·  21.10.2026  ·  PMID 42904677</w:t>
      </w:r>
    </w:p>
    <w:p>
      <w:r>
        <w:t>Implementierungsstudie der 4Ms-Rahmenwerk (What Matters, Medication, Mentation, Mobility) plus Malnutrition und Übergangspflege in Safety-Net-Klinik mit 3427 älteren Patienten (79,3 Jahre, 64% Afroamerikaner).</w:t>
      </w:r>
    </w:p>
    <w:p>
      <w:r>
        <w:rPr>
          <w:b/>
        </w:rPr>
        <w:t xml:space="preserve">Ergebnis: </w:t>
      </w:r>
      <w:r>
        <w:t>Über zwei Jahre (März 2024–März 2026) erreichte die AFHS-Implementierung 100% Einhaltung bei 5 von 14 Protokollen, &gt;90% bei 5 weiteren. Was Matters-Dokumentation 74%, Delirium-Screening 98%, Funktionskapazitätsbewertung 96%. Assoziation mit Deliriumrate-Reduktion und verkürzter Krankenhausliegedauer.</w:t>
      </w:r>
    </w:p>
    <w:p>
      <w:r>
        <w:rPr>
          <w:b/>
          <w:sz w:val="19"/>
        </w:rPr>
        <w:t xml:space="preserve">Übertragbarkeit: </w:t>
      </w:r>
      <w:r>
        <w:rPr>
          <w:sz w:val="19"/>
        </w:rPr>
        <w:t>USA-Sicherheitsnetzkontext, aber 4Ms-Framework und Messmethoden sind übertragbar.</w:t>
      </w:r>
    </w:p>
    <w:p>
      <w:r>
        <w:rPr>
          <w:color w:val="5A7D3A"/>
          <w:sz w:val="18"/>
        </w:rPr>
        <w:t>https://pubmed.ncbi.nlm.nih.gov/42904677/</w:t>
      </w:r>
    </w:p>
    <w:p>
      <w:pPr>
        <w:pStyle w:val="Heading1"/>
      </w:pPr>
      <w:r>
        <w:t>Aufgenommen am 23.10.2026</w:t>
      </w:r>
    </w:p>
    <w:p>
      <w:pPr>
        <w:pStyle w:val="Heading2"/>
      </w:pPr>
      <w:r>
        <w:t>Interprofessionelle Schulung und Workflow verbessern geriatrisches Screening in Hausarztpraxen</w:t>
      </w:r>
    </w:p>
    <w:p>
      <w:r>
        <w:rPr>
          <w:i/>
          <w:color w:val="666666"/>
          <w:sz w:val="18"/>
        </w:rPr>
        <w:t>Litzelman DK et al.  ·  BMC Geriatr  ·  23.07.2026  ·  PMID 42907743</w:t>
      </w:r>
    </w:p>
    <w:p>
      <w:r>
        <w:t>US-amerikanische Studie mit 56 Hausärzten, 180 Assistenzärzten und 8818 älteren Patienten an acht Primärversorgungsstellen evaluierte ein Schulungs- und Systeminterventionsprogramm basierend auf dem Age-Friendly 4Ms-Rahmenwerk.</w:t>
      </w:r>
    </w:p>
    <w:p>
      <w:r>
        <w:rPr>
          <w:b/>
        </w:rPr>
        <w:t xml:space="preserve">Ergebnis: </w:t>
      </w:r>
      <w:r>
        <w:t>Nach Intervention verbesserten sich Screening-Raten für Demenz (OR 1,27, 95%-KI 0,98–1,63) und Sturzrisiko (OR 1,40, 95%-KI 1,00–1,95), mit Sturzrisiko-Screening zeigend die stärksten Verbesserungen (+0,64% pro Monat, p&lt;0,001). Kliniken mit stärkerer Systemintegration zeigten die robustesten Verbesserungen; Opioid-Screening und Advance-Care-Planning-Dokumentation nahmen ab.</w:t>
      </w:r>
    </w:p>
    <w:p>
      <w:r>
        <w:rPr>
          <w:b/>
          <w:sz w:val="19"/>
        </w:rPr>
        <w:t xml:space="preserve">Übertragbarkeit: </w:t>
      </w:r>
      <w:r>
        <w:rPr>
          <w:sz w:val="19"/>
        </w:rPr>
        <w:t>USA, Primärversorgung; Methoden auf deutsches Praxissystem übertragbar, aber Organisationsstruktur unterscheidet sich</w:t>
      </w:r>
    </w:p>
    <w:p>
      <w:r>
        <w:rPr>
          <w:color w:val="5A7D3A"/>
          <w:sz w:val="18"/>
        </w:rPr>
        <w:t>https://pubmed.ncbi.nlm.nih.gov/42907743/</w:t>
      </w:r>
    </w:p>
    <w:p>
      <w:pPr>
        <w:pStyle w:val="Heading2"/>
      </w:pPr>
      <w:r>
        <w:t>COVID-19 und Opioide kürzten Lebenserwartung in Kanada um 0,68 Jahre</w:t>
      </w:r>
    </w:p>
    <w:p>
      <w:r>
        <w:rPr>
          <w:i/>
          <w:color w:val="666666"/>
          <w:sz w:val="18"/>
        </w:rPr>
        <w:t>Sirag A et al.  ·  Health Rep  ·  21.10.2026  ·  PMID 42905875</w:t>
      </w:r>
    </w:p>
    <w:p>
      <w:r>
        <w:t>Kanadische Vital-Statistik-Studie verglich Sterblichkeits-Todesursachen-Stiftung zwischen 2017–2019 und 2020–2022 mittels Arriaga-Dekomposition, um die Beiträge einzelner Todesursachen zum Rückgang der Lebenserwartung bei der Geburt zu quantifizieren.</w:t>
      </w:r>
    </w:p>
    <w:p>
      <w:r>
        <w:rPr>
          <w:b/>
        </w:rPr>
        <w:t xml:space="preserve">Ergebnis: </w:t>
      </w:r>
      <w:r>
        <w:t>COVID-19 war der größte einzelne Beitrag zum Rückgang der Lebenserwartung bei der Geburt in Kanada (–0,46 Jahre für beide Geschlechter). Opioid-bedingte Todesfälle trugen –0,22 Jahre bei, während Krebserkrankungen einen geringen Anstieg (+0,17 Jahre) verursachten. Gesamtrückgang etwa 0,68 Jahre, hauptsächlich durch pandemic-direkte und indirekte Effekte.</w:t>
      </w:r>
    </w:p>
    <w:p>
      <w:r>
        <w:rPr>
          <w:b/>
          <w:sz w:val="19"/>
        </w:rPr>
        <w:t xml:space="preserve">Übertragbarkeit: </w:t>
      </w:r>
      <w:r>
        <w:rPr>
          <w:sz w:val="19"/>
        </w:rPr>
        <w:t>Kanada, vergleichbare Sozialversicherung und Lebenserwartung wie Deutschland; Methode und Prioritäten übertragbar</w:t>
      </w:r>
    </w:p>
    <w:p>
      <w:r>
        <w:rPr>
          <w:color w:val="5A7D3A"/>
          <w:sz w:val="18"/>
        </w:rPr>
        <w:t>https://pubmed.ncbi.nlm.nih.gov/42905875/</w:t>
      </w:r>
    </w:p>
    <w:p>
      <w:pPr>
        <w:pStyle w:val="Heading2"/>
      </w:pPr>
      <w:r>
        <w:t>Pflanzenbasierte Ernährung senkt Frailty-Risiko bei älteren Erwachsenen</w:t>
      </w:r>
    </w:p>
    <w:p>
      <w:r>
        <w:rPr>
          <w:i/>
          <w:color w:val="666666"/>
          <w:sz w:val="18"/>
        </w:rPr>
        <w:t>Lin J et al.  ·  Age Ageing  ·  03.08.2026  ·  PMID 42905723</w:t>
      </w:r>
    </w:p>
    <w:p>
      <w:r>
        <w:t>Studie mit 8628 älteren Erwachsenen aus drei Kohorten (CLHLS, HRS, ELSA) untersuchte die Assoziation verschiedener pflanzlicher Ernährungsmuster mit Frailty mittels Mundlak-Dekomposition.</w:t>
      </w:r>
    </w:p>
    <w:p>
      <w:r>
        <w:rPr>
          <w:b/>
        </w:rPr>
        <w:t xml:space="preserve">Ergebnis: </w:t>
      </w:r>
      <w:r>
        <w:t>Höhere Gesamtscores für pflanzenbasierte Diät waren mit niedrigerem Frailty-Risiko assoziiert (ORs 0,71–0,80 über alle drei Kohorten), während ungesunde pflanzliche Muster mit erhöhtem Risiko verbunden waren (ORs 1,24–1,41). Nüsse, Gemüse und Pflanzenöle zeigten überwiegend inverse Assoziationen mit mehreren Frailty-Domänen.</w:t>
      </w:r>
    </w:p>
    <w:p>
      <w:r>
        <w:rPr>
          <w:b/>
          <w:sz w:val="19"/>
        </w:rPr>
        <w:t xml:space="preserve">Übertragbarkeit: </w:t>
      </w:r>
      <w:r>
        <w:rPr>
          <w:sz w:val="19"/>
        </w:rPr>
        <w:t>UK, China, internationale Kohorten; Ernährungsmessungen und Frailty-Definition übertragbar auf deutsches Gesundheitssystem</w:t>
      </w:r>
    </w:p>
    <w:p>
      <w:r>
        <w:rPr>
          <w:color w:val="5A7D3A"/>
          <w:sz w:val="18"/>
        </w:rPr>
        <w:t>https://pubmed.ncbi.nlm.nih.gov/42905723/</w:t>
      </w:r>
    </w:p>
    <w:p>
      <w:pPr>
        <w:pStyle w:val="Heading2"/>
      </w:pPr>
      <w:r>
        <w:t>Multimorbidität kostet weltweit älteren Menschen 363 Milliarden Dollar pro Jahr</w:t>
      </w:r>
    </w:p>
    <w:p>
      <w:r>
        <w:rPr>
          <w:i/>
          <w:color w:val="666666"/>
          <w:sz w:val="18"/>
        </w:rPr>
        <w:t>Ji W et al.  ·  JAMA Netw Open  ·  01.10.2026  ·  PMID 42905709</w:t>
      </w:r>
    </w:p>
    <w:p>
      <w:r>
        <w:t>Globale ökonomische Evaluationsstudie mit Daten aus 204 Ländern (2000–2023) quantifizierte die gesundheitliche und finanzielle Last von Multimorbidität (78 Kombinationen) bei Erwachsenen ≥60 Jahren mittels Global Burden of Disease 2023 und makroökonomischen Daten.</w:t>
      </w:r>
    </w:p>
    <w:p>
      <w:r>
        <w:rPr>
          <w:b/>
        </w:rPr>
        <w:t xml:space="preserve">Ergebnis: </w:t>
      </w:r>
      <w:r>
        <w:t>Von 2000 bis 2023 stiegen die Jahre mit Behinderung (YLDs) von 2368 auf 2942 pro 100.000 Erwachsene ≥60 Jahren; wirtschaftliche Verluste nahmen von 80,1 Milliarden auf 363,25 Milliarden USD (kaufkraftparitätsbereinigt) zu. Schnellstes Wachstum: Diabetes, Angststörungen und Parkinson (AAPC 9,92% für Kosten). Höchste YLD-Rate: Osteoarthritis mit Alzheimer/Demenz (369,87 pro 100.000).</w:t>
      </w:r>
    </w:p>
    <w:p>
      <w:r>
        <w:rPr>
          <w:b/>
          <w:sz w:val="19"/>
        </w:rPr>
        <w:t xml:space="preserve">Übertragbarkeit: </w:t>
      </w:r>
      <w:r>
        <w:rPr>
          <w:sz w:val="19"/>
        </w:rPr>
        <w:t>Global, 204 Länder; Dimensionen und Trends übertragbar, aber absolute Kosten hängen von Finanzierungssystem und Lebenserwartung ab</w:t>
      </w:r>
    </w:p>
    <w:p>
      <w:r>
        <w:rPr>
          <w:color w:val="5A7D3A"/>
          <w:sz w:val="18"/>
        </w:rPr>
        <w:t>https://pubmed.ncbi.nlm.nih.gov/42905709/</w:t>
      </w:r>
    </w:p>
    <w:p>
      <w:pPr>
        <w:pStyle w:val="Heading2"/>
      </w:pPr>
      <w:r>
        <w:t>Feinstaub beschleunigt kardiovaskuläres Altern über Seneszenz und Entzündung</w:t>
      </w:r>
    </w:p>
    <w:p>
      <w:r>
        <w:rPr>
          <w:i/>
          <w:color w:val="666666"/>
          <w:sz w:val="18"/>
        </w:rPr>
        <w:t>Yadav P et al.  ·  Cardiovasc Toxicol  ·  21.10.2026  ·  PMID 42905338</w:t>
      </w:r>
    </w:p>
    <w:p>
      <w:r>
        <w:t>Scoping Review mit konzeptuellem PACA-Framework (Pollution-Accelerated Cardiovascular Aging) integrierte Evidenz zu Feinstaub-Exposition (PM2,5, ultrafeine Partikel) und kardiovaskulärem Altern durch Mitochondrien-Dysfunktion, Seneszenz, epigenetische Änderungen und autonome Dysregulation.</w:t>
      </w:r>
    </w:p>
    <w:p>
      <w:r>
        <w:rPr>
          <w:b/>
        </w:rPr>
        <w:t xml:space="preserve">Ergebnis: </w:t>
      </w:r>
      <w:r>
        <w:t>Framework schlägt Temporal-Evidence-Matrix vor, die Expositions-Kinetik, Lebensverlauf-Timing, Persistenz nach Expositions-Ende, Dosis-Wirkungs-Beziehungen und longitudinale Veränderungen relativ zu altersreferenzierten Vergleichern nutzt. Persistierende oder unvollständig reversible Defizite deuten auf chronische Verletzung hin; stärkere Evidenz für kardiovaskuläres Aging erfordert wiederholte Demonstration größerer Veränderungsraten als chronologisch erwartet.</w:t>
      </w:r>
    </w:p>
    <w:p>
      <w:r>
        <w:rPr>
          <w:b/>
          <w:sz w:val="19"/>
        </w:rPr>
        <w:t xml:space="preserve">Übertragbarkeit: </w:t>
      </w:r>
      <w:r>
        <w:rPr>
          <w:sz w:val="19"/>
        </w:rPr>
        <w:t>Überwiegend Tiermodelle und mechanistische Daten; PACA-Framework theoretisch, keine klinischen Endpunkte gemessen</w:t>
      </w:r>
    </w:p>
    <w:p>
      <w:r>
        <w:rPr>
          <w:color w:val="5A7D3A"/>
          <w:sz w:val="18"/>
        </w:rPr>
        <w:t>https://pubmed.ncbi.nlm.nih.gov/42905338/</w:t>
      </w:r>
    </w:p>
    <w:p>
      <w:pPr>
        <w:pStyle w:val="Heading2"/>
      </w:pPr>
      <w:r>
        <w:t>Frailty-Index prognostiziert post-ERCP-Pankreatitis bei älteren Patienten</w:t>
      </w:r>
    </w:p>
    <w:p>
      <w:r>
        <w:rPr>
          <w:i/>
          <w:color w:val="666666"/>
          <w:sz w:val="18"/>
        </w:rPr>
        <w:t>Zhang F et al.  ·  Clin Interv Aging  ·  16.10.2026  ·  PMID 42904120</w:t>
      </w:r>
    </w:p>
    <w:p>
      <w:r>
        <w:t>Retrospektive Studie von 696 älteren Patienten (≥65 Jahre), die sich einer endoskopischen retrograden Cholangiopankreatographie unterzogen, untersuchte den Zusammenhang zwischen präoperativer Frailty und post-ERCP-Pankreatitis mittels elektronischem Frailty-Index.</w:t>
      </w:r>
    </w:p>
    <w:p>
      <w:r>
        <w:rPr>
          <w:b/>
        </w:rPr>
        <w:t xml:space="preserve">Ergebnis: </w:t>
      </w:r>
      <w:r>
        <w:t>Von 696 Patienten entwickelten 79 (11,4%) eine post-ERCP-Pankreatitis. Nach multivariater Anpassung war Frailty mit höheren Chancen verbunden (OR 2,09, 95%-KI 1,08–4,05, p=0,028). Hinzunahme von Frailty zum Referenzmodell verbesserte die Diskrimination (AUC 0,714 zu 0,755, p=0,031); Netto-Reklassifizierungsverbesserung betrug 0,516.</w:t>
      </w:r>
    </w:p>
    <w:p>
      <w:r>
        <w:rPr>
          <w:b/>
          <w:sz w:val="19"/>
        </w:rPr>
        <w:t xml:space="preserve">Übertragbarkeit: </w:t>
      </w:r>
      <w:r>
        <w:rPr>
          <w:sz w:val="19"/>
        </w:rPr>
        <w:t>China; Frailty-Messung und Endoskopie-Risiken gelten international, aber Patientenpopulation und Gesundheitssystem unterscheiden sich</w:t>
      </w:r>
    </w:p>
    <w:p>
      <w:r>
        <w:rPr>
          <w:color w:val="5A7D3A"/>
          <w:sz w:val="18"/>
        </w:rPr>
        <w:t>https://pubmed.ncbi.nlm.nih.gov/42904120/</w:t>
      </w:r>
    </w:p>
    <w:p>
      <w:pPr>
        <w:pStyle w:val="Heading1"/>
      </w:pPr>
      <w:r>
        <w:t>Aufgenommen am 22.10.2026</w:t>
      </w:r>
    </w:p>
    <w:p>
      <w:pPr>
        <w:pStyle w:val="Heading2"/>
      </w:pPr>
      <w:r>
        <w:t>Notfallchirurgie bei über 90-Jährigen: regionale Unterschiede in der Langzeitsterblichkeit</w:t>
      </w:r>
    </w:p>
    <w:p>
      <w:r>
        <w:rPr>
          <w:i/>
          <w:color w:val="666666"/>
          <w:sz w:val="18"/>
        </w:rPr>
        <w:t>Suh JM et al.  ·  Crit Care  ·  25.07.2026  ·  PMID 42902313</w:t>
      </w:r>
    </w:p>
    <w:p>
      <w:r>
        <w:t>Nationale bevölkerungsbasierte Kohortenstudie an 4.887 über 90-Jährigen nach Notfalloperation mit Vergleich regionaler vs. metropolitaner Versorgung in Australien.</w:t>
      </w:r>
    </w:p>
    <w:p>
      <w:r>
        <w:rPr>
          <w:b/>
        </w:rPr>
        <w:t xml:space="preserve">Ergebnis: </w:t>
      </w:r>
      <w:r>
        <w:t>ICU- und Krankenhaussterblichkeit regional nicht unterschiedlich. Nach Entlassung regional/remote wohnhafte Patienten mit höherer 5-Jahres-Mortalität (adjustierte HR 1,133, 95%-KI 1,027–1,250, p=0,013). Überlebensvorteil der Metropolen erst nach Entlassung sichtbar.</w:t>
      </w:r>
    </w:p>
    <w:p>
      <w:r>
        <w:rPr>
          <w:b/>
          <w:sz w:val="19"/>
        </w:rPr>
        <w:t xml:space="preserve">Übertragbarkeit: </w:t>
      </w:r>
      <w:r>
        <w:rPr>
          <w:sz w:val="19"/>
        </w:rPr>
        <w:t>Australien, vergleichbare Gesundheitssysteme; zeigt Bedeutung regionaler Nachsorge für universelle Alterspopulation.</w:t>
      </w:r>
    </w:p>
    <w:p>
      <w:r>
        <w:rPr>
          <w:color w:val="5A7D3A"/>
          <w:sz w:val="18"/>
        </w:rPr>
        <w:t>https://pubmed.ncbi.nlm.nih.gov/42902313/</w:t>
      </w:r>
    </w:p>
    <w:p>
      <w:pPr>
        <w:pStyle w:val="Heading2"/>
      </w:pPr>
      <w:r>
        <w:t>Frühe Widrigkeiten und Lebensqualität im Alter: Langzeitfolgen für erfolgreiche Alternstrajectoria</w:t>
      </w:r>
    </w:p>
    <w:p>
      <w:r>
        <w:rPr>
          <w:i/>
          <w:color w:val="666666"/>
          <w:sz w:val="18"/>
        </w:rPr>
        <w:t>Yang K et al.  ·  BMC Geriatr  ·  24.07.2026  ·  PMID 42902202</w:t>
      </w:r>
    </w:p>
    <w:p>
      <w:r>
        <w:t>Prospektive Kohortenstudie an 3.092 älteren Chinesen, die vier Muster ungünstiger Kindheitserfahrungen mit Trajectoria gelungenen Alterns über acht Jahre verband.</w:t>
      </w:r>
    </w:p>
    <w:p>
      <w:r>
        <w:rPr>
          <w:b/>
        </w:rPr>
        <w:t xml:space="preserve">Ergebnis: </w:t>
      </w:r>
      <w:r>
        <w:t>Pervasive Adversität (OR 1,97, 95%-KI 1,10–3,83) und Haushalts-Dysfunktion (OR 1,36, 95%-KI 1,07–1,74) verbunden mit ungünstiger Trajectoria. Niedrige Schulbildung stärkster Prädiktor (OR 5,23, 95%-KI 3,84–7,13). Netzwerk-Analyse zeigte stärkere Koppelung von Kognition und chronischem Leiden in der Gruppe mit schlechterer Trajectoria.</w:t>
      </w:r>
    </w:p>
    <w:p>
      <w:r>
        <w:rPr>
          <w:b/>
          <w:sz w:val="19"/>
        </w:rPr>
        <w:t xml:space="preserve">Übertragbarkeit: </w:t>
      </w:r>
      <w:r>
        <w:rPr>
          <w:sz w:val="19"/>
        </w:rPr>
        <w:t>China, CHARLS-Daten; begrenzte Direktübertragbarkeit auf deutsche Versorgung, psychosoziale Mechanismen aber universal.</w:t>
      </w:r>
    </w:p>
    <w:p>
      <w:r>
        <w:rPr>
          <w:color w:val="5A7D3A"/>
          <w:sz w:val="18"/>
        </w:rPr>
        <w:t>https://pubmed.ncbi.nlm.nih.gov/42902202/</w:t>
      </w:r>
    </w:p>
    <w:p>
      <w:pPr>
        <w:pStyle w:val="Heading2"/>
      </w:pPr>
      <w:r>
        <w:t>Frailty und intraoperative Hypotonie bei älteren Patienten mit Hüftfrakturchirurgie</w:t>
      </w:r>
    </w:p>
    <w:p>
      <w:r>
        <w:rPr>
          <w:i/>
          <w:color w:val="666666"/>
          <w:sz w:val="18"/>
        </w:rPr>
        <w:t>Sutthibenjakul K et al.  ·  BMC Geriatr  ·  22.07.2026  ·  PMID 42902188</w:t>
      </w:r>
    </w:p>
    <w:p>
      <w:r>
        <w:t>Retrospektive Kohortenstudie an 522 Patienten ≥65 Jahren mit modifiziertem Frailty-Index zur Assoziation mit perioperativen Blutdruckabfällen.</w:t>
      </w:r>
    </w:p>
    <w:p>
      <w:r>
        <w:rPr>
          <w:b/>
        </w:rPr>
        <w:t xml:space="preserve">Ergebnis: </w:t>
      </w:r>
      <w:r>
        <w:t>Von 522 Patienten 23,8% gebrechlich, 57,1% mit intraoperativer Hypotonie (MAP &lt;65 mmHg). Frailty war nicht unabhängig mit Auftreten der Hypotonie assoziiert (OR 0,77, 95%-KI 0,38–1,53), aber gebrechliche Patienten zeigten längere kumulative Dauer der Hypotonie (p=0,045).</w:t>
      </w:r>
    </w:p>
    <w:p>
      <w:r>
        <w:rPr>
          <w:b/>
          <w:sz w:val="19"/>
        </w:rPr>
        <w:t xml:space="preserve">Übertragbarkeit: </w:t>
      </w:r>
      <w:r>
        <w:rPr>
          <w:sz w:val="19"/>
        </w:rPr>
        <w:t>Thailand, retrospektive Klinikdaten; Frailty-Assessment und perioperatives Monitoring als universelle Prinzipien übertragbar.</w:t>
      </w:r>
    </w:p>
    <w:p>
      <w:r>
        <w:rPr>
          <w:color w:val="5A7D3A"/>
          <w:sz w:val="18"/>
        </w:rPr>
        <w:t>https://pubmed.ncbi.nlm.nih.gov/42902188/</w:t>
      </w:r>
    </w:p>
    <w:p>
      <w:pPr>
        <w:pStyle w:val="Heading2"/>
      </w:pPr>
      <w:r>
        <w:t>Pflegen im Alter: Belastung, psychische Gesundheit und der Schutzeffekt sozialer Ressourcen</w:t>
      </w:r>
    </w:p>
    <w:p>
      <w:r>
        <w:rPr>
          <w:i/>
          <w:color w:val="666666"/>
          <w:sz w:val="18"/>
        </w:rPr>
        <w:t>Chaaya M et al.  ·  BMC Geriatr  ·  22.07.2026  ·  PMID 42902165</w:t>
      </w:r>
    </w:p>
    <w:p>
      <w:r>
        <w:t>Querschnittsstudie an 434 älteren Pflegepersonen im Libanon zur Assoziation zwischen Pflegebelastung und Depression/Angst sowie moderierenden Effekten.</w:t>
      </w:r>
    </w:p>
    <w:p>
      <w:r>
        <w:rPr>
          <w:b/>
        </w:rPr>
        <w:t xml:space="preserve">Ergebnis: </w:t>
      </w:r>
      <w:r>
        <w:t>36,4% mit hoher Pflegebelastung. Hohe Belastung verbunden mit um 7,65 Punkte höheren Depressionsscores (95%-KI 3,48–11,8) und 2,84 Punkte höheren Angstscores (95%-KI 0,73–4,95). Emotionale Unterstützung minderte signifikant den Belastungs-Depressionseffekt; finanzielle Ressourcen nicht.</w:t>
      </w:r>
    </w:p>
    <w:p>
      <w:r>
        <w:rPr>
          <w:b/>
          <w:sz w:val="19"/>
        </w:rPr>
        <w:t xml:space="preserve">Übertragbarkeit: </w:t>
      </w:r>
      <w:r>
        <w:rPr>
          <w:sz w:val="19"/>
        </w:rPr>
        <w:t>Libanon, ungleiche Gesundheitssysteme und Rentensicherung zu Deutschland, aber Mechanismus psychischer Belastung durch informale Pflege universal relevant.</w:t>
      </w:r>
    </w:p>
    <w:p>
      <w:r>
        <w:rPr>
          <w:color w:val="5A7D3A"/>
          <w:sz w:val="18"/>
        </w:rPr>
        <w:t>https://pubmed.ncbi.nlm.nih.gov/42902165/</w:t>
      </w:r>
    </w:p>
    <w:p>
      <w:pPr>
        <w:pStyle w:val="Heading2"/>
      </w:pPr>
      <w:r>
        <w:t>Lipid-Entzündung und Frailty als gemeinsame Treiber der cardiometabolischen Multimorbidität</w:t>
      </w:r>
    </w:p>
    <w:p>
      <w:r>
        <w:rPr>
          <w:i/>
          <w:color w:val="666666"/>
          <w:sz w:val="18"/>
        </w:rPr>
        <w:t>Zhao S et al.  ·  BMC Cardiovasc Disord  ·  25.07.2026  ·  PMID 42902143</w:t>
      </w:r>
    </w:p>
    <w:p>
      <w:r>
        <w:t>Nationale Kohortenstudie an 5.779 chinesischen Erwachsenen zur gemeinsamen Assoziation von Restcholesterin-Entzündungsindex und Frailty mit neuaufgetretener Multimorbidität.</w:t>
      </w:r>
    </w:p>
    <w:p>
      <w:r>
        <w:rPr>
          <w:b/>
        </w:rPr>
        <w:t xml:space="preserve">Ergebnis: </w:t>
      </w:r>
      <w:r>
        <w:t>510 Fälle Multimorbidität über Beobachtungszeit. Hoher RCII kombiniert mit Frailty zeigte HR 2,622 (95%-KI 1,972–3,488). Kumulativer RCII mit Frailty HR 2,849 (95%-KI 2,178–3,726). Modell mit kumulativem RCII und Frailty zeigte höheres AUC als reiner RCII (0,757 vs. 0,740). Additive/multiplikative Interaktion nach voller Anpassung nicht signifikant.</w:t>
      </w:r>
    </w:p>
    <w:p>
      <w:r>
        <w:rPr>
          <w:b/>
          <w:sz w:val="19"/>
        </w:rPr>
        <w:t xml:space="preserve">Übertragbarkeit: </w:t>
      </w:r>
      <w:r>
        <w:rPr>
          <w:sz w:val="19"/>
        </w:rPr>
        <w:t>China, CHARLS; lipidmetabolische Pathways aber transkulturelles Phänomen, Frailty-Screening in Primärversorgung universell.</w:t>
      </w:r>
    </w:p>
    <w:p>
      <w:r>
        <w:rPr>
          <w:color w:val="5A7D3A"/>
          <w:sz w:val="18"/>
        </w:rPr>
        <w:t>https://pubmed.ncbi.nlm.nih.gov/42902143/</w:t>
      </w:r>
    </w:p>
    <w:p>
      <w:pPr>
        <w:pStyle w:val="Heading2"/>
      </w:pPr>
      <w:r>
        <w:t>Wundinfektion nach Herzbypass bei gebrechlichen älteren Patienten: Risikofaktoren und Intervention</w:t>
      </w:r>
    </w:p>
    <w:p>
      <w:r>
        <w:rPr>
          <w:i/>
          <w:color w:val="666666"/>
          <w:sz w:val="18"/>
        </w:rPr>
        <w:t>Guerrieri M et al.  ·  JMIR Cardio  ·  16.10.2026  ·  PMID 42886572</w:t>
      </w:r>
    </w:p>
    <w:p>
      <w:r>
        <w:t>Retrospektive Multicenter-Studie an 467 gebrechlichen/pregebrechlichen Patienten ≥60 Jahren nach Koronarchirurgie zur Assoziation mit Wundinfektionen.</w:t>
      </w:r>
    </w:p>
    <w:p>
      <w:r>
        <w:rPr>
          <w:b/>
        </w:rPr>
        <w:t xml:space="preserve">Ergebnis: </w:t>
      </w:r>
      <w:r>
        <w:t>Wundinfektionsrate 5,6% (26/467). Im multivariaten Modell unabhängig assoziiert: Charlson-Komorbiditätsindex (OR 1,58, 95%-KI 1,25–1,99, p&lt;0,001) und Einsatz kardiopulmonaler Bypass (OR 4,89, 95%-KI 1,71–13,94, p=0,003). Komplikationsraten sonst zwischen Gruppen ähnlich.</w:t>
      </w:r>
    </w:p>
    <w:p>
      <w:r>
        <w:rPr>
          <w:b/>
          <w:sz w:val="19"/>
        </w:rPr>
        <w:t xml:space="preserve">Übertragbarkeit: </w:t>
      </w:r>
      <w:r>
        <w:rPr>
          <w:sz w:val="19"/>
        </w:rPr>
        <w:t>Brasilien, andere Gesundheitsfinanzierung; Frailty-stratifizierte perioperative Risikoadjustierung aber prinzipiell übertragbar.</w:t>
      </w:r>
    </w:p>
    <w:p>
      <w:r>
        <w:rPr>
          <w:color w:val="5A7D3A"/>
          <w:sz w:val="18"/>
        </w:rPr>
        <w:t>https://pubmed.ncbi.nlm.nih.gov/42886572/</w:t>
      </w:r>
    </w:p>
    <w:p>
      <w:pPr>
        <w:pStyle w:val="Heading1"/>
      </w:pPr>
      <w:r>
        <w:t>Aufgenommen am 21.10.2026</w:t>
      </w:r>
    </w:p>
    <w:p>
      <w:pPr>
        <w:pStyle w:val="Heading2"/>
      </w:pPr>
      <w:r>
        <w:t>Soziale Vulnerabilität als Frailty-Dimension in neurodegenerativen Erkrankungen</w:t>
      </w:r>
    </w:p>
    <w:p>
      <w:r>
        <w:rPr>
          <w:i/>
          <w:color w:val="666666"/>
          <w:sz w:val="18"/>
        </w:rPr>
        <w:t>Panzavolta A et al.  ·  Neurol Sci  ·  20.10.2026  ·  PMID 42900408</w:t>
      </w:r>
    </w:p>
    <w:p>
      <w:r>
        <w:t>Querschnittsstudie mit 47 Alzheimer-, 24 Frontotemporale-Demenz- und 66 Kontrollpersonen zur Messung physischer und sozialer Frailty mittels 60-Item-Fragebogen.</w:t>
      </w:r>
    </w:p>
    <w:p>
      <w:r>
        <w:rPr>
          <w:b/>
        </w:rPr>
        <w:t xml:space="preserve">Ergebnis: </w:t>
      </w:r>
      <w:r>
        <w:t>Demenzpatienten zeigten signifikant höhere globale (gFI) und soziale Frailty-Scores (sFI) als Kontrollen; sFI korrelierte mit Schweregrad und kognitiven Mustern bei beiden Demenzformen. Physische Frailty unterschied sich nicht zwischen Gruppen.</w:t>
      </w:r>
    </w:p>
    <w:p>
      <w:r>
        <w:rPr>
          <w:b/>
          <w:sz w:val="19"/>
        </w:rPr>
        <w:t xml:space="preserve">Übertragbarkeit: </w:t>
      </w:r>
      <w:r>
        <w:rPr>
          <w:sz w:val="19"/>
        </w:rPr>
        <w:t>Italien, europäische Versorgungsstruktur; soziale Frailty-Dimension relevant für deutschsprachige geriatrische Praxis.</w:t>
      </w:r>
    </w:p>
    <w:p>
      <w:r>
        <w:rPr>
          <w:color w:val="5A7D3A"/>
          <w:sz w:val="18"/>
        </w:rPr>
        <w:t>https://pubmed.ncbi.nlm.nih.gov/42900408/</w:t>
      </w:r>
    </w:p>
    <w:p>
      <w:pPr>
        <w:pStyle w:val="Heading2"/>
      </w:pPr>
      <w:r>
        <w:t>Unterschiedliche Verlaufsmuster oraler Frailty nach Zahnimplantaten im Alter</w:t>
      </w:r>
    </w:p>
    <w:p>
      <w:r>
        <w:rPr>
          <w:i/>
          <w:color w:val="666666"/>
          <w:sz w:val="18"/>
        </w:rPr>
        <w:t>Zhang Y et al.  ·  Front Public Health  ·  05.10.2026  ·  PMID 42898353</w:t>
      </w:r>
    </w:p>
    <w:p>
      <w:r>
        <w:t>Prospektive Kohortenstudie mit 211 älteren Patienten ≥60 Jahre, die Zahnimplantate erhielten, zur Identifizierung von Frailty-Trajektorien über 12 Monate mittels latent class growth modelling.</w:t>
      </w:r>
    </w:p>
    <w:p>
      <w:r>
        <w:rPr>
          <w:b/>
        </w:rPr>
        <w:t xml:space="preserve">Ergebnis: </w:t>
      </w:r>
      <w:r>
        <w:t>Drei Trajektorien wurden identifiziert: Rascher Rückgang-Stabil (42,7 %), Gradueller Rückgang-Plateau (35,1 %), Persistiert-Hohes-Risiko (22,2 %). Unabhängige Prädiktoren für die Hochrisiko-Gruppe: Alter (aOR 1,12), Polypharmazie (aOR 1,25), fehlende Zähne (aOR 1,09).</w:t>
      </w:r>
    </w:p>
    <w:p>
      <w:r>
        <w:rPr>
          <w:b/>
          <w:sz w:val="19"/>
        </w:rPr>
        <w:t xml:space="preserve">Übertragbarkeit: </w:t>
      </w:r>
      <w:r>
        <w:rPr>
          <w:sz w:val="19"/>
        </w:rPr>
        <w:t>China, aber klinisch-geriatrische Fragestellung; Polypharmazie-Effekt global relevant.</w:t>
      </w:r>
    </w:p>
    <w:p>
      <w:r>
        <w:rPr>
          <w:color w:val="5A7D3A"/>
          <w:sz w:val="18"/>
        </w:rPr>
        <w:t>https://pubmed.ncbi.nlm.nih.gov/42898353/</w:t>
      </w:r>
    </w:p>
    <w:p>
      <w:pPr>
        <w:pStyle w:val="Heading2"/>
      </w:pPr>
      <w:r>
        <w:t>Ernährungsvielfalt und gewonnene gesunde Lebensjahre bei älteren Erwachsenen</w:t>
      </w:r>
    </w:p>
    <w:p>
      <w:r>
        <w:rPr>
          <w:i/>
          <w:color w:val="666666"/>
          <w:sz w:val="18"/>
        </w:rPr>
        <w:t>Shi J et al.  ·  Front Public Health  ·  05.10.2026  ·  PMID 42898119</w:t>
      </w:r>
    </w:p>
    <w:p>
      <w:r>
        <w:t>Prospektive Kohortenstudie mit 9.953 Teilnehmern ≥65 Jahre zur Assoziation zwischen Ernährungsvielfalt und gewonnenen gesunden Lebensjahren (HLE) mittels Multistate-Analyse.</w:t>
      </w:r>
    </w:p>
    <w:p>
      <w:r>
        <w:rPr>
          <w:b/>
        </w:rPr>
        <w:t xml:space="preserve">Ergebnis: </w:t>
      </w:r>
      <w:r>
        <w:t>Bei hoher vs. niedriger Ernährungsvielfalt verlängerte sich die Lebenserwartung mit 65 Jahren um 1,26 Jahre (14,54 vs. 15,80 Jahre) und die HLE um 0,90 Jahre (13,32 vs. 14,22 Jahre). Höhere Ernährungsvielfalt war mit niedrigeren Sterblichkeitsübergängen aus Gesundheit und Behinderung verbunden; diese Unterschiede waren bei Männern und Stadtbewohnern ausgeprägter.</w:t>
      </w:r>
    </w:p>
    <w:p>
      <w:r>
        <w:rPr>
          <w:b/>
          <w:sz w:val="19"/>
        </w:rPr>
        <w:t xml:space="preserve">Übertragbarkeit: </w:t>
      </w:r>
      <w:r>
        <w:rPr>
          <w:sz w:val="19"/>
        </w:rPr>
        <w:t>China, nur bedingt übertragbar - andere Ernährungsmuster und Kohorte ohne europäische Sozialversicherung.</w:t>
      </w:r>
    </w:p>
    <w:p>
      <w:r>
        <w:rPr>
          <w:color w:val="5A7D3A"/>
          <w:sz w:val="18"/>
        </w:rPr>
        <w:t>https://pubmed.ncbi.nlm.nih.gov/42898119/</w:t>
      </w:r>
    </w:p>
    <w:p>
      <w:pPr>
        <w:pStyle w:val="Heading2"/>
      </w:pPr>
      <w:r>
        <w:t>Frailty und atherogenic Index kombiniert vorhersagen Herz-Metab.-Multimorbidität bei Älteren</w:t>
      </w:r>
    </w:p>
    <w:p>
      <w:r>
        <w:rPr>
          <w:i/>
          <w:color w:val="666666"/>
          <w:sz w:val="18"/>
        </w:rPr>
        <w:t>Wu H et al.  ·  J Glob Health  ·  19.10.2026  ·  PMID 42895260</w:t>
      </w:r>
    </w:p>
    <w:p>
      <w:r>
        <w:t>Prospektive Kohortenstudie mit 4.157 Teilnehmern ≥45 Jahre (CHARLS) zur Assoziation zwischen kumulativem AIP-FI-Index (atherogenic index × 37-Deficit-Frailty-Index) und incident cardiometabolic multimorbidity über 8,5 Jahre mittels Cox-Modelle und Machine Learning.</w:t>
      </w:r>
    </w:p>
    <w:p>
      <w:r>
        <w:rPr>
          <w:b/>
        </w:rPr>
        <w:t xml:space="preserve">Ergebnis: </w:t>
      </w:r>
      <w:r>
        <w:t>612 CMM-Fälle: Kumulative AIP-FI zeigte stärkere Assoziation mit CMM-Risiko als Baseline-Wert (HR 1,46 pro SD). Höchstes vs. niedrigstes Quartil: HR 3,95 (95% CI 2,95–5,29). Prädiktive AUC 0,7117 mit NRI 0,157 über traditionelle Marker. Bidirektionale Synergieeffekte zwischen AIP und FI.</w:t>
      </w:r>
    </w:p>
    <w:p>
      <w:r>
        <w:rPr>
          <w:b/>
          <w:sz w:val="19"/>
        </w:rPr>
        <w:t xml:space="preserve">Übertragbarkeit: </w:t>
      </w:r>
      <w:r>
        <w:rPr>
          <w:sz w:val="19"/>
        </w:rPr>
        <w:t>China (CHARLS), aber Konzept der kombinierten Vulnerabilität-Marker übertragbar auf deutsches Assessment.</w:t>
      </w:r>
    </w:p>
    <w:p>
      <w:r>
        <w:rPr>
          <w:color w:val="5A7D3A"/>
          <w:sz w:val="18"/>
        </w:rPr>
        <w:t>https://pubmed.ncbi.nlm.nih.gov/42895260/</w:t>
      </w:r>
    </w:p>
    <w:p>
      <w:pPr>
        <w:pStyle w:val="Heading2"/>
      </w:pPr>
      <w:r>
        <w:t>Triglycerid-Glukose-Frailty-Index bei Rheumatoider Arthritis vorhersagt Herz-Mortalität</w:t>
      </w:r>
    </w:p>
    <w:p>
      <w:r>
        <w:rPr>
          <w:i/>
          <w:color w:val="666666"/>
          <w:sz w:val="18"/>
        </w:rPr>
        <w:t>Xu Y et al.  ·  Medicine (Baltimore)  ·  16.10.2026  ·  PMID 42888590</w:t>
      </w:r>
    </w:p>
    <w:p>
      <w:r>
        <w:t>Querschnitt-Kohortenstudie mit 1.090 US-amerikanischen RA-Patienten aus NHANES 1999–2018 zur Assoziation zwischen TyG-FI (Triglycerid-Glukose-Index × 49-Item-Frailty-Index) und prevalent CVD sowie kardiovaskulärer Mortalität.</w:t>
      </w:r>
    </w:p>
    <w:p>
      <w:r>
        <w:rPr>
          <w:b/>
        </w:rPr>
        <w:t xml:space="preserve">Ergebnis: </w:t>
      </w:r>
      <w:r>
        <w:t>TyG-FI pro Einheit: OR 4,50 (95% CI 3,20–6,33) für prävalente CVD; HR 1,77 (95% CI 1,16–2,70) für Herz-Mortalität. AUC-Modelle mit TyG-FI (0,80 CVD, 0,81 Mortalität) überlegen vs. TyG allein (0,73, 0,80). Stärkere Assoziation bei Alter ≤65 Jahren.</w:t>
      </w:r>
    </w:p>
    <w:p>
      <w:r>
        <w:rPr>
          <w:b/>
          <w:sz w:val="19"/>
        </w:rPr>
        <w:t xml:space="preserve">Übertragbarkeit: </w:t>
      </w:r>
      <w:r>
        <w:rPr>
          <w:sz w:val="19"/>
        </w:rPr>
        <w:t>USA-Kohort, aber RA-assoziierte Multimorbidität und kombinierte Indizes relevant für deutsches Risiko-Assessment.</w:t>
      </w:r>
    </w:p>
    <w:p>
      <w:r>
        <w:rPr>
          <w:color w:val="5A7D3A"/>
          <w:sz w:val="18"/>
        </w:rPr>
        <w:t>https://pubmed.ncbi.nlm.nih.gov/42888590/</w:t>
      </w:r>
    </w:p>
    <w:p>
      <w:pPr>
        <w:pStyle w:val="Heading2"/>
      </w:pPr>
      <w:r>
        <w:t>Gesundheit im Alter als multidimensionales System: Validierung an 46.317 Europäern</w:t>
      </w:r>
    </w:p>
    <w:p>
      <w:r>
        <w:rPr>
          <w:i/>
          <w:color w:val="666666"/>
          <w:sz w:val="18"/>
        </w:rPr>
        <w:t>Tun T et al.  ·  Soc Sci Med  ·  16.09.2026  ·  PMID 42766933</w:t>
      </w:r>
    </w:p>
    <w:p>
      <w:r>
        <w:t>Sekundäranalyse von SHARE Wave 8 mit 46.317 Teilnehmern 50–104 Jahre zur psychometrischen Validierung eines sechsdimensionalen Gesundheitskonstrukts mittels Strukturgleichungsmodellierung.</w:t>
      </w:r>
    </w:p>
    <w:p>
      <w:r>
        <w:rPr>
          <w:b/>
        </w:rPr>
        <w:t xml:space="preserve">Ergebnis: </w:t>
      </w:r>
      <w:r>
        <w:t>Bestätigung einer zweiten Ordnung SEM mit sechs Dimensionen (Physische Gesundheit, Funktionsfähigkeit, Kognition, psychisches Wohlbefinden, finanzielle Autonomie, soziales Engagement) mit Faktorladungen 0,579–0,832 und guten Modellfit-Indizes (RMSEA 0,054, CFI 0,904). Modell war in europäischen Ländern konsistent.</w:t>
      </w:r>
    </w:p>
    <w:p>
      <w:r>
        <w:rPr>
          <w:b/>
          <w:sz w:val="19"/>
        </w:rPr>
        <w:t xml:space="preserve">Übertragbarkeit: </w:t>
      </w:r>
      <w:r>
        <w:rPr>
          <w:sz w:val="19"/>
        </w:rPr>
        <w:t>SHARE-Daten aus 28 europäischen Ländern, direkt auf Deutschland anwendbar.</w:t>
      </w:r>
    </w:p>
    <w:p>
      <w:r>
        <w:rPr>
          <w:color w:val="5A7D3A"/>
          <w:sz w:val="18"/>
        </w:rPr>
        <w:t>https://pubmed.ncbi.nlm.nih.gov/42766933/</w:t>
      </w:r>
    </w:p>
    <w:p>
      <w:pPr>
        <w:pStyle w:val="Heading1"/>
      </w:pPr>
      <w:r>
        <w:t>Aufgenommen am 20.10.2026</w:t>
      </w:r>
    </w:p>
    <w:p>
      <w:pPr>
        <w:pStyle w:val="Heading2"/>
      </w:pPr>
      <w:r>
        <w:t>Ösophagusspasmus bei Hochbetagter: Dysphagie-Diagnose bricht Teufelskreis aus Gewichtsverlust, Sarkopenie und Sturzrisiko</w:t>
      </w:r>
    </w:p>
    <w:p>
      <w:r>
        <w:rPr>
          <w:i/>
          <w:color w:val="666666"/>
          <w:sz w:val="18"/>
        </w:rPr>
        <w:t>Klein J et al.  ·  Dtsch Med Wochenschr  ·  19.10.2026  ·  PMID 42896540</w:t>
      </w:r>
    </w:p>
    <w:p>
      <w:r>
        <w:t>Fallbericht einer 93-jährigen sarkopenen Patientin mit Appetitlosigkeit, Übelkeit und Erbrechen in einer deutschen geriatrischen Klinik, bei der eine Breischluck-Untersuchung einen Ösophagussphinkterspasmus nachwies.</w:t>
      </w:r>
    </w:p>
    <w:p>
      <w:r>
        <w:rPr>
          <w:b/>
        </w:rPr>
        <w:t xml:space="preserve">Ergebnis: </w:t>
      </w:r>
      <w:r>
        <w:t>Nach Diagnose des distalen Motilitätsverluste durch Breischluck-Untersuchung konservative Therapie mit Botulinumtoxin-Injektionen durchgeführt, was kurzfristig zur Symptomverbesserung führte. Patientin kam aus dem Zyklus von Dysphagie → Gewichtsverlust → Sarkopenie → Frailty → Sturz heraus. Fallbericht unterstreicht Notwendigkeit gezielter Diagnostik und Therapie zur Prävention von Komplikationen.</w:t>
      </w:r>
    </w:p>
    <w:p>
      <w:r>
        <w:rPr>
          <w:b/>
          <w:sz w:val="19"/>
        </w:rPr>
        <w:t xml:space="preserve">Übertragbarkeit: </w:t>
      </w:r>
      <w:r>
        <w:rPr>
          <w:sz w:val="19"/>
        </w:rPr>
        <w:t>Deutschland (Bonn); geriatrisches Versorgungssystem und Versorgungskontext direkt anwendbar</w:t>
      </w:r>
    </w:p>
    <w:p>
      <w:r>
        <w:rPr>
          <w:color w:val="5A7D3A"/>
          <w:sz w:val="18"/>
        </w:rPr>
        <w:t>https://pubmed.ncbi.nlm.nih.gov/42896540/</w:t>
      </w:r>
    </w:p>
    <w:p>
      <w:pPr>
        <w:pStyle w:val="Heading2"/>
      </w:pPr>
      <w:r>
        <w:t>Zweistufiges Frailty-Screening in Hepatologie: Stuhl-Test und Griffstärke ersparen zwei Drittel der vollständigen Assessments</w:t>
      </w:r>
    </w:p>
    <w:p>
      <w:r>
        <w:rPr>
          <w:i/>
          <w:color w:val="666666"/>
          <w:sz w:val="18"/>
        </w:rPr>
        <w:t>Wang J et al.  ·  Nurs Open  ·  Okt. 2026  ·  PMID 42896173</w:t>
      </w:r>
    </w:p>
    <w:p>
      <w:r>
        <w:t>Querschnittstudie bei 606 hospitalisierten Patienten mit chronischer Lebererkrankung (August 2021–August 2025), die eine Pflegekraft-getragene Screening-Strategie mit Timed-Chair-Stand und Griffstärke gegen den Liver Frailty Index validierte.</w:t>
      </w:r>
    </w:p>
    <w:p>
      <w:r>
        <w:rPr>
          <w:b/>
        </w:rPr>
        <w:t xml:space="preserve">Ergebnis: </w:t>
      </w:r>
      <w:r>
        <w:t>Frailty-Prävalenz 18,6%. Einstufiges Screening (Chair-Stands ≥16,55 s oder Griffstärke ≤23,42 kg) erreichte 100% Sensitivität (Negative Predictive Value 1,000), identifizierte alle frailen Fälle und vermied 62,3% der vollständigen Assessments. Null verpasste Fälle in fünf Split-Sample-Analysen reproduziert.</w:t>
      </w:r>
    </w:p>
    <w:p>
      <w:r>
        <w:rPr>
          <w:b/>
          <w:sz w:val="19"/>
        </w:rPr>
        <w:t xml:space="preserve">Übertragbarkeit: </w:t>
      </w:r>
      <w:r>
        <w:rPr>
          <w:sz w:val="19"/>
        </w:rPr>
        <w:t>China; aber Screening-Kriterien und hepatologische Versorgung international ähnlich, externe Validierung ausstehend</w:t>
      </w:r>
    </w:p>
    <w:p>
      <w:r>
        <w:rPr>
          <w:color w:val="5A7D3A"/>
          <w:sz w:val="18"/>
        </w:rPr>
        <w:t>https://pubmed.ncbi.nlm.nih.gov/42896173/</w:t>
      </w:r>
    </w:p>
    <w:p>
      <w:pPr>
        <w:pStyle w:val="Heading2"/>
      </w:pPr>
      <w:r>
        <w:t>Frailty reduziert Arbeitsfähigkeit im Alter um vier bis acht Jahre</w:t>
      </w:r>
    </w:p>
    <w:p>
      <w:r>
        <w:rPr>
          <w:i/>
          <w:color w:val="666666"/>
          <w:sz w:val="18"/>
        </w:rPr>
        <w:t>Shui Y et al.  ·  J Glob Health  ·  19.10.2026  ·  PMID 42895270</w:t>
      </w:r>
    </w:p>
    <w:p>
      <w:r>
        <w:t>Multistate-Markov-Modelle bei 180.314 Personen ≥50 Jahren aus fünf harmonisierten Kohorten (33 Länder) zur Assoziation von Frailty-Status (robust, pre-frail, frail) mit gesunder Arbeitslebenserwartung (HWLE) im Alter von 50 Jahren.</w:t>
      </w:r>
    </w:p>
    <w:p>
      <w:r>
        <w:rPr>
          <w:b/>
        </w:rPr>
        <w:t xml:space="preserve">Ergebnis: </w:t>
      </w:r>
      <w:r>
        <w:t>HWLE bei 50 Jahren: 11,87 Jahre (95%-KI 11,74–12,00) robust, 7,34 Jahre (7,19–7,50) pre-frail, 3,77 Jahre (3,57–3,97) frail. Gegenüber robusten Personen: 4,53 Jahre kürzer (95%-KI −4,76, −4,29) pre-frail, 8,11 Jahre kürzer (−8,38, −7,84) frail. Männer hatten längere HWLE als Frauen in robusten und pre-frailen Gruppen. Höhere Bildung, Nichtrauchen und günstige nationale Faktoren verlängerten HWLE.</w:t>
      </w:r>
    </w:p>
    <w:p>
      <w:r>
        <w:rPr>
          <w:b/>
          <w:sz w:val="19"/>
        </w:rPr>
        <w:t xml:space="preserve">Übertragbarkeit: </w:t>
      </w:r>
      <w:r>
        <w:rPr>
          <w:sz w:val="19"/>
        </w:rPr>
        <w:t>33 Länder inklusive europäische; Frailty-Index robust, Bezug zu Arbeitsmarkt und Rente unterscheidet sich, aber Grundmechanismus universell</w:t>
      </w:r>
    </w:p>
    <w:p>
      <w:r>
        <w:rPr>
          <w:color w:val="5A7D3A"/>
          <w:sz w:val="18"/>
        </w:rPr>
        <w:t>https://pubmed.ncbi.nlm.nih.gov/42895270/</w:t>
      </w:r>
    </w:p>
    <w:p>
      <w:pPr>
        <w:pStyle w:val="Heading2"/>
      </w:pPr>
      <w:r>
        <w:t>Frailty-Trajektoren vorhersagen Osteoporose-Risiko stärker als einzelne Messungen</w:t>
      </w:r>
    </w:p>
    <w:p>
      <w:r>
        <w:rPr>
          <w:i/>
          <w:color w:val="666666"/>
          <w:sz w:val="18"/>
        </w:rPr>
        <w:t>Zhou J et al.  ·  J Glob Health  ·  19.10.2026  ·  PMID 42895262</w:t>
      </w:r>
    </w:p>
    <w:p>
      <w:r>
        <w:t>Longitudinale Kohortenstudie mit drei großen harmonisierten Datensätzen (HRS, ELSA, SHARE; ≥50 Jahre) zum Zusammenhang zwischen Frailty-Index-Verlauf und neuaufgetretener Osteoporose über 4–8 Jahre Nachbeobachtung.</w:t>
      </w:r>
    </w:p>
    <w:p>
      <w:r>
        <w:rPr>
          <w:b/>
        </w:rPr>
        <w:t xml:space="preserve">Ergebnis: </w:t>
      </w:r>
      <w:r>
        <w:t>Insgesamt 244 (ELSA), 2.693 (SHARE) und 1.986 (HRS) Neuerkrankungen mit Osteoporose. Höherer baseline Frailty Index unabhängig assoziiert mit erhöhtem Osteoporose-Risiko (HRS HR 1,43; 95%-KI 1,36–1,50; ELSA HR 1,36; 1,19–1,57; SHARE HR 1,39; 1,33–1,45, alle p&lt;0,001). Vier identifizierte Frailty-Trajektoren zeigten generell erhöhte Osteoporose-Risiken. Nichtlineare Analysen wiesen Schwellenwerteffekte auf (steilere Anstiege bei niedrigeren FI-Werten). Griffstärke vermittelte Assoziation partiell.</w:t>
      </w:r>
    </w:p>
    <w:p>
      <w:r>
        <w:rPr>
          <w:b/>
          <w:sz w:val="19"/>
        </w:rPr>
        <w:t xml:space="preserve">Übertragbarkeit: </w:t>
      </w:r>
      <w:r>
        <w:rPr>
          <w:sz w:val="19"/>
        </w:rPr>
        <w:t>Europäische und US-Kohorten; Frailty Index und Osteoporose-Definitions vergleichbar international</w:t>
      </w:r>
    </w:p>
    <w:p>
      <w:r>
        <w:rPr>
          <w:color w:val="5A7D3A"/>
          <w:sz w:val="18"/>
        </w:rPr>
        <w:t>https://pubmed.ncbi.nlm.nih.gov/42895262/</w:t>
      </w:r>
    </w:p>
    <w:p>
      <w:pPr>
        <w:pStyle w:val="Heading2"/>
      </w:pPr>
      <w:r>
        <w:t>Schädlicher Alkoholkonsum bei älteren Sturzpatienten häufig, mit Hyponatriämie assoziiert</w:t>
      </w:r>
    </w:p>
    <w:p>
      <w:r>
        <w:rPr>
          <w:i/>
          <w:color w:val="666666"/>
          <w:sz w:val="18"/>
        </w:rPr>
        <w:t>Rogmark C et al.  ·  Acta Orthop  ·  19.10.2026  ·  PMID 42894497</w:t>
      </w:r>
    </w:p>
    <w:p>
      <w:r>
        <w:t>Prospektive Kohortenstudie bei 505 Personen ≥65 Jahren mit akuter Sturz-bedingter Fraktur (Februar 2023–August 2024), die Phosphatidylethanol (PEth) als objektiven Marker für chronischen Alkoholkonsum zur Risikostratifizierung nutzte.</w:t>
      </w:r>
    </w:p>
    <w:p>
      <w:r>
        <w:rPr>
          <w:b/>
        </w:rPr>
        <w:t xml:space="preserve">Ergebnis: </w:t>
      </w:r>
      <w:r>
        <w:t>13% zeigten schädlichen Alkoholkonsum (PEth &gt;0,30 µmol/L), 8,9% intermediären Konsum (0,05–0,30), 78% keinen/niedrigen Konsum (&lt;0,05). Von nicht-frailen Patienten hatten 18% schädlichen und 11% intermediären Konsum. In der propensity-score-gematchten Kohorte: Alkoholkonsum assoziiert mit höherer Hyponatriämie-Wahrscheinlichkeit (OR 2,3; 95%-KI 1,1–4,5; p=0,02). Trend zu niedrigerer 90-Tages-Mortalität (OR 0,2; 95%-KI 0,1–1,0; p=0,05).</w:t>
      </w:r>
    </w:p>
    <w:p>
      <w:r>
        <w:rPr>
          <w:b/>
          <w:sz w:val="19"/>
        </w:rPr>
        <w:t xml:space="preserve">Übertragbarkeit: </w:t>
      </w:r>
      <w:r>
        <w:rPr>
          <w:sz w:val="19"/>
        </w:rPr>
        <w:t>Schweden (Lund/Malmö); Trauma-Management und Frailty-Screening vergleichbar mit Deutschland</w:t>
      </w:r>
    </w:p>
    <w:p>
      <w:r>
        <w:rPr>
          <w:color w:val="5A7D3A"/>
          <w:sz w:val="18"/>
        </w:rPr>
        <w:t>https://pubmed.ncbi.nlm.nih.gov/42894497/</w:t>
      </w:r>
    </w:p>
    <w:p>
      <w:pPr>
        <w:pStyle w:val="Heading2"/>
      </w:pPr>
      <w:r>
        <w:t>Soziale Kontakte fördern Grundfähigkeiten im Alter weltweit</w:t>
      </w:r>
    </w:p>
    <w:p>
      <w:r>
        <w:rPr>
          <w:i/>
          <w:color w:val="666666"/>
          <w:sz w:val="18"/>
        </w:rPr>
        <w:t>Lai ETC et al.  ·  Lancet Healthy Longev  ·  12.10.2026  ·  PMID 42863480</w:t>
      </w:r>
    </w:p>
    <w:p>
      <w:r>
        <w:t>Harmonisierte Längsschnittstudie zu 39.021 Personen ab 50 Jahren aus fünf Kohorten (USA, England, Europa, China, Japan), die den Zusammenhang zwischen sozialer Vernetzung und intrinsischer Kapazität (fünf Domänen: Kognition, Psyche, Sinne, Bewegung, Vitalität) untersuchte.</w:t>
      </w:r>
    </w:p>
    <w:p>
      <w:r>
        <w:rPr>
          <w:b/>
        </w:rPr>
        <w:t xml:space="preserve">Ergebnis: </w:t>
      </w:r>
      <w:r>
        <w:t>Höhere baseline soziale Vernetzung korrelierte mit besserer gesamter intrinsischer Kapazität (β=0,04 SD pro Punkt; 95%-KI 0,03–0,06). Stärkste Assoziationen zeigten sich in psychologischer (β=0,05 SD) und kognitiver Domäne (β=0,03 SD), beide p&lt;0,001. Soziale Partizipation und Partnerschaft waren am konsistentesten mit höherer Kapazität assoziiert. Baseline-Vernetzung sagte jedoch keine unterschiedlichen Raten des Funktionsverfalls über Follow-up voraus (β=0,0024 SD/Jahr; 95%-KI −0,0004 bis 0,0053).</w:t>
      </w:r>
    </w:p>
    <w:p>
      <w:r>
        <w:rPr>
          <w:b/>
          <w:sz w:val="19"/>
        </w:rPr>
        <w:t xml:space="preserve">Übertragbarkeit: </w:t>
      </w:r>
      <w:r>
        <w:rPr>
          <w:sz w:val="19"/>
        </w:rPr>
        <w:t>England und europäische Kohorten, vergleichbare Altersstrukturen und Sozialversicherungssysteme (SHARE-Daten)</w:t>
      </w:r>
    </w:p>
    <w:p>
      <w:r>
        <w:rPr>
          <w:color w:val="5A7D3A"/>
          <w:sz w:val="18"/>
        </w:rPr>
        <w:t>https://pubmed.ncbi.nlm.nih.gov/42863480/</w:t>
      </w:r>
    </w:p>
    <w:p>
      <w:pPr>
        <w:pStyle w:val="Heading2"/>
      </w:pPr>
      <w:r>
        <w:t>Bessere Grundfähigkeiten in neueren Generationen Europas – aber mit wachsenden Ungleichheiten</w:t>
      </w:r>
    </w:p>
    <w:p>
      <w:r>
        <w:rPr>
          <w:i/>
          <w:color w:val="666666"/>
          <w:sz w:val="18"/>
        </w:rPr>
        <w:t>Beard JR et al.  ·  Lancet Healthy Longev  ·  09.10.2026  ·  PMID 42854708</w:t>
      </w:r>
    </w:p>
    <w:p>
      <w:r>
        <w:t>Analyse von sieben Wellen der SHARE-Studie (2004–2022) bei 80.105 Personen ab 50 Jahren aus zehn europäischen Ländern zur Entwicklung der intrinsischen Kapazität über Geburtskohorten.</w:t>
      </w:r>
    </w:p>
    <w:p>
      <w:r>
        <w:rPr>
          <w:b/>
        </w:rPr>
        <w:t xml:space="preserve">Ergebnis: </w:t>
      </w:r>
      <w:r>
        <w:t>Neuere Geburtskohorten zeigten bei Studieneintritt höhere intrinsische Kapazität (Geburtsjahrkoeffizient 0,797; 95%-KI 0,780–0,815, p&lt;0,0001) und langsamere 10-Jahres-Rückgänge (0,426; 95%-KI 0,372–0,480, p&lt;0,0001). Frauen verzeichneten größere Gewinne als Männer. Länder mit niedrigerer Ausgangskapazität (z. B. Italien) zeigten größere Verbesserungen, aber kleinere Verlangsamungen im Rückgang. Höherer sozioökonomischer Status war mit größeren Gewinnen assoziiert, was Ungleichheiten verschärfte.</w:t>
      </w:r>
    </w:p>
    <w:p>
      <w:r>
        <w:rPr>
          <w:b/>
          <w:sz w:val="19"/>
        </w:rPr>
        <w:t xml:space="preserve">Übertragbarkeit: </w:t>
      </w:r>
      <w:r>
        <w:rPr>
          <w:sz w:val="19"/>
        </w:rPr>
        <w:t>10 europäische SHARE-Länder inklusive Deutschland; direkt auf deutsches Gesundheitssystem übertragbar</w:t>
      </w:r>
    </w:p>
    <w:p>
      <w:r>
        <w:rPr>
          <w:color w:val="5A7D3A"/>
          <w:sz w:val="18"/>
        </w:rPr>
        <w:t>https://pubmed.ncbi.nlm.nih.gov/42854708/</w:t>
      </w:r>
    </w:p>
    <w:p>
      <w:pPr>
        <w:pStyle w:val="Heading1"/>
      </w:pPr>
      <w:r>
        <w:t>Aufgenommen am 19.10.2026</w:t>
      </w:r>
    </w:p>
    <w:p>
      <w:pPr>
        <w:pStyle w:val="Heading2"/>
      </w:pPr>
      <w:r>
        <w:t>Geriatrische Schulungslücken in ambulanter Versorgung: Bedarfsanalyse aus 41 europäischen Ländern</w:t>
      </w:r>
    </w:p>
    <w:p>
      <w:r>
        <w:rPr>
          <w:i/>
          <w:color w:val="666666"/>
          <w:sz w:val="18"/>
        </w:rPr>
        <w:t>Kravvariti E et al.  ·  Age Ageing  ·  03.08.2026  ·  PMID 42891966</w:t>
      </w:r>
    </w:p>
    <w:p>
      <w:r>
        <w:t>Querschnittsbefragung von 2380 Fachkräften (Ärzte, Pflege, Diätassistenten, Therapeuten) aus Ambulanzen und häuslichen Diensten zur Selbsteinschätzung ihres Wissensstands bei 33 geriatrischen Themen.</w:t>
      </w:r>
    </w:p>
    <w:p>
      <w:r>
        <w:rPr>
          <w:b/>
        </w:rPr>
        <w:t xml:space="preserve">Ergebnis: </w:t>
      </w:r>
      <w:r>
        <w:t>Erhebliche Wissenslücken in allen Berufsgruppen: Umfassendes geriatrisches Assessment, Frailty-Screening, Polymedikation und Deprescribing, Sarkopenie, Dysphagie sowie Verhaltens- und Depressionssymptome bei Demenz zählten zu den Top-Defiziten. Profession-spezifische Prioritäten: Kommunikation und Vorsorgeverfügungen für Pflege, Deprescribing für Ärzte und Apotheker, Ernährungsassessment für Diätassistenten.</w:t>
      </w:r>
    </w:p>
    <w:p>
      <w:r>
        <w:rPr>
          <w:b/>
          <w:sz w:val="19"/>
        </w:rPr>
        <w:t xml:space="preserve">Übertragbarkeit: </w:t>
      </w:r>
      <w:r>
        <w:rPr>
          <w:sz w:val="19"/>
        </w:rPr>
        <w:t>41 europäische Länder, direkt relevant für deutschsprachigen Raum und Versorgungsstrukturen</w:t>
      </w:r>
    </w:p>
    <w:p>
      <w:r>
        <w:rPr>
          <w:color w:val="5A7D3A"/>
          <w:sz w:val="18"/>
        </w:rPr>
        <w:t>https://pubmed.ncbi.nlm.nih.gov/42891966/</w:t>
      </w:r>
    </w:p>
    <w:p>
      <w:pPr>
        <w:pStyle w:val="Heading2"/>
      </w:pPr>
      <w:r>
        <w:t>Elektronischer Frailty-Index sagt Sterblichkeit bei älteren Menschen voraus</w:t>
      </w:r>
    </w:p>
    <w:p>
      <w:r>
        <w:rPr>
          <w:i/>
          <w:color w:val="666666"/>
          <w:sz w:val="18"/>
        </w:rPr>
        <w:t>Du X et al.  ·  Front Public Health  ·  02.10.2026  ·  PMID 42890831</w:t>
      </w:r>
    </w:p>
    <w:p>
      <w:r>
        <w:t>Systematische Übersichtsarbeit und Meta-Analyse von 12 Studien (13 Kohorten mit 11 Hazard-Ratio- und 2 Odds-Ratio-Analysen) zur Assoziation zwischen elektronischem Frailty-Index (eFI) und Mortalität.</w:t>
      </w:r>
    </w:p>
    <w:p>
      <w:r>
        <w:rPr>
          <w:b/>
        </w:rPr>
        <w:t xml:space="preserve">Ergebnis: </w:t>
      </w:r>
      <w:r>
        <w:t>Dosisabhängige Assoziation: Milde Frailty (HR 1,81), moderate Frailty (HR 2,95) und schwere Frailty (HR 4,41) gegenüber nicht-frailer Gruppe. Erhebliche Heterogenität zwischen Studien je nach Nachbeobachtungsdauer, eFI-Schwellenwert und Studienumfeld. eFI scheint nützlich für Frailty-Screening und Risikostratifizierung, aber Ergebnisse erfordern vorsichtige Interpretation.</w:t>
      </w:r>
    </w:p>
    <w:p>
      <w:r>
        <w:rPr>
          <w:b/>
          <w:sz w:val="19"/>
        </w:rPr>
        <w:t xml:space="preserve">Übertragbarkeit: </w:t>
      </w:r>
      <w:r>
        <w:rPr>
          <w:sz w:val="19"/>
        </w:rPr>
        <w:t>UK Biobank und andere, elektronische Gesundheitsregisterdaten wie in Deutschland verfügbar</w:t>
      </w:r>
    </w:p>
    <w:p>
      <w:r>
        <w:rPr>
          <w:color w:val="5A7D3A"/>
          <w:sz w:val="18"/>
        </w:rPr>
        <w:t>https://pubmed.ncbi.nlm.nih.gov/42890831/</w:t>
      </w:r>
    </w:p>
    <w:p>
      <w:pPr>
        <w:pStyle w:val="Heading2"/>
      </w:pPr>
      <w:r>
        <w:t>Orale Frailty bei älteren Menschen mit Multimorbidität: Prävalenz 71,2%, verknüpft mit körperlicher Frailty</w:t>
      </w:r>
    </w:p>
    <w:p>
      <w:r>
        <w:rPr>
          <w:i/>
          <w:color w:val="666666"/>
          <w:sz w:val="18"/>
        </w:rPr>
        <w:t>Zhou Y et al.  ·  Front Public Health  ·  02.10.2026  ·  PMID 42890626</w:t>
      </w:r>
    </w:p>
    <w:p>
      <w:r>
        <w:t>Querschnittsstudie von 393 Personen ≥60 Jahre mit ≥1 chronischer Erkrankung in Nordostchina zur Prävalenz oraler Frailty mittels Oral Frailty Index-8 (OFI-8) und assoziierten Faktoren.</w:t>
      </w:r>
    </w:p>
    <w:p>
      <w:r>
        <w:rPr>
          <w:b/>
        </w:rPr>
        <w:t xml:space="preserve">Ergebnis: </w:t>
      </w:r>
      <w:r>
        <w:t>71,2% (n=280) orale Frailty (OFI-8: 5,61±2,58). Häufigste Items: Schwierigkeiten mit harter Nahrung 62,3%, Verschlucken 48,6%, Mundtrockenheit 45,8%. Unabhängig assoziiert: höheres Alter, weibliches Geschlecht, niedriges Einkommen, niedriger/hoher BMI, Alkoholkonsum, körperliche Frailty, Schlafstörung, negative Altersattitude, ≥3 Erkrankungen, Diabetes (alle p&lt;0,05).</w:t>
      </w:r>
    </w:p>
    <w:p>
      <w:r>
        <w:rPr>
          <w:b/>
          <w:sz w:val="19"/>
        </w:rPr>
        <w:t xml:space="preserve">Übertragbarkeit: </w:t>
      </w:r>
      <w:r>
        <w:rPr>
          <w:sz w:val="19"/>
        </w:rPr>
        <w:t>China, ethnische Minderheit – überwiegend strukturelle Befunde, Screening-Befund direkt relevant</w:t>
      </w:r>
    </w:p>
    <w:p>
      <w:r>
        <w:rPr>
          <w:color w:val="5A7D3A"/>
          <w:sz w:val="18"/>
        </w:rPr>
        <w:t>https://pubmed.ncbi.nlm.nih.gov/42890626/</w:t>
      </w:r>
    </w:p>
    <w:p>
      <w:pPr>
        <w:pStyle w:val="Heading2"/>
      </w:pPr>
      <w:r>
        <w:t>Frailty mit multilokulalen Schmerzen vergesellschaftet, teilweise durch Depression vermittelt</w:t>
      </w:r>
    </w:p>
    <w:p>
      <w:r>
        <w:rPr>
          <w:i/>
          <w:color w:val="666666"/>
          <w:sz w:val="18"/>
        </w:rPr>
        <w:t>Cheng Y et al.  ·  Medicine (Baltimore)  ·  16.10.2026  ·  PMID 42888628</w:t>
      </w:r>
    </w:p>
    <w:p>
      <w:r>
        <w:t>Querschnittsanalyse von 5281 Personen ≥45 Jahre aus China Health and Retirement Longitudinal Study zu Assoziation zwischen korrigiertem modifiziertem Frailty-Index (CMFI) und chronischen Schmerzen mit Mediationsanalyse.</w:t>
      </w:r>
    </w:p>
    <w:p>
      <w:r>
        <w:rPr>
          <w:b/>
        </w:rPr>
        <w:t xml:space="preserve">Ergebnis: </w:t>
      </w:r>
      <w:r>
        <w:t>Höherer CMFI stark mit erhöhtem Schmerz-Risiko assoziiert: Höchstes vs. niedrigstes CMFI-Quartil zeigte 11,6-fach erhöhtes Risiko für Kreuzschmerzen, 17,0-fach für Multisite-Schmerzen und 11,5-fach höhere Schmerzlokalisationen. Depression vermittelte ca. 30% dieser Assoziationen. Unterschiede nach Alter, Bildung und Wohnort.</w:t>
      </w:r>
    </w:p>
    <w:p>
      <w:r>
        <w:rPr>
          <w:b/>
          <w:sz w:val="19"/>
        </w:rPr>
        <w:t xml:space="preserve">Übertragbarkeit: </w:t>
      </w:r>
      <w:r>
        <w:rPr>
          <w:sz w:val="19"/>
        </w:rPr>
        <w:t>China, vergleichbare Altersstruktur – Befunde aber nicht direkt auf deutsche Sozialversicherung übertragbar</w:t>
      </w:r>
    </w:p>
    <w:p>
      <w:r>
        <w:rPr>
          <w:color w:val="5A7D3A"/>
          <w:sz w:val="18"/>
        </w:rPr>
        <w:t>https://pubmed.ncbi.nlm.nih.gov/42888628/</w:t>
      </w:r>
    </w:p>
    <w:p>
      <w:pPr>
        <w:pStyle w:val="Heading2"/>
      </w:pPr>
      <w:r>
        <w:t>Höhere Frailty mit schlechterer Herzgesundheit: Dosis-Wirkungs-Beziehung in US-Stichprobe</w:t>
      </w:r>
    </w:p>
    <w:p>
      <w:r>
        <w:rPr>
          <w:i/>
          <w:color w:val="666666"/>
          <w:sz w:val="18"/>
        </w:rPr>
        <w:t>Yan W et al.  ·  Medicine (Baltimore)  ·  16.10.2026  ·  PMID 42888560</w:t>
      </w:r>
    </w:p>
    <w:p>
      <w:r>
        <w:t>Querschnittsanalyse von 8015 Erwachsenen ≥20 Jahre aus NHANES 2007–2018 zur Assoziation zwischen Frailty-Index und kardiovaskulärer Gesundheit nach American Heart Association Definition.</w:t>
      </w:r>
    </w:p>
    <w:p>
      <w:r>
        <w:rPr>
          <w:b/>
        </w:rPr>
        <w:t xml:space="preserve">Ergebnis: </w:t>
      </w:r>
      <w:r>
        <w:t>Höhere Frailty-Niveaus linear mit erhöhtem Risiko schlechter kardiovaskulärer Gesundheit assoziiert (dosisabhängig). Serum-25(OH)D-Level unabhängig invers mit schlechter kardiovaskulärer Gesundheit assoziiert. Keine statistisch signifikante multiplikative Interaktion zwischen Frailty und 25(OH)D. Assoziationen variierten nach Geschlecht und 25(OH)D-Status.</w:t>
      </w:r>
    </w:p>
    <w:p>
      <w:r>
        <w:rPr>
          <w:b/>
          <w:sz w:val="19"/>
        </w:rPr>
        <w:t xml:space="preserve">Übertragbarkeit: </w:t>
      </w:r>
      <w:r>
        <w:rPr>
          <w:sz w:val="19"/>
        </w:rPr>
        <w:t>USA, aber Frailty-Kardiovaskularität-Assoziation prinzipiell übertragbar</w:t>
      </w:r>
    </w:p>
    <w:p>
      <w:r>
        <w:rPr>
          <w:color w:val="5A7D3A"/>
          <w:sz w:val="18"/>
        </w:rPr>
        <w:t>https://pubmed.ncbi.nlm.nih.gov/42888560/</w:t>
      </w:r>
    </w:p>
    <w:p>
      <w:pPr>
        <w:pStyle w:val="Heading2"/>
      </w:pPr>
      <w:r>
        <w:t>Handgriffkraft und Stuhlaufstehen als Functional-Indikatoren: Methodische Vorbehalte bei multizentrischen Studien</w:t>
      </w:r>
    </w:p>
    <w:p>
      <w:r>
        <w:rPr>
          <w:i/>
          <w:color w:val="666666"/>
          <w:sz w:val="18"/>
        </w:rPr>
        <w:t>Kudratova Z et al.  ·  Aging Clin Exp Res  ·  15.10.2026  ·  PMID 42875631</w:t>
      </w:r>
    </w:p>
    <w:p>
      <w:r>
        <w:t>Methodologischer Kommentar zu Prospektivanalyse über kumulative Handgriffkraft und erfolgreiches Altern in drei internationalen Kohorten, kritische Bewertung von Studiendesign und Vergleichbarkeit.</w:t>
      </w:r>
    </w:p>
    <w:p>
      <w:r>
        <w:rPr>
          <w:b/>
        </w:rPr>
        <w:t xml:space="preserve">Ergebnis: </w:t>
      </w:r>
      <w:r>
        <w:t>Handgriffkraft erfasst nicht alle funktionellen Determinanten erfolgreiches Alterns. Selbstberichtete chronische Erkrankungen verursachen Klassifizierungsfehler (unterschiedlich nach Sozioökonomie). Zwei-Phasen-Temporaldesign adressiert Selektionsbias und Kohortengrenzen unzureichend. Kohorten-relatives kognitives Schwellenwert gefährdet Bevölkerungsvergleichbarkeit. Empfehlung: stärkere methodologische Reflexion und Standardisierung.</w:t>
      </w:r>
    </w:p>
    <w:p>
      <w:r>
        <w:rPr>
          <w:b/>
          <w:sz w:val="19"/>
        </w:rPr>
        <w:t xml:space="preserve">Übertragbarkeit: </w:t>
      </w:r>
      <w:r>
        <w:rPr>
          <w:sz w:val="19"/>
        </w:rPr>
        <w:t>Internationale Kohorten (USA, Asien, Europa), Methoden-Review – Design-Kritik grundsätzlich relevant</w:t>
      </w:r>
    </w:p>
    <w:p>
      <w:r>
        <w:rPr>
          <w:color w:val="5A7D3A"/>
          <w:sz w:val="18"/>
        </w:rPr>
        <w:t>https://pubmed.ncbi.nlm.nih.gov/42875631/</w:t>
      </w:r>
    </w:p>
    <w:p>
      <w:pPr>
        <w:pStyle w:val="Heading1"/>
      </w:pPr>
      <w:r>
        <w:t>Aufgenommen am 18.10.2026</w:t>
      </w:r>
    </w:p>
    <w:p>
      <w:pPr>
        <w:pStyle w:val="Heading2"/>
      </w:pPr>
      <w:r>
        <w:t>Krafttraining senkt Gebrechlichkeit im Alter stärker als Gehen oder Tai Chi</w:t>
      </w:r>
    </w:p>
    <w:p>
      <w:r>
        <w:rPr>
          <w:i/>
          <w:color w:val="666666"/>
          <w:sz w:val="18"/>
        </w:rPr>
        <w:t>Li J et al.  ·  Front Public Health  ·  02.10.2026  ·  PMID 42891303</w:t>
      </w:r>
    </w:p>
    <w:p>
      <w:r>
        <w:t>Systematische Übersicht mit Metaanalyse von randomisierten Studien zu Krafttraining, Gehen und Tai Chi bei älteren Menschen mit Gebrechlichkeit (Frailty).</w:t>
      </w:r>
    </w:p>
    <w:p>
      <w:r>
        <w:rPr>
          <w:b/>
        </w:rPr>
        <w:t xml:space="preserve">Ergebnis: </w:t>
      </w:r>
      <w:r>
        <w:t>Bei 1.361 Teilnehmern zeigte Krafttraining eine signifikante Reduktion von Gebrechlichkeit (SMD = -0,78, 95%-KI -1,22 bis -0,35), während Gehen und Tai Chi keine statistisch signifikanten Effekte aufwiesen. Heterogenität war erheblich (I² = 88%), und optimale Dosierungsempfehlungen konnten nicht abgeleitet werden.</w:t>
      </w:r>
    </w:p>
    <w:p>
      <w:r>
        <w:rPr>
          <w:b/>
          <w:sz w:val="19"/>
        </w:rPr>
        <w:t xml:space="preserve">Übertragbarkeit: </w:t>
      </w:r>
      <w:r>
        <w:rPr>
          <w:sz w:val="19"/>
        </w:rPr>
        <w:t>Internationale Evidenz, direkt auf deutsches Versorgungssystem übertragbar</w:t>
      </w:r>
    </w:p>
    <w:p>
      <w:r>
        <w:rPr>
          <w:color w:val="5A7D3A"/>
          <w:sz w:val="18"/>
        </w:rPr>
        <w:t>https://pubmed.ncbi.nlm.nih.gov/42891303/</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