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08.09.2026  |  6 Studien  |  longevity.m-vf.de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Langzeitpflege für Ältere in Südostasien: Verfügbarkeit, Qualität und Lücken</w:t>
      </w:r>
    </w:p>
    <w:p>
      <w:r>
        <w:rPr>
          <w:i/>
          <w:color w:val="666666"/>
          <w:sz w:val="18"/>
        </w:rPr>
        <w:t>Sasaki Y et al.  ·  Geriatr Gerontol Int  ·  Sept. 2026  ·  PMID 42705630</w:t>
      </w:r>
    </w:p>
    <w:p>
      <w:r>
        <w:t>Mixed-Methods-Studie (Sekundärdaten zu UHC, demografische Trends, Expertinneninterviews, 7 Evaluationsdomänen) zur Organisation und Qualität der Langzeitpflege in Kambodscha, Thailand, Philippinen, Malaysia und Myanmar während des demographischen Wandels.</w:t>
      </w:r>
    </w:p>
    <w:p>
      <w:r>
        <w:rPr>
          <w:b/>
        </w:rPr>
        <w:t xml:space="preserve">Ergebnis: </w:t>
      </w:r>
      <w:r>
        <w:t>Positive Assoziation zwischen UHC-Fortschritt und Altersstruktur. Langzeitpflege-Organisation und -Versorgung variieren stark; Heimbasierte Pflege dominiert, Verfügbarkeit und Integration öffentlicher Dienste inkonsistent. Demenzbetreuung weitgehend unerkannt, haushaltszentriert. Informations- und Kommunikationstechnologien minimal/absent. Thailand zeigt Fortschritt bei Rehabilitations-UHC-Verknüpfung, aber Personalengpässe und Zugangsbarrieren. Präventivversorgung, einschließlich Frailty-Prävention, unterentwickelt.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unterschiedliche Finanzierungssysteme und Entwicklungslagen; Befunde zeigen regionale Unterschiede, Übertragung auf Deutschland begrenzt, aber Policy-Implikationen relevant</w:t>
      </w:r>
    </w:p>
    <w:p>
      <w:r>
        <w:rPr>
          <w:color w:val="5A7D3A"/>
          <w:sz w:val="18"/>
        </w:rPr>
        <w:t>https://pubmed.ncbi.nlm.nih.gov/42705630/</w:t>
      </w:r>
    </w:p>
    <w:p>
      <w:pPr>
        <w:pStyle w:val="Heading2"/>
      </w:pPr>
      <w:r>
        <w:t>Gezieltes Kraft- und Balancetraining verbessert Mobilität älterer Aboriginal-Menschen</w:t>
      </w:r>
    </w:p>
    <w:p>
      <w:r>
        <w:rPr>
          <w:i/>
          <w:color w:val="666666"/>
          <w:sz w:val="18"/>
        </w:rPr>
        <w:t>Ivers R et al.  ·  Age Ageing  ·  04.09.2026  ·  PMID 42704260</w:t>
      </w:r>
    </w:p>
    <w:p>
      <w:r>
        <w:t>Kontrollierte Vorher-nachher-Studie (n=19 Standorte Australien, Ironbark-Programm) zum Effekt eines Co-Design-Sturzvorsorgeprogramms mit Übungen und Yarning Circles auf funktionelle Mobilität und Stürze bei Aboriginal-Älteren (≥45 Jahre, n=vor allem Intervention).</w:t>
      </w:r>
    </w:p>
    <w:p>
      <w:r>
        <w:rPr>
          <w:b/>
        </w:rPr>
        <w:t xml:space="preserve">Ergebnis: </w:t>
      </w:r>
      <w:r>
        <w:t>Signifikante Verbesserung der primären Outcome funktionelle Mobilität (SPPB-Veränderung +0,8 Punkte, 95 % CI 0,4–1,1), kürzere Schrittzeiten, bessere Beinstabilität, mehr geplante und beiläufige Bewegung. Keine signifikanten Änderungen bei Stürzen, Lebensqualität oder psychischer Belastung. Kontrollgruppe (Healthy Community) zeigte Verschlechterungen.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Kontrollstudie mit funktionellem Endpunkt, Design übertragbar auf andere First-Nations-Settings</w:t>
      </w:r>
    </w:p>
    <w:p>
      <w:r>
        <w:rPr>
          <w:color w:val="5A7D3A"/>
          <w:sz w:val="18"/>
        </w:rPr>
        <w:t>https://pubmed.ncbi.nlm.nih.gov/42704260/</w:t>
      </w:r>
    </w:p>
    <w:p>
      <w:pPr>
        <w:pStyle w:val="Heading2"/>
      </w:pPr>
      <w:r>
        <w:t>Individuelle Ernährungsintervention mit Krafttraining verbessert Frailty bei hospitalisierten Älteren</w:t>
      </w:r>
    </w:p>
    <w:p>
      <w:r>
        <w:rPr>
          <w:i/>
          <w:color w:val="666666"/>
          <w:sz w:val="18"/>
        </w:rPr>
        <w:t>Chen L et al.  ·  J Int Med Res  ·  07.09.2026  ·  PMID 42704222</w:t>
      </w:r>
    </w:p>
    <w:p>
      <w:r>
        <w:t>Prospektive Pilotkohorte ohne Kontrolle (n=120, Durchschnittsalter 87 Jahre) zur Wirkung von Screening-gesteuerter individualisierter Ernährungsunterstützung (bei MNA-SF ≤11) kombiniert mit dosiertem Theraband-Krafttraining 3x wöchentlich über 12 Wochen.</w:t>
      </w:r>
    </w:p>
    <w:p>
      <w:r>
        <w:rPr>
          <w:b/>
        </w:rPr>
        <w:t xml:space="preserve">Ergebnis: </w:t>
      </w:r>
      <w:r>
        <w:t>Signifikante Verbesserungen: Serum-Transferrin, Präalbumin und Albumin (alle p&lt;0,05), MNA-SF-Scores, SPPB-Scores, Mobilität, ADL/IADL-Funktionen, Griffstärke und Gehgeschwindigkeit (alle p&lt;0,05). SPPB-Mindesteffekt erreicht bei höherem Bildungsniveau (aOR=1,96) und niedrigerem Ausgangs-Mobilitätswert (aOR=1,81). Ohne externe Validierung; Ergebnisse vorläufig.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(Klinikdaten), Struktur auf deutsche Geriatrie übertragbar (Assessment, Ernährung, Rehabilitation), klinische Dosierung dokumentiert</w:t>
      </w:r>
    </w:p>
    <w:p>
      <w:r>
        <w:rPr>
          <w:color w:val="5A7D3A"/>
          <w:sz w:val="18"/>
        </w:rPr>
        <w:t>https://pubmed.ncbi.nlm.nih.gov/42704222/</w:t>
      </w:r>
    </w:p>
    <w:p>
      <w:pPr>
        <w:pStyle w:val="Heading2"/>
      </w:pPr>
      <w:r>
        <w:t>Gestaffelte Auswahl von Frailty-Assessment-Instrumenten für die klinische Praxis</w:t>
      </w:r>
    </w:p>
    <w:p>
      <w:r>
        <w:rPr>
          <w:i/>
          <w:color w:val="666666"/>
          <w:sz w:val="18"/>
        </w:rPr>
        <w:t>Sládeček S et al.  ·  Clin Interv Aging  ·  02.09.2026  ·  PMID 42703386</w:t>
      </w:r>
    </w:p>
    <w:p>
      <w:r>
        <w:t>Narrative Übersicht über zehn validierte Frailty-Assessments (FRAIL, SOF, CFS, PRISMA-7, VES-13, Fried phenotype, TFI, GFI, EFS, FI-CGA) mit Analyse ihrer konzeptionellen Grundlagen, Einsatzdomänen und praktischen Anforderungen.</w:t>
      </w:r>
    </w:p>
    <w:p>
      <w:r>
        <w:rPr>
          <w:b/>
        </w:rPr>
        <w:t xml:space="preserve">Ergebnis: </w:t>
      </w:r>
      <w:r>
        <w:t>Gegenüberstellung zeigt: Kurze Screening-Tools (PRISMA-7, FRAIL) für erste Kontakte in Ambulanz/Gemeinde; CFS für schnelle klinische Stratifizierung in Akutaufnahme/Notfall; mehrdimensionale Instrumente (EFS) wenn breiterer Überblick nötig, aber keine vollständige geriatrische Diagnostik; CGA+FI-CGA für spezialisierte geriatrische Versorgung. Instrumentwahl hängt von Versorgungskontext, Zweck und Kapazität ab – keine Austauschbarkeit.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Mehrsprachig validiert (europäischer und nordamerikanischer Raum), klinische Empfehlungen universell anwendbar, deutschsprachige Literatur einbezogen</w:t>
      </w:r>
    </w:p>
    <w:p>
      <w:r>
        <w:rPr>
          <w:color w:val="5A7D3A"/>
          <w:sz w:val="18"/>
        </w:rPr>
        <w:t>https://pubmed.ncbi.nlm.nih.gov/42703386/</w:t>
      </w:r>
    </w:p>
    <w:p>
      <w:pPr>
        <w:pStyle w:val="Heading2"/>
      </w:pPr>
      <w:r>
        <w:t>Digitale Technologien für aktives Altern: Bibliometrie und Forschungslandkarte</w:t>
      </w:r>
    </w:p>
    <w:p>
      <w:r>
        <w:rPr>
          <w:i/>
          <w:color w:val="666666"/>
          <w:sz w:val="18"/>
        </w:rPr>
        <w:t>Wang Y et al.  ·  Inquiry  ·  04.09.2026  ·  PMID 42695810</w:t>
      </w:r>
    </w:p>
    <w:p>
      <w:r>
        <w:t>Bibliometrische Analyse (n=837 Publikationen 2006–2025, Web of Science) zur Kartierung der Forschungslandschaft digitaler Technologien für aktives Altern, Identifikation von Clustern, Trends und thematischen Strukturen.</w:t>
      </w:r>
    </w:p>
    <w:p>
      <w:r>
        <w:rPr>
          <w:b/>
        </w:rPr>
        <w:t xml:space="preserve">Ergebnis: </w:t>
      </w:r>
      <w:r>
        <w:t>Publikationen steigen ab 2018 deutlich an. Fünf Forschungscluster: Technologieakzeptanz und Befähigung, digitale Lifestyle-Interventionen, digitale Partizipation und Smart Environments, eHealth-gestützte Verhaltensänderung, Machine-Learning-basierte Altersassessments. Schlüsselthemen: digitale Inklusion, körperliche Aktivität, Gesundheitsrisiko-Analytik, Lebensqualität. Verschiebung hin zu Funktionsfähigkeit und personalisierter Unterstützung; KI-basierte Assessments noch früh, sollten vorsichtig interpretiert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Analyse, beschreibend (keine Wirksamkeitsdaten), Anwendbarkeit hängt von lokalen Systemen ab</w:t>
      </w:r>
    </w:p>
    <w:p>
      <w:r>
        <w:rPr>
          <w:color w:val="5A7D3A"/>
          <w:sz w:val="18"/>
        </w:rPr>
        <w:t>https://pubmed.ncbi.nlm.nih.gov/42695810/</w:t>
      </w:r>
    </w:p>
    <w:p>
      <w:pPr>
        <w:pStyle w:val="Heading2"/>
      </w:pPr>
      <w:r>
        <w:t>Körperliche Aktivität mindert Frailty-Risiko trotz belastender Kindheitserfahrungen</w:t>
      </w:r>
    </w:p>
    <w:p>
      <w:r>
        <w:rPr>
          <w:i/>
          <w:color w:val="666666"/>
          <w:sz w:val="18"/>
        </w:rPr>
        <w:t>Dong X et al.  ·  Gen Hosp Psychiatry  ·  15.08.2026  ·  PMID 42660041</w:t>
      </w:r>
    </w:p>
    <w:p>
      <w:r>
        <w:t>Prospektive Kohortenstudie (SHARE-Daten, n=23.385) zur Frage, ob ausreichende körperliche Aktivität die negativen Auswirkungen ungünstiger Kindheitserfahrungen (Adverse Childhood Experiences) auf kognitives Frailty im mittleren und höheren Alter abpuffert.</w:t>
      </w:r>
    </w:p>
    <w:p>
      <w:r>
        <w:rPr>
          <w:b/>
        </w:rPr>
        <w:t xml:space="preserve">Ergebnis: </w:t>
      </w:r>
      <w:r>
        <w:t>Jede zusätzliche ungünstige Kindheitserfahrung erhöhte das Frailty-Risiko um 9 % (HR=1,09). Ein Jahr ausreichende körperliche Aktivität senkte das Risiko um 25 % (HR=0,75). Langfristige Aufrechterhaltung (≥6 Jahre) reduzierte das Frailty-Risiko bei ungünstigen Erfahrungen um 54 % (HR=0,46); die Assoziation wurde zu 23 % durch erhaltene körperliche Aktivität vermittelt. Effekt war stärksten bei schlechtem Kindheitseinkommen (HR=0,59) und schlechter Nachbarschaftsqualität (HR=0,45).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(SHARE-Daten, deutschsprachige Länder einbezogen), sozialversicherungsbasierte Systeme vergleichbar</w:t>
      </w:r>
    </w:p>
    <w:p>
      <w:r>
        <w:rPr>
          <w:color w:val="5A7D3A"/>
          <w:sz w:val="18"/>
        </w:rPr>
        <w:t>https://pubmed.ncbi.nlm.nih.gov/42660041/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