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23.09.2026  |  6 Studien  |  longevity.m-vf.de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Todesursachen im Lebensverlauf in Südostasien: regionale Ungleichgewichte 2023</w:t>
      </w:r>
    </w:p>
    <w:p>
      <w:r>
        <w:rPr>
          <w:i/>
          <w:color w:val="666666"/>
          <w:sz w:val="18"/>
        </w:rPr>
        <w:t>GBD 2023 ASEAN Causes of Death Collaborators  ·  Lancet Public Health  ·  Okt. 2026  ·  PMID 42772298</w:t>
      </w:r>
    </w:p>
    <w:p>
      <w:r>
        <w:t>GBD-2023-Analyse der Todesursachen und Lebenserwartung von Geburt bis 70 Jahre in elf ASEAN-Ländern, stratifiziert nach Alter und Geschlecht.</w:t>
      </w:r>
    </w:p>
    <w:p>
      <w:r>
        <w:rPr>
          <w:b/>
        </w:rPr>
        <w:t xml:space="preserve">Ergebnis: </w:t>
      </w:r>
      <w:r>
        <w:t>Regionale Lebenserwartung 2023: 70,1 Jahre Männer (95%-UI 69,6–70,7), 76,2 Jahre Frauen (75,7–76,7); Range 62,1 Jahre (Myanmar, Männer) bis 87,5 Jahre (Singapur, Frauen). Unfallverletzungen führend in Adoleszenz/frühem Erwachsenenalter; nicht-übertragbare Krankheiten dominant in mittlerem Alter. Tabakkonsum dominierender Risikofaktor bei Männern, Hypertonie bei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breite Systeme mit unterschiedlicher Infrastruktur – Befunde zu Risiken und Disparitäten sind relevant</w:t>
      </w:r>
    </w:p>
    <w:p>
      <w:r>
        <w:rPr>
          <w:color w:val="5A7D3A"/>
          <w:sz w:val="18"/>
        </w:rPr>
        <w:t>https://pubmed.ncbi.nlm.nih.gov/42772298/</w:t>
      </w:r>
    </w:p>
    <w:p>
      <w:pPr>
        <w:pStyle w:val="Heading2"/>
      </w:pPr>
      <w:r>
        <w:t>Institutionelles geriatrisches Versorgungsmodell in Mexiko: GeriatrIMSS-Struktur und Ergebnisse</w:t>
      </w:r>
    </w:p>
    <w:p>
      <w:r>
        <w:rPr>
          <w:i/>
          <w:color w:val="666666"/>
          <w:sz w:val="18"/>
        </w:rPr>
        <w:t>Medina-Chávez JH et al.  ·  Rev Med Inst Mex Seguro Soc  ·  02.09.2026  ·  PMID 42771824</w:t>
      </w:r>
    </w:p>
    <w:p>
      <w:r>
        <w:t>Beschreibung des mexikanischen GeriatrIMSS-Modells, eines umfassenden institutionellen Plans der Seguridad Social zur Reaktion auf Alterung, Multimorbidität und nicht-übertragbare Krankheiten bei älteren Versicherten.</w:t>
      </w:r>
    </w:p>
    <w:p>
      <w:r>
        <w:rPr>
          <w:b/>
        </w:rPr>
        <w:t xml:space="preserve">Ergebnis: </w:t>
      </w:r>
      <w:r>
        <w:t>GeriatrIMSS beruht auf vier Säulen: Prävention (PREVENIMSS), umfassende geriatrische Versorgung, Bildung und Forschung. Modell stärkt operative Kapazitäten, reorientiert Prozesse und Services für ältere Menschen, verbessert Versorgungsqualität und Zufriedenheit bei Nutzern und Angehörigen – positioniert Mexiko international an Vorderfront der Altenpflege.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Mexiko, Sozialversicherungssystem nicht direkt vergleichbar – Strukturideen zu sektorenübergreifender Integration sind relevant</w:t>
      </w:r>
    </w:p>
    <w:p>
      <w:r>
        <w:rPr>
          <w:color w:val="5A7D3A"/>
          <w:sz w:val="18"/>
        </w:rPr>
        <w:t>https://pubmed.ncbi.nlm.nih.gov/42771824/</w:t>
      </w:r>
    </w:p>
    <w:p>
      <w:pPr>
        <w:pStyle w:val="Heading2"/>
      </w:pPr>
      <w:r>
        <w:t>Stärkenorientierte Geriatrische Assessments: Reserve statt nur Defizite dokumentieren</w:t>
      </w:r>
    </w:p>
    <w:p>
      <w:r>
        <w:rPr>
          <w:i/>
          <w:color w:val="666666"/>
          <w:sz w:val="18"/>
        </w:rPr>
        <w:t>Cooke J et al.  ·  Age Ageing  ·  04.09.2026  ·  PMID 42771779</w:t>
      </w:r>
    </w:p>
    <w:p>
      <w:r>
        <w:t>Konzeptionelle Analyse zur Geriatrischen Comprehensive Assessment (CGA) und Frailty-Modellen in der britischen Geriatrie, die Möglichkeit einer reserve-fokussierten Ergänzung zu defizitorientierten Assessments.</w:t>
      </w:r>
    </w:p>
    <w:p>
      <w:r>
        <w:rPr>
          <w:b/>
        </w:rPr>
        <w:t xml:space="preserve">Ergebnis: </w:t>
      </w:r>
      <w:r>
        <w:t>CGA dokumentiert vorwiegend Beeinträchtigungen, nicht Kapazität und Reserve. Diese Fokussierung auf Defizite prägt Patientenidentität negativ. Stärkenorientierte Ansätze können Prognostizierung verbessern, Interventionen personalisieren und Patientenagentur unterstützen – ohne Risikoaufmerksamkeit aufzugeben.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konzeptuell auf alle europäischen Systeme übertragbar</w:t>
      </w:r>
    </w:p>
    <w:p>
      <w:r>
        <w:rPr>
          <w:color w:val="5A7D3A"/>
          <w:sz w:val="18"/>
        </w:rPr>
        <w:t>https://pubmed.ncbi.nlm.nih.gov/42771779/</w:t>
      </w:r>
    </w:p>
    <w:p>
      <w:pPr>
        <w:pStyle w:val="Heading2"/>
      </w:pPr>
      <w:r>
        <w:t>Benzolexposition und Psychische Störungen: Biologisches Altern als Vermittler</w:t>
      </w:r>
    </w:p>
    <w:p>
      <w:r>
        <w:rPr>
          <w:i/>
          <w:color w:val="666666"/>
          <w:sz w:val="18"/>
        </w:rPr>
        <w:t>Wu Y et al.  ·  Ecotoxicol Environ Saf  ·  15.09.2026  ·  PMID 42705027</w:t>
      </w:r>
    </w:p>
    <w:p>
      <w:r>
        <w:t>UK-Biobank-Kohortenstudie an 410.207 Personen zur Assoziation zwischen langjähriger Benzolexposition und psychiatrischen Störungen, mit beschleunigtem Altern (PhenoAge) als potenzieller Mediator.</w:t>
      </w:r>
    </w:p>
    <w:p>
      <w:r>
        <w:rPr>
          <w:b/>
        </w:rPr>
        <w:t xml:space="preserve">Ergebnis: </w:t>
      </w:r>
      <w:r>
        <w:t>Über 14,8 Jahre Nachbeobachtung: 64.270 Personen entwickelten psychiatrische Störungen. Jede Interquartilbereichs-Steigerung Benzol assoziiert mit erhöhtem Risiko für jede psychiatrische Störung (HR 1,040, 95%-KI 1,028–1,053) und multiple psychiatrische Störungen (HR 1,062, 1,039–1,086). Beschleunigtes PhenoAge vermittelte 7,85% (95%-KI 5,57–11,12%) der Assoziation bei jeder psychiatrischen Störung, 17,26% (9,01–80,54%) bei multiplen Störungen.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Umweltdatenverfügbarkeit und Versicherungssystem nicht direkt übertragbar – Expositions-Gesundheitsmechanismus ist relevant</w:t>
      </w:r>
    </w:p>
    <w:p>
      <w:r>
        <w:rPr>
          <w:color w:val="5A7D3A"/>
          <w:sz w:val="18"/>
        </w:rPr>
        <w:t>https://pubmed.ncbi.nlm.nih.gov/42705027/</w:t>
      </w:r>
    </w:p>
    <w:p>
      <w:pPr>
        <w:pStyle w:val="Heading2"/>
      </w:pPr>
      <w:r>
        <w:t>Mobilitätsverlust und Einsamkeit im Alter: Lebenslange Folgen trotz Erholung</w:t>
      </w:r>
    </w:p>
    <w:p>
      <w:r>
        <w:rPr>
          <w:i/>
          <w:color w:val="666666"/>
          <w:sz w:val="18"/>
        </w:rPr>
        <w:t>Augustsson E et al.  ·  J Gerontol B Psychol Sci Soc Sci  ·  04.09.2026  ·  PMID 42554850</w:t>
      </w:r>
    </w:p>
    <w:p>
      <w:r>
        <w:t>Europäische Längsschnitt-Kohortenstudie (SHARE) an 4.109 Personen ab 65 Jahren mit neu aufgetretenen Mobilitätseinschränkungen, wovon 2.018 innerhalb von 2 Jahren genasen, zum Verlauf von Einsamkeit bis 4 Jahre später.</w:t>
      </w:r>
    </w:p>
    <w:p>
      <w:r>
        <w:rPr>
          <w:b/>
        </w:rPr>
        <w:t xml:space="preserve">Ergebnis: </w:t>
      </w:r>
      <w:r>
        <w:t>Einsamkeit stieg nach Mobilitätsverlust an. Personen mit anhaltenden Einschränkungen zeigten Weiterzunahme; genesene Personen stabilisierten sich, kehrten aber nicht zu Vorniveaus zurück. Frühe Interventionen zur Begrenzung von Mobilitätseinschränkungen könnten nachfolgende Einsamkeit reduzieren.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Schweden/SHARE-Daten, vergleichbare europäische Gesundheitssysteme</w:t>
      </w:r>
    </w:p>
    <w:p>
      <w:r>
        <w:rPr>
          <w:color w:val="5A7D3A"/>
          <w:sz w:val="18"/>
        </w:rPr>
        <w:t>https://pubmed.ncbi.nlm.nih.gov/42554850/</w:t>
      </w:r>
    </w:p>
    <w:p>
      <w:pPr>
        <w:pStyle w:val="Heading2"/>
      </w:pPr>
      <w:r>
        <w:t>Europäische Sozialversicherung unter Druck: Versorgungskapazität statt Finanzierung als Engpass</w:t>
      </w:r>
    </w:p>
    <w:p>
      <w:r>
        <w:rPr>
          <w:i/>
          <w:color w:val="666666"/>
          <w:sz w:val="18"/>
        </w:rPr>
        <w:t>Jones CH et al.  ·  Drug Discov Today  ·  20.07.2026  ·  PMID 42476293</w:t>
      </w:r>
    </w:p>
    <w:p>
      <w:r>
        <w:t>Perspektivartikel zu Herausforderungen der europäischen Sozialversicherung durch demografische Alterung, Multimorbidität und Polypharmazie, mit 24–36-Monats-Agenda für Systemreformen.</w:t>
      </w:r>
    </w:p>
    <w:p>
      <w:r>
        <w:rPr>
          <w:b/>
        </w:rPr>
        <w:t xml:space="preserve">Ergebnis: </w:t>
      </w:r>
      <w:r>
        <w:t>Längeres Leben führt zu Multimorbidität, Polypharmazie, Demenz, Mobilitätsverlust – Versorgungskapazität wird zum Engpass statt Finanzierbarkeit. Vier zentrale Reformmaßnahmen: (1) Professionalisierung der Langzeitpflegekräfte, (2) Apotheker-geführte Medikamentenüberprüfung, (3) Ausbau von Heim- und Übergangspflege, (4) integrierte Entlassungszusammenfassungen und Medikamentenlisten über Sektoren hinweg als Routine.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konzeptuell auf deutsche Sozialversicherung direkt übertragbar</w:t>
      </w:r>
    </w:p>
    <w:p>
      <w:r>
        <w:rPr>
          <w:color w:val="5A7D3A"/>
          <w:sz w:val="18"/>
        </w:rPr>
        <w:t>https://pubmed.ncbi.nlm.nih.gov/42476293/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