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05.10.2026  |  6 Studien  |  longevity.m-vf.de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Prävention durch Hausbesuche erfordert sektorenübergreifende Partnerschaften und Unterstützung durch Führungspersonen</w:t>
      </w:r>
    </w:p>
    <w:p>
      <w:r>
        <w:rPr>
          <w:i/>
          <w:color w:val="666666"/>
          <w:sz w:val="18"/>
        </w:rPr>
        <w:t>Nivestam A et al.  ·  Scand J Caring Sci  ·  Dez. 2026  ·  PMID 42828510</w:t>
      </w:r>
    </w:p>
    <w:p>
      <w:r>
        <w:t>Qualitative Studie (Fokusgruppen mit 16 Fachpersonen aus 5 schwedischen Gemeinden) identifiziert, welche Kooperationspartner Hausbesucher für erfolgreiche Prävention und gesundes Altern mobilisieren.</w:t>
      </w:r>
    </w:p>
    <w:p>
      <w:r>
        <w:rPr>
          <w:b/>
        </w:rPr>
        <w:t xml:space="preserve">Ergebnis: </w:t>
      </w:r>
      <w:r>
        <w:t>Hausbesucher arbeiten mit breitem Spektrum von Partnern zusammen: kritisch sind Politiker und Medien; wichtig sind Akteure für sinnvolle Freizeit, Partizipation, lebenslanges Lernen und Gesundheits-/Sozialsektoren. Unterstützung durch Führungspersonen in Schlüsselpositionen steigert Effektivität. Kernempfehlung: gesamtgesellschaftlicher (whole-of-society) Ansatz zur Planung von Präventionsbesuchen.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vergleichbar, universelles Gesundheitssystem, übertragbar auf Deutschland.</w:t>
      </w:r>
    </w:p>
    <w:p>
      <w:r>
        <w:rPr>
          <w:color w:val="5A7D3A"/>
          <w:sz w:val="18"/>
        </w:rPr>
        <w:t>https://pubmed.ncbi.nlm.nih.gov/42828510/</w:t>
      </w:r>
    </w:p>
    <w:p>
      <w:pPr>
        <w:pStyle w:val="Heading2"/>
      </w:pPr>
      <w:r>
        <w:t>Krankenversicherung für Ernährungstherapie älterer Krebspatienten determiniert Funktionsfähigkeit</w:t>
      </w:r>
    </w:p>
    <w:p>
      <w:r>
        <w:rPr>
          <w:i/>
          <w:color w:val="666666"/>
          <w:sz w:val="18"/>
        </w:rPr>
        <w:t>Yang J  ·  Front Public Health  ·  18.09.2026  ·  PMID 42827769</w:t>
      </w:r>
    </w:p>
    <w:p>
      <w:r>
        <w:t>Narratives Mini-Review analysiert Versicherungsdeckung für medizinische Ernährungstherapie (Medical Nutrition Therapy, MNT) bei älteren Frauen mit Krebs als Politikfrage für Langzeitpflege und Frailty-Equity in USA, Australien und UK.</w:t>
      </w:r>
    </w:p>
    <w:p>
      <w:r>
        <w:rPr>
          <w:b/>
        </w:rPr>
        <w:t xml:space="preserve">Ergebnis: </w:t>
      </w:r>
      <w:r>
        <w:t>Untersucht, wie Versicherungsdesign – Leistungsbeschränkungen, Kostenbeteiligung, fragmentierte Autorisierung – den Zugang zu MNT und damit Risiken für Mangelernährung, Sarkopenie und funktionalen Niedergang lenkt. Empfiehlt MNT als essenzielle, risikostratifizierte Komponente von Onkologie und Langzeitpflege, nicht als optionales Wellness-Angebot, mit kontinuierlichen Übergängen zwischen Klinik, Heimat und 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 vergleichbar; Kernaussage zur Finanzierungspolitik auch auf deutsches System übertragbar.</w:t>
      </w:r>
    </w:p>
    <w:p>
      <w:r>
        <w:rPr>
          <w:color w:val="5A7D3A"/>
          <w:sz w:val="18"/>
        </w:rPr>
        <w:t>https://pubmed.ncbi.nlm.nih.gov/42827769/</w:t>
      </w:r>
    </w:p>
    <w:p>
      <w:pPr>
        <w:pStyle w:val="Heading2"/>
      </w:pPr>
      <w:r>
        <w:t>Biologische Organaltern und Proteinprofile vorhersagen Mortalitätsrisiko besser als Standard-Biomarker</w:t>
      </w:r>
    </w:p>
    <w:p>
      <w:r>
        <w:rPr>
          <w:i/>
          <w:color w:val="666666"/>
          <w:sz w:val="18"/>
        </w:rPr>
        <w:t>Pyrgioti M et al.  ·  Aging Cell  ·  Okt. 2026  ·  PMID 42823846</w:t>
      </w:r>
    </w:p>
    <w:p>
      <w:r>
        <w:t>Benchmarking von 11 proteomic organ clocks gegen etablierte Altersmarker (epigenetisches Alter, Telomerlänge, Lungenfunktion, Kognition, Neuroimaging) für 16-Jahres-Gesamtmortalität in einer schottischen Kohorte (n=861; 444 Todesfälle).</w:t>
      </w:r>
    </w:p>
    <w:p>
      <w:r>
        <w:rPr>
          <w:b/>
        </w:rPr>
        <w:t xml:space="preserve">Ergebnis: </w:t>
      </w:r>
      <w:r>
        <w:t>Unter proteomic clocks: beschleunigte Leber-(HR=1,43), Immun-(HR=1,42) und Herzalterung (HR=1,38) waren stärkste Prädiktor:innen. Aber älteres epigenetisches Alter, kleineres Hirnvolumen, reduzierte Atemfunktion und schlechtere Kognition zeigten stärkere Assoziationen (HR=1,44–1,62). Von 9703 Plasma-Proteinen: GDF15 (HR=1,56), WFDC2 (HR=1,47) und TIMP1 (HR=1,45) führend mit Mortalität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UK-Biobank-Kohorte, europäische Altersstruktur, direkt auf Deutschland übertragbar.</w:t>
      </w:r>
    </w:p>
    <w:p>
      <w:r>
        <w:rPr>
          <w:color w:val="5A7D3A"/>
          <w:sz w:val="18"/>
        </w:rPr>
        <w:t>https://pubmed.ncbi.nlm.nih.gov/42823846/</w:t>
      </w:r>
    </w:p>
    <w:p>
      <w:pPr>
        <w:pStyle w:val="Heading2"/>
      </w:pPr>
      <w:r>
        <w:t>Gesunde Altersverläufe senken kardiovaskuläres Erkrankungsrisiko</w:t>
      </w:r>
    </w:p>
    <w:p>
      <w:r>
        <w:rPr>
          <w:i/>
          <w:color w:val="666666"/>
          <w:sz w:val="18"/>
        </w:rPr>
        <w:t>Du R et al.  ·  J Nutr Health Aging  ·  04.09.2026  ·  PMID 42697165</w:t>
      </w:r>
    </w:p>
    <w:p>
      <w:r>
        <w:t>Studie untersucht die Assoziation zwischen Mustern gesunder Alterung (gemessen mit ATHLOS-Score) und dem Auftreten kardiovaskulärer Erkrankungen in drei europäischen und chinesischen Kohorten.</w:t>
      </w:r>
    </w:p>
    <w:p>
      <w:r>
        <w:rPr>
          <w:b/>
        </w:rPr>
        <w:t xml:space="preserve">Ergebnis: </w:t>
      </w:r>
      <w:r>
        <w:t>Verglichen mit der niedrigsten Altersverlauf-Gruppe zeigte die mittlere Gruppe reduziertes CVD-Risiko (SHARE HR=0,89; ELSA HR=0,66; CHARLS HR=0,67), die höchste Gruppe sogar deutlich gesenkt (SHARE HR=0,61; ELSA HR=0,36; CHARLS HR=0,39). Assoziation war konsistent über SES- und Lebensstil-Schichten. Hochwertige Altersverläufe sind kardioprotektiv.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europäisch vergleichbar, CHARLS repräsentiert alternatives System.</w:t>
      </w:r>
    </w:p>
    <w:p>
      <w:r>
        <w:rPr>
          <w:color w:val="5A7D3A"/>
          <w:sz w:val="18"/>
        </w:rPr>
        <w:t>https://pubmed.ncbi.nlm.nih.gov/42697165/</w:t>
      </w:r>
    </w:p>
    <w:p>
      <w:pPr>
        <w:pStyle w:val="Heading2"/>
      </w:pPr>
      <w:r>
        <w:t>Spezialisierte Versorgung fragiler Chirurgiepatienten senkt Morbidität und erhält Lebensqualität</w:t>
      </w:r>
    </w:p>
    <w:p>
      <w:r>
        <w:rPr>
          <w:i/>
          <w:color w:val="666666"/>
          <w:sz w:val="18"/>
        </w:rPr>
        <w:t>Castellví Valls J et al.  ·  Cir Esp (Engl Ed)  ·  01.09.2026  ·  PMID 42680087</w:t>
      </w:r>
    </w:p>
    <w:p>
      <w:r>
        <w:t>Evaluiert Effektivität eines integrierten geriatrischen Versorgungsbereichs für fragile Patienten, die operativ behandelt wurden, mit Fokus auf perioperative Morbidität, Mortalität und Funktionsfähigkeit.</w:t>
      </w:r>
    </w:p>
    <w:p>
      <w:r>
        <w:rPr>
          <w:b/>
        </w:rPr>
        <w:t xml:space="preserve">Ergebnis: </w:t>
      </w:r>
      <w:r>
        <w:t>Von 413 Patienten (Alter 80 J., 91,8% ASA III-IV) wurden 288 operiert. Perioperative Komplikationen Clavien-Dindo III-V: 9,7%, 30-Tage-Mortalität 3,1%, Wiederaufnahmen 13,2%. Nach 3 Monaten und 1 Jahr waren 82,5% der operierten Patienten in Funktion gleich oder besser als präoperativ. Von 125 nicht operierten Patienten starben 48,3% im 1. Jahr.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Spanisch-katalanisches Krankenhaus-System, deutsche Geriatrien vergleichbar organisiert.</w:t>
      </w:r>
    </w:p>
    <w:p>
      <w:r>
        <w:rPr>
          <w:color w:val="5A7D3A"/>
          <w:sz w:val="18"/>
        </w:rPr>
        <w:t>https://pubmed.ncbi.nlm.nih.gov/42680087/</w:t>
      </w:r>
    </w:p>
    <w:p>
      <w:pPr>
        <w:pStyle w:val="Heading2"/>
      </w:pPr>
      <w:r>
        <w:t>Schlaf-Mikrostruktur in der Älterung vorhersagt kognitive Trajektorie über 10 Jahre</w:t>
      </w:r>
    </w:p>
    <w:p>
      <w:r>
        <w:rPr>
          <w:i/>
          <w:color w:val="666666"/>
          <w:sz w:val="18"/>
        </w:rPr>
        <w:t>Urdanibia-Centelles O et al.  ·  Sleep Med  ·  20.08.2026  ·  PMID 42628340</w:t>
      </w:r>
    </w:p>
    <w:p>
      <w:r>
        <w:t>Prospektive Kohortenstudie (n=82 mit ausreichend NREM-Schlaf, Polysomnografie und kognitive Tests 10 Jahre auseinander) untersucht, ob Schlafmerkmale (Spindel, Slow Waves, EEG-Kohärenz) kognitive Alterung und Verfall vorhersagen.</w:t>
      </w:r>
    </w:p>
    <w:p>
      <w:r>
        <w:rPr>
          <w:b/>
        </w:rPr>
        <w:t xml:space="preserve">Ergebnis: </w:t>
      </w:r>
      <w:r>
        <w:t>Über 10 Jahre: Verarbeitungsgeschwindigkeit nahm um 6,1 s zu, symbolische Konversion um 2,3 ab. Höhere Schlafeffizienz → besseres kognitives Halten. Erhöhte Wachphase und erhöhtes Arousal → schlechtere Gedächtnis- und Lernleistung. Höhere Fast-Spindle-Amplitude und -Frequenz, Slow-Wave-Charakteristika und N2/REM-Kohärenz korrelierten mit Verarbeitungsgeschwindigkeit, Aufmerksamkeit und globaler Kognition.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Geburtskohorte, nordeuropäisches System vergleichbar.</w:t>
      </w:r>
    </w:p>
    <w:p>
      <w:r>
        <w:rPr>
          <w:color w:val="5A7D3A"/>
          <w:sz w:val="18"/>
        </w:rPr>
        <w:t>https://pubmed.ncbi.nlm.nih.gov/42628340/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