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Gesundes Altern und Longevity</w:t>
      </w:r>
    </w:p>
    <w:p>
      <w:r>
        <w:rPr>
          <w:i/>
          <w:color w:val="666666"/>
          <w:sz w:val="18"/>
        </w:rPr>
        <w:t>Stand: 22.08.2026  |  14 Studien  |  longevity.m-vf.de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Körperliches Training reduziert kognitive Gebrechlichkeit zu 35 % über Stärkung der Selbstwirksamkeit</w:t>
      </w:r>
    </w:p>
    <w:p>
      <w:r>
        <w:rPr>
          <w:i/>
          <w:color w:val="666666"/>
          <w:sz w:val="18"/>
        </w:rPr>
        <w:t>Liang D et al.  ·  Front Public Health  ·  06.08.2026  ·  PMID 42625706</w:t>
      </w:r>
    </w:p>
    <w:p>
      <w:r>
        <w:t>Querschnittbefragung von 563 Gemeindemitbewohnern (≥60 J.) in Henan, China zu Zusammenhang zwischen körperlichem Training, Selbstwirksamkeit und kognitiver Gebrechlichkeit (Frailty + Kognition).</w:t>
      </w:r>
    </w:p>
    <w:p>
      <w:r>
        <w:rPr>
          <w:b/>
        </w:rPr>
        <w:t xml:space="preserve">Ergebnis: </w:t>
      </w:r>
      <w:r>
        <w:t>Prävalenz kognitive Gebrechlichkeit 21,3 %. Körperliches Training assoziiert mit weniger kognitiver Gebrechlichkeit; Selbstwirksamkeit mediiert 35,17 % dieses Effekts. Vollständiges Mediationsmodell unterstützt indirekten Weg über Selbstvertrauen.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mit großer Stichprobe, aber kulturelle und Gesundheitssystem-Unterschiede beachten – Mechanismus (Selbstwirksamkeit) transnational relevant.</w:t>
      </w:r>
    </w:p>
    <w:p>
      <w:r>
        <w:rPr>
          <w:color w:val="5A7D3A"/>
          <w:sz w:val="18"/>
        </w:rPr>
        <w:t>https://pubmed.ncbi.nlm.nih.gov/42625706/</w:t>
      </w:r>
    </w:p>
    <w:p>
      <w:pPr>
        <w:pStyle w:val="Heading2"/>
      </w:pPr>
      <w:r>
        <w:t>Loneliness and social isolation verringern die verbleibenden gesunden Lebensjahre deutlicher als physische Erkrankungen</w:t>
      </w:r>
    </w:p>
    <w:p>
      <w:r>
        <w:rPr>
          <w:i/>
          <w:color w:val="666666"/>
          <w:sz w:val="18"/>
        </w:rPr>
        <w:t>Wang X et al.  ·  Nat Commun  ·  20.08.2026  ·  PMID 42624836</w:t>
      </w:r>
    </w:p>
    <w:p>
      <w:r>
        <w:t>Querschnittanalyse von 277.489 britischen Erwachsenen ohne Erkrankungen zum Zusammenhang zwischen Einsamkeit, sozialer Isolation und der Lebensdauer frei von Krankheit.</w:t>
      </w:r>
    </w:p>
    <w:p>
      <w:r>
        <w:rPr>
          <w:b/>
        </w:rPr>
        <w:t xml:space="preserve">Ergebnis: </w:t>
      </w:r>
      <w:r>
        <w:t>Frauen mit Einsamkeit und sozialer Isolation verlieren 2,4 Jahre physisch krankheitsfrei und 3,7 Jahre mental krankheitsfrei; Männer verlieren 1,7 bzw. 5,8 Jahre. Soziale Isolation lässt sich durch gesunde Lebensstile teilweise ausgleichen (signifikant), nicht aber Einsamkeit.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 Altersstruktur und Sozialversicherung; übertragbar auf deutsche Verhältnisse.</w:t>
      </w:r>
    </w:p>
    <w:p>
      <w:r>
        <w:rPr>
          <w:color w:val="5A7D3A"/>
          <w:sz w:val="18"/>
        </w:rPr>
        <w:t>https://pubmed.ncbi.nlm.nih.gov/42624836/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Heimgestützte multikomponenten Intervention bei Frailty und Prefrailty in älteren Krebsüberlebenden: Pilotuntersuchung</w:t>
      </w:r>
    </w:p>
    <w:p>
      <w:r>
        <w:rPr>
          <w:i/>
          <w:color w:val="666666"/>
          <w:sz w:val="18"/>
        </w:rPr>
        <w:t>Drevet S et al.  ·  Age Ageing  ·  03.08.2026  ·  PMID 42621847</w:t>
      </w:r>
    </w:p>
    <w:p>
      <w:r>
        <w:t>Quasi-experimentelle Vorher-Nachher-Studie (6 Monate) mit 110 Patienten ≥70 Jahren in Remission (Fried-Kriterien erfüllt). Intervention: betreute Übungen + Ernährungsunterstützung. Primärer Endpunkt: Anteil mit Frailty-/Prefrailty-Verbesserung von Baseline (M0) zu M6.</w:t>
      </w:r>
    </w:p>
    <w:p>
      <w:r>
        <w:rPr>
          <w:b/>
        </w:rPr>
        <w:t xml:space="preserve">Ergebnis: </w:t>
      </w:r>
      <w:r>
        <w:t>81 von 110 Teilnehmern vollendeten die Intervention. Baseline: 45% frail, 0% robust. Bei M6: 62% verbesserten ihren Frailty-Status; 78% der Frail zeigten Besserung, 51% der Prefrail wurden robust. Frailty-Schweregrad sank bei 74% der Teilnehmer. Vitamin-D zeigte Gruppen×Zeit-Interaktion; unterschiedliche Frailty-Trajektorien je nach Vitamin-D-Status. Funktionelle und physische Maße bei Baseline assoziiert mit Frailty (p&lt;0,05), nicht aber Tumor-Charakteristika.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geriatrische Rehab in Praxis; multikomponenten Ansatz auch auf deutsches Versorgungssystem übertragbar</w:t>
      </w:r>
    </w:p>
    <w:p>
      <w:r>
        <w:rPr>
          <w:color w:val="5A7D3A"/>
          <w:sz w:val="18"/>
        </w:rPr>
        <w:t>https://pubmed.ncbi.nlm.nih.gov/42621847/</w:t>
      </w:r>
    </w:p>
    <w:p>
      <w:pPr>
        <w:pStyle w:val="Heading2"/>
      </w:pPr>
      <w:r>
        <w:t>Verankering älterer Menschen in globalen Klimaanpassungsplänen: Analyse von 204 Ländern</w:t>
      </w:r>
    </w:p>
    <w:p>
      <w:r>
        <w:rPr>
          <w:i/>
          <w:color w:val="666666"/>
          <w:sz w:val="18"/>
        </w:rPr>
        <w:t>Katz GM et al.  ·  Lancet Healthy Longev  ·  12.08.2026  ·  PMID 42586104</w:t>
      </w:r>
    </w:p>
    <w:p>
      <w:r>
        <w:t>Dokumentenanalyse von 204 Nationalstaaten zu Berücksichtigung älterer Menschen (≥65 Jahre) in Klimaanpassungsplänen. Identifiziert 16 Adaptationsthemen (Temperaturschutz, Partizipation, Katastrophenvorsorge, etc.) und deren Häufigkeit in nationalen Strategien.</w:t>
      </w:r>
    </w:p>
    <w:p>
      <w:r>
        <w:rPr>
          <w:b/>
        </w:rPr>
        <w:t xml:space="preserve">Ergebnis: </w:t>
      </w:r>
      <w:r>
        <w:t>125 Länder (61,3%) integrieren 1–5 Themen, 2 Länder (1,0%) sechs bis zehn, 1 Land (0,5%) ≥11 Themen, 77 Länder (37,7%) keine Themen. Häufigste Themen: extreme Hitze, Partizipation Älterer, Katastrophenprävention. Nur 47 Länder (23%) beschreiben konkrete Maßnahmen, Programme oder Finanzierungszusagen für ältere Menschen. Befund: erhebliche Lücken in der Berücksichtigung älterter Menschen in Klimapolitik.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Perspektive, Deutschland in Stichprobe enthalten, zeigt Governance-Gap bei Umwelt und Gerontologie</w:t>
      </w:r>
    </w:p>
    <w:p>
      <w:r>
        <w:rPr>
          <w:color w:val="5A7D3A"/>
          <w:sz w:val="18"/>
        </w:rPr>
        <w:t>https://pubmed.ncbi.nlm.nih.gov/42586104/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Konzept des gesunden Alterns in Norwegen: Qualitative Analyse von Perspektiven älterer Menschen, Fachkräfte und Entscheidungsträger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Qualitative Studie mit 23 semi-strukturierten Interviews (ältere Menschen, Fachkräfte, Entscheidungsträger) zur Interpretation des UN-Jahrzehnts des gesunden Alterns in einer norwegischen Kommune.</w:t>
      </w:r>
    </w:p>
    <w:p>
      <w:r>
        <w:rPr>
          <w:b/>
        </w:rPr>
        <w:t xml:space="preserve">Ergebnis: </w:t>
      </w:r>
      <w:r>
        <w:t>Drei zentrale Themen: Strategien zur Bewältigung, gemischte Alterswahrnehmungen, Gesundheitsdienste. Ergebnis: Altern wird als kollektive Verantwortung betont, aber zunehmend Älteren selbst übertragen; Digitalisierung ist Barriere für vulnerable Gruppen; kommunale Dienste werden als qualitativ hochwertig, aber ressourcengeprägt wahrgenommen. Schnelle Digitalisierung und Individualisierung verschärfen Ungleichheiten.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Wohlfahrtssystem; Befunde zu Digitalisierungsbarrieren und Equity-Risiken übertragbar auf vergleichbare europäische Kontexte.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2"/>
      </w:pPr>
      <w:r>
        <w:t>Funktionale Performance im WHO-ICOPE-Rahmen: Brasilien und Europa zeigen zehn Jahre Unterschied in Funktionsverlust</w:t>
      </w:r>
    </w:p>
    <w:p>
      <w:r>
        <w:rPr>
          <w:i/>
          <w:color w:val="666666"/>
          <w:sz w:val="18"/>
        </w:rPr>
        <w:t>Oliveira VR et al.  ·  PLoS One  ·  05.08.2026  ·  PMID 42555548</w:t>
      </w:r>
    </w:p>
    <w:p>
      <w:r>
        <w:t>Vergleich von Determinanten der Funktionsfähigkeit (BADL/IADL) anhand von ELSI-Brasil (n=4825) und SHARE (n=25978) mit Analyse intrinsischer Kapazitätsdimensionen nach WHO-ICOPE-Modell.</w:t>
      </w:r>
    </w:p>
    <w:p>
      <w:r>
        <w:rPr>
          <w:b/>
        </w:rPr>
        <w:t xml:space="preserve">Ergebnis: </w:t>
      </w:r>
      <w:r>
        <w:t>Funktioneller Rückgang beginnt in Brasilien eine Dekade früher als in Europa. Risikomuster differieren: Mobilität–Handkraft schützender in Europa, Gehgeschwindigkeit Risikofaktor nur in Brasilien (OR 1,16); Depression höheres Risiko in Europa (OR 1,67–1,71) vs. Brasilien (OR 1,26–1,53); schlechte Selbsteinschätzung der Gesundheit stärkerer BADL-Risikofaktor in Brasilien (OR 2,72 vs. 2,07).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und Europa (SHARE), unterschiedliche Sozioökonomie; Befund zeigt kontextabhängige Risikofaktoren; ICOPE-Strategien müssen sozioökonomischen Unterschieden Rechnung tragen.</w:t>
      </w:r>
    </w:p>
    <w:p>
      <w:r>
        <w:rPr>
          <w:color w:val="5A7D3A"/>
          <w:sz w:val="18"/>
        </w:rPr>
        <w:t>https://pubmed.ncbi.nlm.nih.gov/42555548/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Frailty und kognitive Beeinträchtigung: Prospektive Assoziationen in fünf multinationalen Kohorten mit gepoolten Hazard Ratios</w:t>
      </w:r>
    </w:p>
    <w:p>
      <w:r>
        <w:rPr>
          <w:i/>
          <w:color w:val="666666"/>
          <w:sz w:val="18"/>
        </w:rPr>
        <w:t>Peng L et al.  ·  BMC Public Health  ·  25.07.2026  ·  PMID 42595986</w:t>
      </w:r>
    </w:p>
    <w:p>
      <w:r>
        <w:t>Länderübergreifende Metaanalyse von fünf Longitudinal-Kohorten (USA, England, Europa, China, Korea) mit insgesamt 47429 Teilnehmern zur Assoziation zwischen Baseline-Frailty-Status und kognitiver Beeinträchtigung sowie Frailty-Trajektorien und kognitiven Outcomes über 4–10 Jahre.</w:t>
      </w:r>
    </w:p>
    <w:p>
      <w:r>
        <w:rPr>
          <w:b/>
        </w:rPr>
        <w:t xml:space="preserve">Ergebnis: </w:t>
      </w:r>
      <w:r>
        <w:t>Pre-Frailty: gepoolte adjustierte HR 1,25 (95% CI 1,18–1,33) für kognitive Beeinträchtigung; Frailty: HR 1,69 (95% CI 1,50–1,90). Frailty-Trajektorien waren signifikant mit kognitiven Outcomes assoziiert (höhere Trajektorie: OR 1,45–4,37 für kognitive Beeinträchtigung; niedrigere: OR 0,46–0,72 protektiv). Befunde konsistent über alle 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HRS, ELSA, SHARE, CHARLS, KLoSA – europäische und non-europäische Daten, jedoch nur weil robust repliziert</w:t>
      </w:r>
    </w:p>
    <w:p>
      <w:r>
        <w:rPr>
          <w:color w:val="5A7D3A"/>
          <w:sz w:val="18"/>
        </w:rPr>
        <w:t>https://pubmed.ncbi.nlm.nih.gov/42595986/</w:t>
      </w:r>
    </w:p>
    <w:p>
      <w:pPr>
        <w:pStyle w:val="Heading2"/>
      </w:pPr>
      <w:r>
        <w:t>Akutgeriatrische Versorgungsmodelle in Dänemark: Nationale Bestandsaufnahme und Variabilität der Assessment-Praktiken</w:t>
      </w:r>
    </w:p>
    <w:p>
      <w:r>
        <w:rPr>
          <w:i/>
          <w:color w:val="666666"/>
          <w:sz w:val="18"/>
        </w:rPr>
        <w:t>Brockhattingen KK et al.  ·  Dan Med J  ·  02.07.2026  ·  PMID 42563704</w:t>
      </w:r>
    </w:p>
    <w:p>
      <w:r>
        <w:t>Nationale Querschnittsbefragung aller 20 Krankenhaus-Geriatriestationen in Dänemark zur Struktur, Teamzusammensetzung und Assessment-Funktionen in akutgeriatrischen Modellen für Patienten ≥65 Jahre mit akuter medizinischer Erkrankung.</w:t>
      </w:r>
    </w:p>
    <w:p>
      <w:r>
        <w:rPr>
          <w:b/>
        </w:rPr>
        <w:t xml:space="preserve">Ergebnis: </w:t>
      </w:r>
      <w:r>
        <w:t>Zwölf von 20 Stationen (60%) melden aktive akutgeriatrische Funktionen. Alle 12 führen diagnostische Bewertung, patientenzentrierte Evaluation und Basis-Assessments durch. Andere Elemente variabel: EKG (n=4–10/12), Ultraschall, Frailty-Assessment, interdisziplinäre Review, Koordination mit Community-Care (4–10/12). Erkenntnis: Große Variation in Struktur und Inhalten trotz Flächendeckung.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Gesundheitssystem, vergleichbar mit deutschem Modell</w:t>
      </w:r>
    </w:p>
    <w:p>
      <w:r>
        <w:rPr>
          <w:color w:val="5A7D3A"/>
          <w:sz w:val="18"/>
        </w:rPr>
        <w:t>https://pubmed.ncbi.nlm.nih.gov/42563704/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Frailty-Verteilung und Sterblichkeit in Europa: Ländervergleich zeigt höchste Last in USA und Südosteuropa</w:t>
      </w:r>
    </w:p>
    <w:p>
      <w:r>
        <w:rPr>
          <w:i/>
          <w:color w:val="666666"/>
          <w:sz w:val="18"/>
        </w:rPr>
        <w:t>Drijver-Headley S et al.  ·  Age Ageing  ·  03.08.2026  ·  PMID 42607277</w:t>
      </w:r>
    </w:p>
    <w:p>
      <w:r>
        <w:t>Vergleichende Analyse von Frailty-Indizes, Sterblichkeit und Frailty-Progression in 17 Ländern mit unterschiedlichen Gesundheitssystemen.</w:t>
      </w:r>
    </w:p>
    <w:p>
      <w:r>
        <w:rPr>
          <w:b/>
        </w:rPr>
        <w:t xml:space="preserve">Ergebnis: </w:t>
      </w:r>
      <w:r>
        <w:t>In der USA, Mexiko und Südosteuropa war Gebrechlichkeit am höchsten, in Nord- und Zentraleuropa am niedrigsten; Sterblichkeit und Defizitakkumulation differierten erheblich zwischen Ländern, mit höchsten Werten in Mexiko. Meta-analytische Methoden zeigen, dass Frailty-Unterschiede zwischen Ländern wesentlich mit lokalen Einkommens- und Versorgungsstrukturen assoziiert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(Europa) direkt vergleichbar; USA/Mexiko zeigen Effekte unterschiedlicher Finanzierung und sozialer Ungleichheit.</w:t>
      </w:r>
    </w:p>
    <w:p>
      <w:r>
        <w:rPr>
          <w:color w:val="5A7D3A"/>
          <w:sz w:val="18"/>
        </w:rPr>
        <w:t>https://pubmed.ncbi.nlm.nih.gov/42607277/</w:t>
      </w:r>
    </w:p>
    <w:p>
      <w:pPr>
        <w:pStyle w:val="Heading2"/>
      </w:pPr>
      <w:r>
        <w:t>Funktionelles Altern und Vermögensungleichheit: England und Kanada zeigen unterschiedliche Ungleichheitsgradienten</w:t>
      </w:r>
    </w:p>
    <w:p>
      <w:r>
        <w:rPr>
          <w:i/>
          <w:color w:val="666666"/>
          <w:sz w:val="18"/>
        </w:rPr>
        <w:t>Schrempft S et al.  ·  PLoS Med  ·  13.08.2026  ·  PMID 42594078</w:t>
      </w:r>
    </w:p>
    <w:p>
      <w:r>
        <w:t>Längsschnittstudie der Assoziation zwischen Vermögen und körperlicher Funktionsfähigkeit (Ganggeschwindigkeit, Griffstärke, Mobilitätseinschränkungen, ADL/IADL) in England und Kanada über 10 Jahre.</w:t>
      </w:r>
    </w:p>
    <w:p>
      <w:r>
        <w:rPr>
          <w:b/>
        </w:rPr>
        <w:t xml:space="preserve">Ergebnis: </w:t>
      </w:r>
      <w:r>
        <w:t>Bei weniger Vermögen: 15 Jahre Funktionsverlust bei Ganggeschwindigkeit in England vs. 9 Jahre in Kanada; 20 Jahre Funktionsverlust bei ADL-Schwierigkeiten in England vs. 9 Jahre in Kanada. Vermögensungleichheiten in der Funktionsfähigkeit waren größer in England trotz ähnlicher Gesundheitssysteme, bleiben nach Anpassung für Komorbiditäten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Kanada – beide gemäßigte Einkommen und ähnliche Sozialversicherung; Unterschied verdeutlicht Bedeutung von Vermögen neben Systemfinanzierung.</w:t>
      </w:r>
    </w:p>
    <w:p>
      <w:r>
        <w:rPr>
          <w:color w:val="5A7D3A"/>
          <w:sz w:val="18"/>
        </w:rPr>
        <w:t>https://pubmed.ncbi.nlm.nih.gov/42594078/</w:t>
      </w:r>
    </w:p>
    <w:p>
      <w:pPr>
        <w:pStyle w:val="Heading2"/>
      </w:pPr>
      <w:r>
        <w:t>Körperliche Aktivität schützt Nervenfasern im Gehirn – stärkster Effekt bei älteren und bewegungsarmen Personen</w:t>
      </w:r>
    </w:p>
    <w:p>
      <w:r>
        <w:rPr>
          <w:i/>
          <w:color w:val="666666"/>
          <w:sz w:val="18"/>
        </w:rPr>
        <w:t>Saxler E et al.  ·  Aging Cell  ·  Aug. 2026  ·  PMID 42568043</w:t>
      </w:r>
    </w:p>
    <w:p>
      <w:r>
        <w:t>Querschnittsstudie von 4.188 Teilnehmern (mittleres Alter 55,4 Jahre) der Rhineland-Studie zur Assoziation zwischen Beschleunigungsmesser-gemessener körperlicher Aktivität und Mikrostruktur weißer Substanz (Diffusions-MRT) mit Vermittlung durch Körpergewicht und kardiometabolische Faktoren.</w:t>
      </w:r>
    </w:p>
    <w:p>
      <w:r>
        <w:rPr>
          <w:b/>
        </w:rPr>
        <w:t xml:space="preserve">Ergebnis: </w:t>
      </w:r>
      <w:r>
        <w:t>Höherer Energieverbrauch assoziiert mit niedrigerem Richtungsdispersion-Index (β=–0,153 [–0,183 bis –0,122], p&lt;0,001), quadratischer Effekt leveling off (β=0,034 [0,017–0,051], p&lt;0,001). Mit zunehmendem Alter: körperliche Aktivität stärker mit höherer Neuritendichte und niedriger mittlerer Diffusivität assoziiert; Effekt am größten bei älteren und sedentären Personen, vermittelt durch Körpergewicht, kardiometabolische und entzündliche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(Bonn) – Populationsstichprobe, vergleichbare Versorgung, direkt auf Altenprävention übertragbar.</w:t>
      </w:r>
    </w:p>
    <w:p>
      <w:r>
        <w:rPr>
          <w:color w:val="5A7D3A"/>
          <w:sz w:val="18"/>
        </w:rPr>
        <w:t>https://pubmed.ncbi.nlm.nih.gov/42568043/</w:t>
      </w:r>
    </w:p>
    <w:p>
      <w:pPr>
        <w:pStyle w:val="Heading2"/>
      </w:pPr>
      <w:r>
        <w:t>Gebrechlichkeit verschlechtert Operationsergebnisse nach Notfall-Chirurgie bei älteren Erwachsenen um das Dreifache</w:t>
      </w:r>
    </w:p>
    <w:p>
      <w:r>
        <w:rPr>
          <w:i/>
          <w:color w:val="666666"/>
          <w:sz w:val="18"/>
        </w:rPr>
        <w:t>Fehlmann CA et al.  ·  Swiss Med Wkly  ·  26.06.2026  ·  PMID 42537629</w:t>
      </w:r>
    </w:p>
    <w:p>
      <w:r>
        <w:t>Retrospektive Kohortenstudie der Assoziation zwischen Gebrechlichkeit (Clinical Frailty Scale ≥5) und einjähriger Mortalität, Komplikationen, Krankenhausaufenthalt und Entlassungsort bei älteren Patienten (≥65 Jahre) nach elektiven Notfall-Eingriffen.</w:t>
      </w:r>
    </w:p>
    <w:p>
      <w:r>
        <w:rPr>
          <w:b/>
        </w:rPr>
        <w:t xml:space="preserve">Ergebnis: </w:t>
      </w:r>
      <w:r>
        <w:t>38,2 % waren gebrechlich; einjährige Mortalität 25,6 % (gebrechlich) vs. 6,6 % (nicht gebrechlich), adjustierte OR 3,0 [95%-KI 1,7–5,1]; Komplikationen OR 2,3 [1,5–3,6]; Krankenhausaufenthalt +46,4 % [26,8–69,0 %]; Entlassung nicht nach Hause OR 2,1 [1,4–3,2]. Frailty ist ein starker unabhängiger Risikofaktor für schlechte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dem deutschsprachigen Raum ähnliches System, vergleichbare Klinikdokumentation und Risikostratifizierung.</w:t>
      </w:r>
    </w:p>
    <w:p>
      <w:r>
        <w:rPr>
          <w:color w:val="5A7D3A"/>
          <w:sz w:val="18"/>
        </w:rPr>
        <w:t>https://pubmed.ncbi.nlm.nih.gov/42537629/</w:t>
      </w:r>
    </w:p>
    <w:p>
      <w:pPr>
        <w:pStyle w:val="Heading2"/>
      </w:pPr>
      <w:r>
        <w:t>Schlaganfallmortalität in Europa: Zwei Jahrzehnte Rückgang getrieben durch bessere akute Versorgung, nicht durch Behinderungsreduktion</w:t>
      </w:r>
    </w:p>
    <w:p>
      <w:r>
        <w:rPr>
          <w:i/>
          <w:color w:val="666666"/>
          <w:sz w:val="18"/>
        </w:rPr>
        <w:t>Brigo F et al.  ·  Eur Stroke J  ·  06.07.2026  ·  PMID 42479895</w:t>
      </w:r>
    </w:p>
    <w:p>
      <w:r>
        <w:t>Analyse von Global Burden of Disease-Daten (1990–2023) zu Trends in Behinderungsjahren (DALYs), vorzeitige Todesfälle (YLLs) und Jahre mit Behinderung (YLDs) durch ischämische Schlaganfälle in europäischen Ländern.</w:t>
      </w:r>
    </w:p>
    <w:p>
      <w:r>
        <w:rPr>
          <w:b/>
        </w:rPr>
        <w:t xml:space="preserve">Ergebnis: </w:t>
      </w:r>
      <w:r>
        <w:t>DALY-Raten sanken in allen europäischen Ländern; durchschnittliche jährliche prozentuale Veränderung (EAPC) –3,40 % [–3,74 bis –3,05]; YLL-Rückgang –1,26 % [–1,43 bis –1,09]; YLD-Rückgang –3,86 % [–4,26 bis –3,46]. Rückgang der vorzeitigen Mortalität war Haupttreiber; YLD-Fortschritt blieb heterogen und geringer, regionale Unterschiede in Zentral-/Westeuropa vs. Ost-/Südosteuropa.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Alle europäischen Länder – direkt vergleichbar mit Deutschland; GBD-Daten ermöglichen Vergleich von Versorgungsqualität und Prevention.</w:t>
      </w:r>
    </w:p>
    <w:p>
      <w:r>
        <w:rPr>
          <w:color w:val="5A7D3A"/>
          <w:sz w:val="18"/>
        </w:rPr>
        <w:t>https://pubmed.ncbi.nlm.nih.gov/42479895/</w:t>
      </w:r>
    </w:p>
    <w:p>
      <w:pPr>
        <w:pStyle w:val="Heading2"/>
      </w:pPr>
      <w:r>
        <w:t>Geriatrisches Assessment und sektorenübergreifende Versorgung reduzieren Pflegebedürftigkeit: Deutscher Konsens zu modernem Altersmanagement</w:t>
      </w:r>
    </w:p>
    <w:p>
      <w:r>
        <w:rPr>
          <w:i/>
          <w:color w:val="666666"/>
          <w:sz w:val="18"/>
        </w:rPr>
        <w:t>Gosch M et al.  ·  Z Gerontol Geriatr  ·  21.07.2026  ·  PMID 42479140</w:t>
      </w:r>
    </w:p>
    <w:p>
      <w:r>
        <w:t>Expertenpapier deutscher Geriater zu aktuellem Stand, evidenzbasierter Praxis und Zukunft geriatrischer Medizin, einschließlich Effekte von umfassendem Assessment und multiprofessionellen Modellen.</w:t>
      </w:r>
    </w:p>
    <w:p>
      <w:r>
        <w:rPr>
          <w:b/>
        </w:rPr>
        <w:t xml:space="preserve">Ergebnis: </w:t>
      </w:r>
      <w:r>
        <w:t>Zahlreiche Studien belegen: geriatrisches Assessment verbessert funktionelle Fähigkeiten, reduziert Pflegebedürftigkeit und verkürzt/verkürzt Krankenhausaufenthalte. Defizite bestehen in flächendeckender Versorgung, Finanzierung, Fachkräftemangel und Integration in andere Fachgebiete.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direkte Evidenz zur deutschen Versorgungssituation und politischen Handlungsfelder für Systemreformen.</w:t>
      </w:r>
    </w:p>
    <w:p>
      <w:r>
        <w:rPr>
          <w:color w:val="5A7D3A"/>
          <w:sz w:val="18"/>
        </w:rPr>
        <w:t>https://pubmed.ncbi.nlm.nih.gov/42479140/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