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17.09.2026  |  6 Studien  |  longevity.m-vf.de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Frailty-Index (mFI-5) vorhersagekräftig für Komplikationen nach Amputation</w:t>
      </w:r>
    </w:p>
    <w:p>
      <w:r>
        <w:rPr>
          <w:i/>
          <w:color w:val="666666"/>
          <w:sz w:val="18"/>
        </w:rPr>
        <w:t>Ichikawa T et al.  ·  Eur J Orthop Surg Traumatol  ·  16.09.2026  ·  PMID 42747548</w:t>
      </w:r>
    </w:p>
    <w:p>
      <w:r>
        <w:t>USA-Traumakohorte (n=1.122, ≥18 Jahre, offene Unterschenkelbrüche mit Amputation; 2017–2021) zur Prognose von 30-Tage-Komplikationen via 5-Item Modified Frailty Index.</w:t>
      </w:r>
    </w:p>
    <w:p>
      <w:r>
        <w:rPr>
          <w:b/>
        </w:rPr>
        <w:t xml:space="preserve">Ergebnis: </w:t>
      </w:r>
      <w:r>
        <w:t>Pro Punkt mFI-5-Erhöhung: signifikant gestiegene Odds für Wundinfekt (OR 1,36), zerebrovaskuläres Ereignis (OR 2,93), Reintubation (OR 2,17), ICU-Aufnahme (OR 1,56) und Druckgeschwür (OR 1,68). mFI-5 unabhängiger Prädiktor nach Adjustierung für Alter, Geschlecht, ISS und andere Faktoren. Routinescreening empfohlen für Risikostratifizierung.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USA-Traumasystem, aber Frailty-Assessment-Tool und Komplikationsdefinitionen international etabliert.</w:t>
      </w:r>
    </w:p>
    <w:p>
      <w:r>
        <w:rPr>
          <w:color w:val="5A7D3A"/>
          <w:sz w:val="18"/>
        </w:rPr>
        <w:t>https://pubmed.ncbi.nlm.nih.gov/42747548/</w:t>
      </w:r>
    </w:p>
    <w:p>
      <w:pPr>
        <w:pStyle w:val="Heading2"/>
      </w:pPr>
      <w:r>
        <w:t>Soziale Entfremdung bei kognitiver Gebrechlichkeit: Vier Subgruppen älterer Erwachsener</w:t>
      </w:r>
    </w:p>
    <w:p>
      <w:r>
        <w:rPr>
          <w:i/>
          <w:color w:val="666666"/>
          <w:sz w:val="18"/>
        </w:rPr>
        <w:t>Zhao S et al.  ·  Front Public Health  ·  01.09.2026  ·  PMID 42745907</w:t>
      </w:r>
    </w:p>
    <w:p>
      <w:r>
        <w:t>Chinesische Querschnittstudie (n=968, ≥60 Jahre, mit kognitiver Frailty) mittels latenter Profilanalyse zur Heterogenität sozialer Entfremdung.</w:t>
      </w:r>
    </w:p>
    <w:p>
      <w:r>
        <w:rPr>
          <w:b/>
        </w:rPr>
        <w:t xml:space="preserve">Ergebnis: </w:t>
      </w:r>
      <w:r>
        <w:t>Vier distinkte Profile identifiziert: „Soziale Anpassung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andere Altersstruktur, aber relevante Versorgungsfrage zur kognitiven Frailty.</w:t>
      </w:r>
    </w:p>
    <w:p>
      <w:r>
        <w:rPr>
          <w:color w:val="5A7D3A"/>
          <w:sz w:val="18"/>
        </w:rPr>
        <w:t>https://pubmed.ncbi.nlm.nih.gov/42745907/</w:t>
      </w:r>
    </w:p>
    <w:p>
      <w:pPr>
        <w:pStyle w:val="Heading2"/>
      </w:pPr>
      <w:r>
        <w:t>Freiwillige Krankenversicherung senkt Frailty-Onset bei europäischen Älteren</w:t>
      </w:r>
    </w:p>
    <w:p>
      <w:r>
        <w:rPr>
          <w:i/>
          <w:color w:val="666666"/>
          <w:sz w:val="18"/>
        </w:rPr>
        <w:t>Sorrentino M et al.  ·  Front Public Health  ·  01.09.2026  ·  PMID 42745813</w:t>
      </w:r>
    </w:p>
    <w:p>
      <w:r>
        <w:t>Europäische Längsschnittstudie (SHARE 2013–2022, n=191.848, ≥50 Jahre) zur Assoziation zwischen freiwilliger Zusatzversicherung (VHI) und Frailty-Progression.</w:t>
      </w:r>
    </w:p>
    <w:p>
      <w:r>
        <w:rPr>
          <w:b/>
        </w:rPr>
        <w:t xml:space="preserve">Ergebnis: </w:t>
      </w:r>
      <w:r>
        <w:t>VHI mit niedrigeren Frailty-Scores assoziiert (Koeff. −0,056; 95%-KI −0,071 bis −0,041), stärkster Effekt in niedrigstem Einkommensquartil. Reduziertes Frailty-Onset-Risiko unter VHI (HR 0,862; 95%-KI 0,763–0,973), besonders in Spanien (HR 0,626). Allerdings: VHI könnte als Out-of-Pocket-Ausgabe Ungleichheiten verstärken.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SHARE-Daten, vergleichbare Sozialsysteme, direkt auf deutsche Sozialversicherung übertragbar.</w:t>
      </w:r>
    </w:p>
    <w:p>
      <w:r>
        <w:rPr>
          <w:color w:val="5A7D3A"/>
          <w:sz w:val="18"/>
        </w:rPr>
        <w:t>https://pubmed.ncbi.nlm.nih.gov/42745813/</w:t>
      </w:r>
    </w:p>
    <w:p>
      <w:pPr>
        <w:pStyle w:val="Heading2"/>
      </w:pPr>
      <w:r>
        <w:t>Determinanten der Lebenserwartung in der EU: Präventive Mortalität geht über Wohlstand hinaus</w:t>
      </w:r>
    </w:p>
    <w:p>
      <w:r>
        <w:rPr>
          <w:i/>
          <w:color w:val="666666"/>
          <w:sz w:val="18"/>
        </w:rPr>
        <w:t>Antohi VM et al.  ·  Inquiry  ·  16.09.2026  ·  PMID 42745694</w:t>
      </w:r>
    </w:p>
    <w:p>
      <w:r>
        <w:t>Panel-Regressionsanalyse (6 EU-Länder: Rumänien, Bulgarien, Lettland, Deutschland, Italien, Spanien; 2011–2021) zu Effekten wirtschaftlicher, demografischer und Mortalitätsfaktoren auf Lebenserwartung.</w:t>
      </w:r>
    </w:p>
    <w:p>
      <w:r>
        <w:rPr>
          <w:b/>
        </w:rPr>
        <w:t xml:space="preserve">Ergebnis: </w:t>
      </w:r>
      <w:r>
        <w:t>CO₂-Emissionen und Bevölkerungswachstum senken Lebenserwartung (LE) signifikant. BIP pro Kopf, Gesundheitsausgaben, Bildung, Rechtsstaatlichkeit und Regierungseffektivität heben LE – aber nach Kontrolle für Mortalitätsindikatoren sinkt BIP-Effekt. Krude Mortalitätslast und Lebensjahre verloren durch Unfälle zeigen stärkste Assoziationen mit LE. Schlussfolgerung: Nachhaltige LE-Gewinne hängen weniger an Wachstum, mehr an Prävention.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Italien, Spanien im Sample; europäische Sozialsysteme, direkt vergleichbar.</w:t>
      </w:r>
    </w:p>
    <w:p>
      <w:r>
        <w:rPr>
          <w:color w:val="5A7D3A"/>
          <w:sz w:val="18"/>
        </w:rPr>
        <w:t>https://pubmed.ncbi.nlm.nih.gov/42745694/</w:t>
      </w:r>
    </w:p>
    <w:p>
      <w:pPr>
        <w:pStyle w:val="Heading2"/>
      </w:pPr>
      <w:r>
        <w:t>Körperliche Aktivität puffert alternsbedingte Hippocampus-Veränderungen ab</w:t>
      </w:r>
    </w:p>
    <w:p>
      <w:r>
        <w:rPr>
          <w:i/>
          <w:color w:val="666666"/>
          <w:sz w:val="18"/>
        </w:rPr>
        <w:t>Montero-Herrera B et al.  ·  Hippocampus  ·  Sept. 2026  ·  PMID 42740373</w:t>
      </w:r>
    </w:p>
    <w:p>
      <w:r>
        <w:t>Querschnittsstudie (n=555, 36–90 Jahre, Human Connectome Project-Aging) zur Assoziation von moderater bis vigoroster Aktivität mit Hippocampus-Struktur (Dicke, Oberfläche, mikrostrukturelle T1w/T2w-Ratio).</w:t>
      </w:r>
    </w:p>
    <w:p>
      <w:r>
        <w:rPr>
          <w:b/>
        </w:rPr>
        <w:t xml:space="preserve">Ergebnis: </w:t>
      </w:r>
      <w:r>
        <w:t>Bei niedriger Aktivität (&lt;150 Min/Wo): Alter assoziiert mit diffusen Unterschieden in Hippocampus-Makro- und Mikrostruktur (niedrigere Dicke/Oberfläche, höhere T1w/T2w-Ratio). Moderate bis hohe Aktivität (≥150 Min/Wo) moderiert diese Alterseffekte in linkem Hippocampus signifikant; signifikante Unterschiede in Oberfläche und Ratio bei aktiveren Älteren. Befund deutet auf erhaltene plastische Kapazität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Neuroimaging-Methodik unabhängig von System; Aktivitätsempfehlung universal anwendbar.</w:t>
      </w:r>
    </w:p>
    <w:p>
      <w:r>
        <w:rPr>
          <w:color w:val="5A7D3A"/>
          <w:sz w:val="18"/>
        </w:rPr>
        <w:t>https://pubmed.ncbi.nlm.nih.gov/42740373/</w:t>
      </w:r>
    </w:p>
    <w:p>
      <w:pPr>
        <w:pStyle w:val="Heading2"/>
      </w:pPr>
      <w:r>
        <w:t>Moralische Verantwortung im Alter: Klimahandeln unter Alltagsbedingungen</w:t>
      </w:r>
    </w:p>
    <w:p>
      <w:r>
        <w:rPr>
          <w:i/>
          <w:color w:val="666666"/>
          <w:sz w:val="18"/>
        </w:rPr>
        <w:t>Grand J  ·  J Aging Stud  ·  29.06.2026  ·  PMID 42705825</w:t>
      </w:r>
    </w:p>
    <w:p>
      <w:r>
        <w:t>Qualitative Studie (Interviews, Fokusgruppen) mit Schweizer Älteren (65–83 Jahre) zu deren Verständnis und Umsetzung von Verantwortung für Klimaschutz im Alltag.</w:t>
      </w:r>
    </w:p>
    <w:p>
      <w:r>
        <w:rPr>
          <w:b/>
        </w:rPr>
        <w:t xml:space="preserve">Ergebnis: </w:t>
      </w:r>
      <w:r>
        <w:t>Ältere Erwachsene verhandeln Klimaverantwortung pragmatisch im Spannungsfeld zwischen persönlicher Handlungsfähigkeit und körperlichen Grenzen des Alterns. Zeitliche Beschränkung und Mobilitätseinbußen prägen Deutung und Umfang ihres Engagements; Fokus liegt auf Haushalt und Familie statt großflächiger Aktivismus. Kernbefund: Spätes Leben restrukturiert, realisiert aber nicht negiert Umweltverantwortung.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deutschsprachig, Sozialkontext vergleichbar; Erkenntnisse zu älteren Bürgern in Transformationen.</w:t>
      </w:r>
    </w:p>
    <w:p>
      <w:r>
        <w:rPr>
          <w:color w:val="5A7D3A"/>
          <w:sz w:val="18"/>
        </w:rPr>
        <w:t>https://pubmed.ncbi.nlm.nih.gov/42705825/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