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20.08.2026  |  2 Studien  |  longevity.m-vf.de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Konzept des gesunden Alterns in Norwegen: Qualitative Analyse von Perspektiven älterer Menschen, Fachkräfte und Entscheidungsträger</w:t>
      </w:r>
    </w:p>
    <w:p>
      <w:r>
        <w:rPr>
          <w:i/>
          <w:color w:val="666666"/>
          <w:sz w:val="18"/>
        </w:rPr>
        <w:t>Bikova M et al.  ·  BMC Health Serv Res  ·  14.08.2026  ·  PMID 42613606</w:t>
      </w:r>
    </w:p>
    <w:p>
      <w:r>
        <w:t>Qualitative Studie mit 23 semi-strukturierten Interviews (ältere Menschen, Fachkräfte, Entscheidungsträger) zur Interpretation des UN-Jahrzehnts des gesunden Alterns in einer norwegischen Kommune.</w:t>
      </w:r>
    </w:p>
    <w:p>
      <w:r>
        <w:rPr>
          <w:b/>
        </w:rPr>
        <w:t xml:space="preserve">Ergebnis: </w:t>
      </w:r>
      <w:r>
        <w:t>Drei zentrale Themen: Strategien zur Bewältigung, gemischte Alterswahrnehmungen, Gesundheitsdienste. Ergebnis: Altern wird als kollektive Verantwortung betont, aber zunehmend Älteren selbst übertragen; Digitalisierung ist Barriere für vulnerable Gruppen; kommunale Dienste werden als qualitativ hochwertig, aber ressourcengeprägt wahrgenommen. Schnelle Digitalisierung und Individualisierung verschärfen Ungleichheiten.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skandinavisches Wohlfahrtssystem; Befunde zu Digitalisierungsbarrieren und Equity-Risiken übertragbar auf vergleichbare europäische Kontexte.</w:t>
      </w:r>
    </w:p>
    <w:p>
      <w:r>
        <w:rPr>
          <w:color w:val="5A7D3A"/>
          <w:sz w:val="18"/>
        </w:rPr>
        <w:t>https://pubmed.ncbi.nlm.nih.gov/42613606/</w:t>
      </w:r>
    </w:p>
    <w:p>
      <w:pPr>
        <w:pStyle w:val="Heading2"/>
      </w:pPr>
      <w:r>
        <w:t>Funktionale Performance im WHO-ICOPE-Rahmen: Brasilien und Europa zeigen zehn Jahre Unterschied in Funktionsverlust</w:t>
      </w:r>
    </w:p>
    <w:p>
      <w:r>
        <w:rPr>
          <w:i/>
          <w:color w:val="666666"/>
          <w:sz w:val="18"/>
        </w:rPr>
        <w:t>Oliveira VR et al.  ·  PLoS One  ·  05.08.2026  ·  PMID 42555548</w:t>
      </w:r>
    </w:p>
    <w:p>
      <w:r>
        <w:t>Vergleich von Determinanten der Funktionsfähigkeit (BADL/IADL) anhand von ELSI-Brasil (n=4825) und SHARE (n=25978) mit Analyse intrinsischer Kapazitätsdimensionen nach WHO-ICOPE-Modell.</w:t>
      </w:r>
    </w:p>
    <w:p>
      <w:r>
        <w:rPr>
          <w:b/>
        </w:rPr>
        <w:t xml:space="preserve">Ergebnis: </w:t>
      </w:r>
      <w:r>
        <w:t>Funktioneller Rückgang beginnt in Brasilien eine Dekade früher als in Europa. Risikomuster differieren: Mobilität–Handkraft schützender in Europa, Gehgeschwindigkeit Risikofaktor nur in Brasilien (OR 1,16); Depression höheres Risiko in Europa (OR 1,67–1,71) vs. Brasilien (OR 1,26–1,53); schlechte Selbsteinschätzung der Gesundheit stärkerer BADL-Risikofaktor in Brasilien (OR 2,72 vs. 2,07).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und Europa (SHARE), unterschiedliche Sozioökonomie; Befund zeigt kontextabhängige Risikofaktoren; ICOPE-Strategien müssen sozioökonomischen Unterschieden Rechnung tragen.</w:t>
      </w:r>
    </w:p>
    <w:p>
      <w:r>
        <w:rPr>
          <w:color w:val="5A7D3A"/>
          <w:sz w:val="18"/>
        </w:rPr>
        <w:t>https://pubmed.ncbi.nlm.nih.gov/42555548/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