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Gesundes Altern und Longevity</w:t>
      </w:r>
    </w:p>
    <w:p>
      <w:r>
        <w:rPr>
          <w:i/>
          <w:color w:val="666666"/>
          <w:sz w:val="18"/>
        </w:rPr>
        <w:t>Stand: 20.08.2026  |  10 Studien  |  longevity.m-vf.de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Konzept des gesunden Alterns in Norwegen: Qualitative Analyse von Perspektiven älterer Menschen, Fachkräfte und Entscheidungsträger</w:t>
      </w:r>
    </w:p>
    <w:p>
      <w:r>
        <w:rPr>
          <w:i/>
          <w:color w:val="666666"/>
          <w:sz w:val="18"/>
        </w:rPr>
        <w:t>Bikova M et al.  ·  BMC Health Serv Res  ·  14.08.2026  ·  PMID 42613606</w:t>
      </w:r>
    </w:p>
    <w:p>
      <w:r>
        <w:t>Qualitative Studie mit 23 semi-strukturierten Interviews (ältere Menschen, Fachkräfte, Entscheidungsträger) zur Interpretation des UN-Jahrzehnts des gesunden Alterns in einer norwegischen Kommune.</w:t>
      </w:r>
    </w:p>
    <w:p>
      <w:r>
        <w:rPr>
          <w:b/>
        </w:rPr>
        <w:t xml:space="preserve">Ergebnis: </w:t>
      </w:r>
      <w:r>
        <w:t>Drei zentrale Themen: Strategien zur Bewältigung, gemischte Alterswahrnehmungen, Gesundheitsdienste. Ergebnis: Altern wird als kollektive Verantwortung betont, aber zunehmend Älteren selbst übertragen; Digitalisierung ist Barriere für vulnerable Gruppen; kommunale Dienste werden als qualitativ hochwertig, aber ressourcengeprägt wahrgenommen. Schnelle Digitalisierung und Individualisierung verschärfen Ungleichheiten.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skandinavisches Wohlfahrtssystem; Befunde zu Digitalisierungsbarrieren und Equity-Risiken übertragbar auf vergleichbare europäische Kontexte.</w:t>
      </w:r>
    </w:p>
    <w:p>
      <w:r>
        <w:rPr>
          <w:color w:val="5A7D3A"/>
          <w:sz w:val="18"/>
        </w:rPr>
        <w:t>https://pubmed.ncbi.nlm.nih.gov/42613606/</w:t>
      </w:r>
    </w:p>
    <w:p>
      <w:pPr>
        <w:pStyle w:val="Heading2"/>
      </w:pPr>
      <w:r>
        <w:t>Funktionale Performance im WHO-ICOPE-Rahmen: Brasilien und Europa zeigen zehn Jahre Unterschied in Funktionsverlust</w:t>
      </w:r>
    </w:p>
    <w:p>
      <w:r>
        <w:rPr>
          <w:i/>
          <w:color w:val="666666"/>
          <w:sz w:val="18"/>
        </w:rPr>
        <w:t>Oliveira VR et al.  ·  PLoS One  ·  05.08.2026  ·  PMID 42555548</w:t>
      </w:r>
    </w:p>
    <w:p>
      <w:r>
        <w:t>Vergleich von Determinanten der Funktionsfähigkeit (BADL/IADL) anhand von ELSI-Brasil (n=4825) und SHARE (n=25978) mit Analyse intrinsischer Kapazitätsdimensionen nach WHO-ICOPE-Modell.</w:t>
      </w:r>
    </w:p>
    <w:p>
      <w:r>
        <w:rPr>
          <w:b/>
        </w:rPr>
        <w:t xml:space="preserve">Ergebnis: </w:t>
      </w:r>
      <w:r>
        <w:t>Funktioneller Rückgang beginnt in Brasilien eine Dekade früher als in Europa. Risikomuster differieren: Mobilität–Handkraft schützender in Europa, Gehgeschwindigkeit Risikofaktor nur in Brasilien (OR 1,16); Depression höheres Risiko in Europa (OR 1,67–1,71) vs. Brasilien (OR 1,26–1,53); schlechte Selbsteinschätzung der Gesundheit stärkerer BADL-Risikofaktor in Brasilien (OR 2,72 vs. 2,07).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 und Europa (SHARE), unterschiedliche Sozioökonomie; Befund zeigt kontextabhängige Risikofaktoren; ICOPE-Strategien müssen sozioökonomischen Unterschieden Rechnung tragen.</w:t>
      </w:r>
    </w:p>
    <w:p>
      <w:r>
        <w:rPr>
          <w:color w:val="5A7D3A"/>
          <w:sz w:val="18"/>
        </w:rPr>
        <w:t>https://pubmed.ncbi.nlm.nih.gov/42555548/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Frailty und kognitive Beeinträchtigung: Prospektive Assoziationen in fünf multinationalen Kohorten mit gepoolten Hazard Ratios</w:t>
      </w:r>
    </w:p>
    <w:p>
      <w:r>
        <w:rPr>
          <w:i/>
          <w:color w:val="666666"/>
          <w:sz w:val="18"/>
        </w:rPr>
        <w:t>Peng L et al.  ·  BMC Public Health  ·  25.07.2026  ·  PMID 42595986</w:t>
      </w:r>
    </w:p>
    <w:p>
      <w:r>
        <w:t>Länderübergreifende Metaanalyse von fünf Longitudinal-Kohorten (USA, England, Europa, China, Korea) mit insgesamt 47429 Teilnehmern zur Assoziation zwischen Baseline-Frailty-Status und kognitiver Beeinträchtigung sowie Frailty-Trajektorien und kognitiven Outcomes über 4–10 Jahre.</w:t>
      </w:r>
    </w:p>
    <w:p>
      <w:r>
        <w:rPr>
          <w:b/>
        </w:rPr>
        <w:t xml:space="preserve">Ergebnis: </w:t>
      </w:r>
      <w:r>
        <w:t>Pre-Frailty: gepoolte adjustierte HR 1,25 (95% CI 1,18–1,33) für kognitive Beeinträchtigung; Frailty: HR 1,69 (95% CI 1,50–1,90). Frailty-Trajektorien waren signifikant mit kognitiven Outcomes assoziiert (höhere Trajektorie: OR 1,45–4,37 für kognitive Beeinträchtigung; niedrigere: OR 0,46–0,72 protektiv). Befunde konsistent über alle Kohorten.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HRS, ELSA, SHARE, CHARLS, KLoSA – europäische und non-europäische Daten, jedoch nur weil robust repliziert</w:t>
      </w:r>
    </w:p>
    <w:p>
      <w:r>
        <w:rPr>
          <w:color w:val="5A7D3A"/>
          <w:sz w:val="18"/>
        </w:rPr>
        <w:t>https://pubmed.ncbi.nlm.nih.gov/42595986/</w:t>
      </w:r>
    </w:p>
    <w:p>
      <w:pPr>
        <w:pStyle w:val="Heading2"/>
      </w:pPr>
      <w:r>
        <w:t>Akutgeriatrische Versorgungsmodelle in Dänemark: Nationale Bestandsaufnahme und Variabilität der Assessment-Praktiken</w:t>
      </w:r>
    </w:p>
    <w:p>
      <w:r>
        <w:rPr>
          <w:i/>
          <w:color w:val="666666"/>
          <w:sz w:val="18"/>
        </w:rPr>
        <w:t>Brockhattingen KK et al.  ·  Dan Med J  ·  02.07.2026  ·  PMID 42563704</w:t>
      </w:r>
    </w:p>
    <w:p>
      <w:r>
        <w:t>Nationale Querschnittsbefragung aller 20 Krankenhaus-Geriatriestationen in Dänemark zur Struktur, Teamzusammensetzung und Assessment-Funktionen in akutgeriatrischen Modellen für Patienten ≥65 Jahre mit akuter medizinischer Erkrankung.</w:t>
      </w:r>
    </w:p>
    <w:p>
      <w:r>
        <w:rPr>
          <w:b/>
        </w:rPr>
        <w:t xml:space="preserve">Ergebnis: </w:t>
      </w:r>
      <w:r>
        <w:t>Zwölf von 20 Stationen (60%) melden aktive akutgeriatrische Funktionen. Alle 12 führen diagnostische Bewertung, patientenzentrierte Evaluation und Basis-Assessments durch. Andere Elemente variabel: EKG (n=4–10/12), Ultraschall, Frailty-Assessment, interdisziplinäre Review, Koordination mit Community-Care (4–10/12). Erkenntnis: Große Variation in Struktur und Inhalten trotz Flächendeckung.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europäisches Gesundheitssystem, vergleichbar mit deutschem Modell</w:t>
      </w:r>
    </w:p>
    <w:p>
      <w:r>
        <w:rPr>
          <w:color w:val="5A7D3A"/>
          <w:sz w:val="18"/>
        </w:rPr>
        <w:t>https://pubmed.ncbi.nlm.nih.gov/42563704/</w:t>
      </w:r>
    </w:p>
    <w:p>
      <w:pPr>
        <w:pStyle w:val="Heading1"/>
      </w:pPr>
      <w:r>
        <w:t>Aufgenommen am 18.08.2026</w:t>
      </w:r>
    </w:p>
    <w:p>
      <w:pPr>
        <w:pStyle w:val="Heading2"/>
      </w:pPr>
      <w:r>
        <w:t>Frailty-Verteilung und Sterblichkeit in Europa: Ländervergleich zeigt höchste Last in USA und Südosteuropa</w:t>
      </w:r>
    </w:p>
    <w:p>
      <w:r>
        <w:rPr>
          <w:i/>
          <w:color w:val="666666"/>
          <w:sz w:val="18"/>
        </w:rPr>
        <w:t>Drijver-Headley S et al.  ·  Age Ageing  ·  03.08.2026  ·  PMID 42607277</w:t>
      </w:r>
    </w:p>
    <w:p>
      <w:r>
        <w:t>Vergleichende Analyse von Frailty-Indizes, Sterblichkeit und Frailty-Progression in 17 Ländern mit unterschiedlichen Gesundheitssystemen.</w:t>
      </w:r>
    </w:p>
    <w:p>
      <w:r>
        <w:rPr>
          <w:b/>
        </w:rPr>
        <w:t xml:space="preserve">Ergebnis: </w:t>
      </w:r>
      <w:r>
        <w:t>In der USA, Mexiko und Südosteuropa war Gebrechlichkeit am höchsten, in Nord- und Zentraleuropa am niedrigsten; Sterblichkeit und Defizitakkumulation differierten erheblich zwischen Ländern, mit höchsten Werten in Mexiko. Meta-analytische Methoden zeigen, dass Frailty-Unterschiede zwischen Ländern wesentlich mit lokalen Einkommens- und Versorgungsstrukturen assoziiert sind.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SHARE und ELSA (Europa) direkt vergleichbar; USA/Mexiko zeigen Effekte unterschiedlicher Finanzierung und sozialer Ungleichheit.</w:t>
      </w:r>
    </w:p>
    <w:p>
      <w:r>
        <w:rPr>
          <w:color w:val="5A7D3A"/>
          <w:sz w:val="18"/>
        </w:rPr>
        <w:t>https://pubmed.ncbi.nlm.nih.gov/42607277/</w:t>
      </w:r>
    </w:p>
    <w:p>
      <w:pPr>
        <w:pStyle w:val="Heading2"/>
      </w:pPr>
      <w:r>
        <w:t>Funktionelles Altern und Vermögensungleichheit: England und Kanada zeigen unterschiedliche Ungleichheitsgradienten</w:t>
      </w:r>
    </w:p>
    <w:p>
      <w:r>
        <w:rPr>
          <w:i/>
          <w:color w:val="666666"/>
          <w:sz w:val="18"/>
        </w:rPr>
        <w:t>Schrempft S et al.  ·  PLoS Med  ·  13.08.2026  ·  PMID 42594078</w:t>
      </w:r>
    </w:p>
    <w:p>
      <w:r>
        <w:t>Längsschnittstudie der Assoziation zwischen Vermögen und körperlicher Funktionsfähigkeit (Ganggeschwindigkeit, Griffstärke, Mobilitätseinschränkungen, ADL/IADL) in England und Kanada über 10 Jahre.</w:t>
      </w:r>
    </w:p>
    <w:p>
      <w:r>
        <w:rPr>
          <w:b/>
        </w:rPr>
        <w:t xml:space="preserve">Ergebnis: </w:t>
      </w:r>
      <w:r>
        <w:t>Bei weniger Vermögen: 15 Jahre Funktionsverlust bei Ganggeschwindigkeit in England vs. 9 Jahre in Kanada; 20 Jahre Funktionsverlust bei ADL-Schwierigkeiten in England vs. 9 Jahre in Kanada. Vermögensungleichheiten in der Funktionsfähigkeit waren größer in England trotz ähnlicher Gesundheitssysteme, bleiben nach Anpassung für Komorbiditäten bestehen.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 und Kanada – beide gemäßigte Einkommen und ähnliche Sozialversicherung; Unterschied verdeutlicht Bedeutung von Vermögen neben Systemfinanzierung.</w:t>
      </w:r>
    </w:p>
    <w:p>
      <w:r>
        <w:rPr>
          <w:color w:val="5A7D3A"/>
          <w:sz w:val="18"/>
        </w:rPr>
        <w:t>https://pubmed.ncbi.nlm.nih.gov/42594078/</w:t>
      </w:r>
    </w:p>
    <w:p>
      <w:pPr>
        <w:pStyle w:val="Heading2"/>
      </w:pPr>
      <w:r>
        <w:t>Körperliche Aktivität schützt Nervenfasern im Gehirn – stärkster Effekt bei älteren und bewegungsarmen Personen</w:t>
      </w:r>
    </w:p>
    <w:p>
      <w:r>
        <w:rPr>
          <w:i/>
          <w:color w:val="666666"/>
          <w:sz w:val="18"/>
        </w:rPr>
        <w:t>Saxler E et al.  ·  Aging Cell  ·  Aug. 2026  ·  PMID 42568043</w:t>
      </w:r>
    </w:p>
    <w:p>
      <w:r>
        <w:t>Querschnittsstudie von 4.188 Teilnehmern (mittleres Alter 55,4 Jahre) der Rhineland-Studie zur Assoziation zwischen Beschleunigungsmesser-gemessener körperlicher Aktivität und Mikrostruktur weißer Substanz (Diffusions-MRT) mit Vermittlung durch Körpergewicht und kardiometabolische Faktoren.</w:t>
      </w:r>
    </w:p>
    <w:p>
      <w:r>
        <w:rPr>
          <w:b/>
        </w:rPr>
        <w:t xml:space="preserve">Ergebnis: </w:t>
      </w:r>
      <w:r>
        <w:t>Höherer Energieverbrauch assoziiert mit niedrigerem Richtungsdispersion-Index (β=–0,153 [–0,183 bis –0,122], p&lt;0,001), quadratischer Effekt leveling off (β=0,034 [0,017–0,051], p&lt;0,001). Mit zunehmendem Alter: körperliche Aktivität stärker mit höherer Neuritendichte und niedriger mittlerer Diffusivität assoziiert; Effekt am größten bei älteren und sedentären Personen, vermittelt durch Körpergewicht, kardiometabolische und entzündliche 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(Bonn) – Populationsstichprobe, vergleichbare Versorgung, direkt auf Altenprävention übertragbar.</w:t>
      </w:r>
    </w:p>
    <w:p>
      <w:r>
        <w:rPr>
          <w:color w:val="5A7D3A"/>
          <w:sz w:val="18"/>
        </w:rPr>
        <w:t>https://pubmed.ncbi.nlm.nih.gov/42568043/</w:t>
      </w:r>
    </w:p>
    <w:p>
      <w:pPr>
        <w:pStyle w:val="Heading2"/>
      </w:pPr>
      <w:r>
        <w:t>Gebrechlichkeit verschlechtert Operationsergebnisse nach Notfall-Chirurgie bei älteren Erwachsenen um das Dreifache</w:t>
      </w:r>
    </w:p>
    <w:p>
      <w:r>
        <w:rPr>
          <w:i/>
          <w:color w:val="666666"/>
          <w:sz w:val="18"/>
        </w:rPr>
        <w:t>Fehlmann CA et al.  ·  Swiss Med Wkly  ·  26.06.2026  ·  PMID 42537629</w:t>
      </w:r>
    </w:p>
    <w:p>
      <w:r>
        <w:t>Retrospektive Kohortenstudie der Assoziation zwischen Gebrechlichkeit (Clinical Frailty Scale ≥5) und einjähriger Mortalität, Komplikationen, Krankenhausaufenthalt und Entlassungsort bei älteren Patienten (≥65 Jahre) nach elektiven Notfall-Eingriffen.</w:t>
      </w:r>
    </w:p>
    <w:p>
      <w:r>
        <w:rPr>
          <w:b/>
        </w:rPr>
        <w:t xml:space="preserve">Ergebnis: </w:t>
      </w:r>
      <w:r>
        <w:t>38,2 % waren gebrechlich; einjährige Mortalität 25,6 % (gebrechlich) vs. 6,6 % (nicht gebrechlich), adjustierte OR 3,0 [95%-KI 1,7–5,1]; Komplikationen OR 2,3 [1,5–3,6]; Krankenhausaufenthalt +46,4 % [26,8–69,0 %]; Entlassung nicht nach Hause OR 2,1 [1,4–3,2]. Frailty ist ein starker unabhängiger Risikofaktor für schlechte Ergebnisse.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 – dem deutschsprachigen Raum ähnliches System, vergleichbare Klinikdokumentation und Risikostratifizierung.</w:t>
      </w:r>
    </w:p>
    <w:p>
      <w:r>
        <w:rPr>
          <w:color w:val="5A7D3A"/>
          <w:sz w:val="18"/>
        </w:rPr>
        <w:t>https://pubmed.ncbi.nlm.nih.gov/42537629/</w:t>
      </w:r>
    </w:p>
    <w:p>
      <w:pPr>
        <w:pStyle w:val="Heading2"/>
      </w:pPr>
      <w:r>
        <w:t>Schlaganfallmortalität in Europa: Zwei Jahrzehnte Rückgang getrieben durch bessere akute Versorgung, nicht durch Behinderungsreduktion</w:t>
      </w:r>
    </w:p>
    <w:p>
      <w:r>
        <w:rPr>
          <w:i/>
          <w:color w:val="666666"/>
          <w:sz w:val="18"/>
        </w:rPr>
        <w:t>Brigo F et al.  ·  Eur Stroke J  ·  06.07.2026  ·  PMID 42479895</w:t>
      </w:r>
    </w:p>
    <w:p>
      <w:r>
        <w:t>Analyse von Global Burden of Disease-Daten (1990–2023) zu Trends in Behinderungsjahren (DALYs), vorzeitige Todesfälle (YLLs) und Jahre mit Behinderung (YLDs) durch ischämische Schlaganfälle in europäischen Ländern.</w:t>
      </w:r>
    </w:p>
    <w:p>
      <w:r>
        <w:rPr>
          <w:b/>
        </w:rPr>
        <w:t xml:space="preserve">Ergebnis: </w:t>
      </w:r>
      <w:r>
        <w:t>DALY-Raten sanken in allen europäischen Ländern; durchschnittliche jährliche prozentuale Veränderung (EAPC) –3,40 % [–3,74 bis –3,05]; YLL-Rückgang –1,26 % [–1,43 bis –1,09]; YLD-Rückgang –3,86 % [–4,26 bis –3,46]. Rückgang der vorzeitigen Mortalität war Haupttreiber; YLD-Fortschritt blieb heterogen und geringer, regionale Unterschiede in Zentral-/Westeuropa vs. Ost-/Südosteuropa.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Alle europäischen Länder – direkt vergleichbar mit Deutschland; GBD-Daten ermöglichen Vergleich von Versorgungsqualität und Prevention.</w:t>
      </w:r>
    </w:p>
    <w:p>
      <w:r>
        <w:rPr>
          <w:color w:val="5A7D3A"/>
          <w:sz w:val="18"/>
        </w:rPr>
        <w:t>https://pubmed.ncbi.nlm.nih.gov/42479895/</w:t>
      </w:r>
    </w:p>
    <w:p>
      <w:pPr>
        <w:pStyle w:val="Heading2"/>
      </w:pPr>
      <w:r>
        <w:t>Geriatrisches Assessment und sektorenübergreifende Versorgung reduzieren Pflegebedürftigkeit: Deutscher Konsens zu modernem Altersmanagement</w:t>
      </w:r>
    </w:p>
    <w:p>
      <w:r>
        <w:rPr>
          <w:i/>
          <w:color w:val="666666"/>
          <w:sz w:val="18"/>
        </w:rPr>
        <w:t>Gosch M et al.  ·  Z Gerontol Geriatr  ·  21.07.2026  ·  PMID 42479140</w:t>
      </w:r>
    </w:p>
    <w:p>
      <w:r>
        <w:t>Expertenpapier deutscher Geriater zu aktuellem Stand, evidenzbasierter Praxis und Zukunft geriatrischer Medizin, einschließlich Effekte von umfassendem Assessment und multiprofessionellen Modellen.</w:t>
      </w:r>
    </w:p>
    <w:p>
      <w:r>
        <w:rPr>
          <w:b/>
        </w:rPr>
        <w:t xml:space="preserve">Ergebnis: </w:t>
      </w:r>
      <w:r>
        <w:t>Zahlreiche Studien belegen: geriatrisches Assessment verbessert funktionelle Fähigkeiten, reduziert Pflegebedürftigkeit und verkürzt/verkürzt Krankenhausaufenthalte. Defizite bestehen in flächendeckender Versorgung, Finanzierung, Fachkräftemangel und Integration in andere Fachgebiete.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– direkte Evidenz zur deutschen Versorgungssituation und politischen Handlungsfelder für Systemreformen.</w:t>
      </w:r>
    </w:p>
    <w:p>
      <w:r>
        <w:rPr>
          <w:color w:val="5A7D3A"/>
          <w:sz w:val="18"/>
        </w:rPr>
        <w:t>https://pubmed.ncbi.nlm.nih.gov/42479140/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2026-08-20T06:00:00Z</dcterms:created>
  <dcterms:modified xsi:type="dcterms:W3CDTF">2026-08-20T06:00:00Z</dcterms:modified>
  <cp:category/>
</cp:coreProperties>
</file>