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24.09.2026  |  5 Studien  |  mental.m-vf.de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Peer Support in Early-Psychosis-Programmen: Verbreitung und Finanzierungsstrukturen</w:t>
      </w:r>
    </w:p>
    <w:p>
      <w:r>
        <w:rPr>
          <w:i/>
          <w:color w:val="666666"/>
          <w:sz w:val="18"/>
        </w:rPr>
        <w:t>Marshall T et al.  ·  Early Interv Psychiatry  ·  Sept. 2026  ·  PMID 42778307</w:t>
      </w:r>
    </w:p>
    <w:p>
      <w:r>
        <w:t>Querschnittsstudie zu 111 US-amerikanischen Early Psychosis Intervention Network (EPINET)-Programmen mit Koordinierter Spezialversorgung (CSC) bzgl. Verfügbarkeit und Finanzierung von Peer Support und Family Peer Support.</w:t>
      </w:r>
    </w:p>
    <w:p>
      <w:r>
        <w:rPr>
          <w:b/>
        </w:rPr>
        <w:t xml:space="preserve">Ergebnis: </w:t>
      </w:r>
      <w:r>
        <w:t>80% der Programme boten Peer Support an, 59% Family Peer Support. Staats-Finanzierung und -Förderung waren mit Angeboten von Peer Support und Family Peer Support assoziiert. Obwohl nicht ursprünglicher Kern-Service, zeigt die hohe Quote an – dass Peer Support als Standard etabliert ist – die Notwendigkeit von Forschung zu Variations- und Effekt-Mustern.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Finanzierungs- und Koordinierungsmodell nicht übertragbar, aber Erkenntnis zu Peer-Support-Integration relevant</w:t>
      </w:r>
    </w:p>
    <w:p>
      <w:r>
        <w:rPr>
          <w:color w:val="5A7D3A"/>
          <w:sz w:val="18"/>
        </w:rPr>
        <w:t>https://pubmed.ncbi.nlm.nih.gov/42778307/</w:t>
      </w:r>
    </w:p>
    <w:p>
      <w:pPr>
        <w:pStyle w:val="Heading2"/>
      </w:pPr>
      <w:r>
        <w:t>Langzeit-Verlaufstypen nach Early Intervention bei Psychose: 10-Jahre-Studie</w:t>
      </w:r>
    </w:p>
    <w:p>
      <w:r>
        <w:rPr>
          <w:i/>
          <w:color w:val="666666"/>
          <w:sz w:val="18"/>
        </w:rPr>
        <w:t>Percie du Sert O et al.  ·  Early Interv Psychiatry  ·  Sept. 2026  ·  PMID 42778287</w:t>
      </w:r>
    </w:p>
    <w:p>
      <w:r>
        <w:t>Studienprotokoll für 10-Jahre-Nachbeobachtung von 689 Personen (14-35 Jahre) mit Erstpsychose aus dem Prevention and Early Intervention Program for Psychoses (PEPP-Montreal), mit administrativen Datenbanken verlinkt, um Langzeit-Trajektorien und Vorhersagefaktoren zu identifizieren.</w:t>
      </w:r>
    </w:p>
    <w:p>
      <w:r>
        <w:rPr>
          <w:b/>
        </w:rPr>
        <w:t xml:space="preserve">Ergebnis: </w:t>
      </w:r>
      <w:r>
        <w:t>Studie noch nicht abgeschlossen (Datenanalyse nach Erreichen des primären Endpoints); wird Heterogenität von Verlaufs-Trajektorien über multiple Outcome-Dimensionen modellieren und frühe Vorhersagefaktoren für Langzeitergebnisse charakterisieren. Soll unterscheiden, ob während kritischer Phase geprägte Trajektorien langfristig erhalten bleiben.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universales Gesundheitssystem mit definierten Einzugsgebieten – Vorläufer-Daten verfügbar, Langzeit-Struktur relevant</w:t>
      </w:r>
    </w:p>
    <w:p>
      <w:r>
        <w:rPr>
          <w:color w:val="5A7D3A"/>
          <w:sz w:val="18"/>
        </w:rPr>
        <w:t>https://pubmed.ncbi.nlm.nih.gov/42778287/</w:t>
      </w:r>
    </w:p>
    <w:p>
      <w:pPr>
        <w:pStyle w:val="Heading2"/>
      </w:pPr>
      <w:r>
        <w:t>De-Eskalation in stationärer psychiatrischer Versorgung: Faktoren für erfolgreiche Umsetzung</w:t>
      </w:r>
    </w:p>
    <w:p>
      <w:r>
        <w:rPr>
          <w:i/>
          <w:color w:val="666666"/>
          <w:sz w:val="18"/>
        </w:rPr>
        <w:t>Ugwuocha NW et al.  ·  Int J Ment Health Nurs  ·  Okt. 2026  ·  PMID 42775399</w:t>
      </w:r>
    </w:p>
    <w:p>
      <w:r>
        <w:t>Narrative Synthese der Evidenz zum De-Eskalationstraining und zur Verringerung restriktiver Maßnahmen in britischen Akutkliniken (2014-2024); Identifikation von Bedingungen für gelungene De-Eskalation.</w:t>
      </w:r>
    </w:p>
    <w:p>
      <w:r>
        <w:rPr>
          <w:b/>
        </w:rPr>
        <w:t xml:space="preserve">Ergebnis: </w:t>
      </w:r>
      <w:r>
        <w:t>Drei interdependente Domänen strukturieren De-Eskalationspraxis: Therapeutische Beziehungen und emotionale Intelligenz des Personals; Fachkompetenz durch Simulation und Team-Reflexion; Organisationskontext (Personalausstattung, Führung, Stationsumgebung, Sicherheitskultur, Equity-Vorkehrungen). De-Eskalation entsteht aus Alignment zwischen relationalem Prozess, Fachkompetenz und Organisationsbedingungen – nicht Trainingstechniken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NHS-System mit festgestelltem Zwang-Reduktions-Auftrag</w:t>
      </w:r>
    </w:p>
    <w:p>
      <w:r>
        <w:rPr>
          <w:color w:val="5A7D3A"/>
          <w:sz w:val="18"/>
        </w:rPr>
        <w:t>https://pubmed.ncbi.nlm.nih.gov/42775399/</w:t>
      </w:r>
    </w:p>
    <w:p>
      <w:pPr>
        <w:pStyle w:val="Heading2"/>
      </w:pPr>
      <w:r>
        <w:t>Diätassistenten in der Versorgung psychisch erkrankter Menschen: Barrieren und Potenziale</w:t>
      </w:r>
    </w:p>
    <w:p>
      <w:r>
        <w:rPr>
          <w:i/>
          <w:color w:val="666666"/>
          <w:sz w:val="18"/>
        </w:rPr>
        <w:t>Hsu MSH et al.  ·  J Hum Nutr Diet  ·  Okt. 2026  ·  PMID 42773647</w:t>
      </w:r>
    </w:p>
    <w:p>
      <w:r>
        <w:t>Qualitative Interview-Studie mit 14 Diätassistenten (7 privatpraxis, 7 öffentliche Dienste) in Australien zu ihren Erfahrungen, Barrieren und Chancen bei der Unterstützung psychisch erkrankter Menschen.</w:t>
      </w:r>
    </w:p>
    <w:p>
      <w:r>
        <w:rPr>
          <w:b/>
        </w:rPr>
        <w:t xml:space="preserve">Ergebnis: </w:t>
      </w:r>
      <w:r>
        <w:t>5 Hauptthemen: (1) Komplexe Bedarfe psychisch erkrankter Personen; (2) Zugangsbarrieren für private Diätassistenten (Finanzierung, Überweisungen); (3) Lücken in psychisch-gesundheitsspezifischer Ausbildung; (4) Strukturelle Grenzen privater Versorgung; (5) Vorteile integrierter Spezialversorgung. Empfehlung: Reformen in Finanzierung, Training und Überweisungssystemen notwendig für gerechte, gemeindenahe Ernährungsunterstützung.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– anderes Finanzierungssystem, aber Integrations- und Schulungs-Erkenntnisse übertragbar</w:t>
      </w:r>
    </w:p>
    <w:p>
      <w:r>
        <w:rPr>
          <w:color w:val="5A7D3A"/>
          <w:sz w:val="18"/>
        </w:rPr>
        <w:t>https://pubmed.ncbi.nlm.nih.gov/42773647/</w:t>
      </w:r>
    </w:p>
    <w:p>
      <w:pPr>
        <w:pStyle w:val="Heading2"/>
      </w:pPr>
      <w:r>
        <w:t>Barrieren und Förderfaktoren bei der Hilfesuche für postpartale Depression und Angststörung</w:t>
      </w:r>
    </w:p>
    <w:p>
      <w:r>
        <w:rPr>
          <w:i/>
          <w:color w:val="666666"/>
          <w:sz w:val="18"/>
        </w:rPr>
        <w:t>Büssow AL et al.  ·  BMC Psychiatry  ·  17.08.2026  ·  PMID 42773421</w:t>
      </w:r>
    </w:p>
    <w:p>
      <w:r>
        <w:t>Querschnittsstudie (N=4624 Frauen in Dresden) zu Faktoren, die mit der Bereitschaft und dem tatsächlichen Verhalten bezüglich Hilfesuche für psychische Erkrankungen nach der Geburt verbunden sind.</w:t>
      </w:r>
    </w:p>
    <w:p>
      <w:r>
        <w:rPr>
          <w:b/>
        </w:rPr>
        <w:t xml:space="preserve">Ergebnis: </w:t>
      </w:r>
      <w:r>
        <w:t>Negative Gesundheitsüberzeugungen zeigten die stärksten negativen Effekte auf die Hilfesuche-Absicht bei allen Gruppen. Erkennung einer psychischen Störung war der wichtigste Faktor für tatsächliche Hilfesuche. Frauen mit Migrationshintergrund, niedrigerem Einkommen und ohne vorherige Inanspruchnahme von Psychisch-Kranken-Diensten suchten weniger Hilfe. Routine-Screening und Aufklärungskampagnen für positive Gesundheitsüberzeugungen könnten die Hilfesuche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Terminservicestellen-relevante Screening- und Zuweisungspraxis</w:t>
      </w:r>
    </w:p>
    <w:p>
      <w:r>
        <w:rPr>
          <w:color w:val="5A7D3A"/>
          <w:sz w:val="18"/>
        </w:rPr>
        <w:t>https://pubmed.ncbi.nlm.nih.gov/42773421/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