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26.09.2026  |  6 Studien  |  mental.m-vf.de</w:t>
      </w:r>
    </w:p>
    <w:p>
      <w:pPr>
        <w:pStyle w:val="Heading1"/>
      </w:pPr>
      <w:r>
        <w:t>Aufgenommen am 26.09.2026</w:t>
      </w:r>
    </w:p>
    <w:p>
      <w:pPr>
        <w:pStyle w:val="Heading2"/>
      </w:pPr>
      <w:r>
        <w:t>Methadon-Behandlung in USA: De-Implementation stigmatisierender Richtlinien seit COVID-19</w:t>
      </w:r>
    </w:p>
    <w:p>
      <w:r>
        <w:rPr>
          <w:i/>
          <w:color w:val="666666"/>
          <w:sz w:val="18"/>
        </w:rPr>
        <w:t>Roberts K et al.  ·  Front Public Health  ·  10.09.2026  ·  PMID 42787723</w:t>
      </w:r>
    </w:p>
    <w:p>
      <w:r>
        <w:t>Versorgungspolitische Analyse zur Notwendigkeit, stigmatisierende Methadon-Dispensierungsrichtlinien in den USA abzubauen, mit Daten aus COVID-19-bedingten Flexibilisierungen.</w:t>
      </w:r>
    </w:p>
    <w:p>
      <w:r>
        <w:rPr>
          <w:b/>
        </w:rPr>
        <w:t xml:space="preserve">Ergebnis: </w:t>
      </w:r>
      <w:r>
        <w:t>Weniger als 30 % der Menschen mit Opioid-Use-Disorder erhalten Behandlung; COVID-19-Lockdown-Maßnahmen (Take-Home-Methadon) führten zu besseren Outcomes und Patientenerfahrungen. De-Implementation-Rahmen: Abbau evidenzferner, stigmatisierender Hürden verbessert Zugang und Adhärenz.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USA-Kontext mit grundlegend anderen Finanzierungsstrukturen (Versicherungsmarkt); Muster der Stigmatisierungsabbau durch Regellockerung auch für deutsche Substitutionsbehandlung relevant.</w:t>
      </w:r>
    </w:p>
    <w:p>
      <w:r>
        <w:rPr>
          <w:color w:val="5A7D3A"/>
          <w:sz w:val="18"/>
        </w:rPr>
        <w:t>https://pubmed.ncbi.nlm.nih.gov/42787723/</w:t>
      </w:r>
    </w:p>
    <w:p>
      <w:pPr>
        <w:pStyle w:val="Heading2"/>
      </w:pPr>
      <w:r>
        <w:t>Schwellenwächter-Arbeit: Träger der Freien Wohlfahrt unter Druck in London</w:t>
      </w:r>
    </w:p>
    <w:p>
      <w:r>
        <w:rPr>
          <w:i/>
          <w:color w:val="666666"/>
          <w:sz w:val="18"/>
        </w:rPr>
        <w:t>Brenman N  ·  Sociol Health Illn  ·  Nov. 2026  ·  PMID 42786659</w:t>
      </w:r>
    </w:p>
    <w:p>
      <w:r>
        <w:t>Ethnographische Qualitativforschung in drei Trägern der Freien Wohlfahrt in innerstädtischem London zu deren Bewältigungsstrategien unter Austeritätsdruck.</w:t>
      </w:r>
    </w:p>
    <w:p>
      <w:r>
        <w:rPr>
          <w:b/>
        </w:rPr>
        <w:t xml:space="preserve">Ergebnis: </w:t>
      </w:r>
      <w:r>
        <w:t>Träger werden als ‚Ablageorte' überlastet; ‚Threshold Work' zeigt, wie diagnostische Grenzen und Raumgestaltung zusammenwirken – Zugang wird durch materielle und immaterielle Schwellen begrenzt. Kernaussage: Träger reagieren durch adaptive Grenzziehungen auf fehlende Ressourcen.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BUT: Unterschiedliche Finanzierungskrise; Muster der Fragmentierung psychosozialer Versorgung unter Sparmaßnahmen auf DACH übertragbar.</w:t>
      </w:r>
    </w:p>
    <w:p>
      <w:r>
        <w:rPr>
          <w:color w:val="5A7D3A"/>
          <w:sz w:val="18"/>
        </w:rPr>
        <w:t>https://pubmed.ncbi.nlm.nih.gov/42786659/</w:t>
      </w:r>
    </w:p>
    <w:p>
      <w:pPr>
        <w:pStyle w:val="Heading2"/>
      </w:pPr>
      <w:r>
        <w:t>Jungianische Psychotherapie in Ausbildungskontexten: Symptomreduktion und Strukturverbesserungen</w:t>
      </w:r>
    </w:p>
    <w:p>
      <w:r>
        <w:rPr>
          <w:i/>
          <w:color w:val="666666"/>
          <w:sz w:val="18"/>
        </w:rPr>
        <w:t>Roesler C et al.  ·  Z Psychosom Med Psychother  ·  Sept. 2026  ·  PMID 42779379</w:t>
      </w:r>
    </w:p>
    <w:p>
      <w:r>
        <w:t>Prä-Post-Studie mit 104 Patienten in deutschem Ausbildungsinstitut zu Wirksamkeit der Jungianischen Psychotherapie bei Depressionen, Angststörungen und Zwangsstörungen.</w:t>
      </w:r>
    </w:p>
    <w:p>
      <w:r>
        <w:rPr>
          <w:b/>
        </w:rPr>
        <w:t xml:space="preserve">Ergebnis: </w:t>
      </w:r>
      <w:r>
        <w:t>Signifikante Verbesserungen: Depression, Angst, Zwangssymptome (d=0,555–1,174), Selbstwahrnehmung und Beziehungsfähigkeit. Essstörungssymptome unveränder. Therapeuten in Ausbildung erzielten substanzielle Erfolge.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direkter Forschungskontext; Evidenz für Richtlinienpsychotherapie im Ausbildungskontext, GKV-Finanzierung prüfen.</w:t>
      </w:r>
    </w:p>
    <w:p>
      <w:r>
        <w:rPr>
          <w:color w:val="5A7D3A"/>
          <w:sz w:val="18"/>
        </w:rPr>
        <w:t>https://pubmed.ncbi.nlm.nih.gov/42779379/</w:t>
      </w:r>
    </w:p>
    <w:p>
      <w:pPr>
        <w:pStyle w:val="Heading2"/>
      </w:pPr>
      <w:r>
        <w:t>UPIC-Kohorte: Depressionen und Angststörungen bei schwedischen Jugendlichen – Prospektive Längsschnittstudie</w:t>
      </w:r>
    </w:p>
    <w:p>
      <w:r>
        <w:rPr>
          <w:i/>
          <w:color w:val="666666"/>
          <w:sz w:val="18"/>
        </w:rPr>
        <w:t>Hovén E et al.  ·  BMJ Open  ·  21.09.2026  ·  PMID 42767737</w:t>
      </w:r>
    </w:p>
    <w:p>
      <w:r>
        <w:t>Nationale Kohortenstudie mit 2000 schwedischen Jugendlichen (15–29 Jahre) zur Prävention und Früherkennung von Angst, Depression, Suizidalität über 2 Jahre mit Smartphones, Biomarkern und KI-gestützter Vorhersage.</w:t>
      </w:r>
    </w:p>
    <w:p>
      <w:r>
        <w:rPr>
          <w:b/>
        </w:rPr>
        <w:t xml:space="preserve">Ergebnis: </w:t>
      </w:r>
      <w:r>
        <w:t>Studienprotokoll: Rekrutierung abgeschlossen; Drei Assessmentprotokolle, Smartphone-Sensorik (Schlaf, Mobilität), maschinelles Lernen für Vorhersage mentaler Gesundheitstrajektorien. Machbarkeitsergebnisse zur Retention folgen.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öffentliches Gesundheitssystem; Prävention und Früherkennung als vergleichbare Politikpriorität im deutschsprachigen Raum.</w:t>
      </w:r>
    </w:p>
    <w:p>
      <w:r>
        <w:rPr>
          <w:color w:val="5A7D3A"/>
          <w:sz w:val="18"/>
        </w:rPr>
        <w:t>https://pubmed.ncbi.nlm.nih.gov/42767737/</w:t>
      </w:r>
    </w:p>
    <w:p>
      <w:pPr>
        <w:pStyle w:val="Heading2"/>
      </w:pPr>
      <w:r>
        <w:t>Modular Empowerment Group Therapy in ukrainischen Patienten: 96,4 % Retention bei Kriegsbedingtem Trauma</w:t>
      </w:r>
    </w:p>
    <w:p>
      <w:r>
        <w:rPr>
          <w:i/>
          <w:color w:val="666666"/>
          <w:sz w:val="18"/>
        </w:rPr>
        <w:t>Kemna S et al.  ·  J Affect Disord  ·  15.12.2026  ·  PMID 42731584</w:t>
      </w:r>
    </w:p>
    <w:p>
      <w:r>
        <w:t>Feasibility-Pilot mit 56 Kriegstraumatisierten in der Ukraine zur Machbarkeit von Gruppentherapie im Präsenz- und Online-Format während des laufenden Krieges.</w:t>
      </w:r>
    </w:p>
    <w:p>
      <w:r>
        <w:rPr>
          <w:b/>
        </w:rPr>
        <w:t xml:space="preserve">Ergebnis: </w:t>
      </w:r>
      <w:r>
        <w:t>Retention 96,4 %, Dropout 3,6 %, Adhärenz 93 %. Depression (PHQ-9 d=1,44), psychische Lebensqualität (d=1,28), PTSD-Symptome (d=1,18) zeigten große Effekte; face-to-face größer als online.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Strukturmodell für Kriseneinsätze in Konfliktregionen, GKV-finanziert wie Krisenintervention und Rehabilitation.</w:t>
      </w:r>
    </w:p>
    <w:p>
      <w:r>
        <w:rPr>
          <w:color w:val="5A7D3A"/>
          <w:sz w:val="18"/>
        </w:rPr>
        <w:t>https://pubmed.ncbi.nlm.nih.gov/42731584/</w:t>
      </w:r>
    </w:p>
    <w:p>
      <w:pPr>
        <w:pStyle w:val="Heading2"/>
      </w:pPr>
      <w:r>
        <w:t>Internet-Therapie für Körperdysphorie bei Jugendlichen: randomisierte Studie zur Kosteneffektivität</w:t>
      </w:r>
    </w:p>
    <w:p>
      <w:r>
        <w:rPr>
          <w:i/>
          <w:color w:val="666666"/>
          <w:sz w:val="18"/>
        </w:rPr>
        <w:t>Fernández de la Cruz L et al.  ·  Trials  ·  31.08.2026  ·  PMID 42675507</w:t>
      </w:r>
    </w:p>
    <w:p>
      <w:r>
        <w:t>3-Zentren-Studie in Schweden mit 154 Jugendlichen (12–17 Jahre) zur Wirksamkeit und Kosteneffizienz von Therapist-gestützter ICBT gegen aktive Kontrollgruppe (Relaxation).</w:t>
      </w:r>
    </w:p>
    <w:p>
      <w:r>
        <w:rPr>
          <w:b/>
        </w:rPr>
        <w:t xml:space="preserve">Ergebnis: </w:t>
      </w:r>
      <w:r>
        <w:t>Studienprotokoll; Randomisierung 1:1 abgeschlossen, Datenanalyse ab Dezember 2026 erwartet. Primärer Endpunkt: Yale-Brown Obsessive-Compulsive Scale BDD-Modul.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vergleichbares öffentliches Gesundheitswesen; ICBT-Implementierung für Spezialisierte Störungen im GKV-Kontext zu prüfen.</w:t>
      </w:r>
    </w:p>
    <w:p>
      <w:r>
        <w:rPr>
          <w:color w:val="5A7D3A"/>
          <w:sz w:val="18"/>
        </w:rPr>
        <w:t>https://pubmed.ncbi.nlm.nih.gov/42675507/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2026-09-26T06:00:00Z</dcterms:created>
  <dcterms:modified xsi:type="dcterms:W3CDTF">2026-09-26T06:00:00Z</dcterms:modified>
  <cp:category/>
</cp:coreProperties>
</file>