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22.10.2026  |  6 Studien  |  mental.m-vf.de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Kognitionstraining in der Hausarztpraxis: Umsetzungsstrategie für ältere Menschen mit Mild Cognitive Impairment</w:t>
      </w:r>
    </w:p>
    <w:p>
      <w:r>
        <w:rPr>
          <w:i/>
          <w:color w:val="666666"/>
          <w:sz w:val="18"/>
        </w:rPr>
        <w:t>Yuan S et al.  ·  BMC Geriatr  ·  23.07.2026  ·  PMID 42902222</w:t>
      </w:r>
    </w:p>
    <w:p>
      <w:r>
        <w:t>Studienprotokoll für eine clusterrandomisierte Faktorialstdie (2×2×2-Design) zur Prüfung einer dreitelementigen Implementierungsstrategie (erweiterte Schulung, Finanzierungsanreize, Führungsbeteiligung) für Kognitionstraining durch Hausarztteams in 16 Pekinger Gemeindegesundheitszentren (Zielgruppe: ältere Menschen mit MCI).</w:t>
      </w:r>
    </w:p>
    <w:p>
      <w:r>
        <w:rPr>
          <w:b/>
        </w:rPr>
        <w:t xml:space="preserve">Ergebnis: </w:t>
      </w:r>
      <w:r>
        <w:t>Studienprotokoll; primärer Endpunkt ist die Initiierung der Bereitstellung von Kognitionstraining durch Hausärzte (Wechsel von Nicht-Angebot zu Angebot). Sekundäre Endpunkte: Selbstwirksamkeit der Anbieter, kognitive Funktion der Patienten, Abdeckung, Implementierungsmaße. Sechs Monate Intervention, sechs Monate Beobachtung zur Nachhaltigkeit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Fragen zu Implementierungshürden und -strategien für gemeindenahe Demenzprävention sind international relevant.</w:t>
      </w:r>
    </w:p>
    <w:p>
      <w:r>
        <w:rPr>
          <w:color w:val="5A7D3A"/>
          <w:sz w:val="18"/>
        </w:rPr>
        <w:t>https://pubmed.ncbi.nlm.nih.gov/42902222/</w:t>
      </w:r>
    </w:p>
    <w:p>
      <w:pPr>
        <w:pStyle w:val="Heading2"/>
      </w:pPr>
      <w:r>
        <w:t>Dramatische Techniken bei Trauma: Systematischer Überblick über 26 Studien mit unklarer Evidenzbasis</w:t>
      </w:r>
    </w:p>
    <w:p>
      <w:r>
        <w:rPr>
          <w:i/>
          <w:color w:val="666666"/>
          <w:sz w:val="18"/>
        </w:rPr>
        <w:t>Oliver E et al.  ·  Eur J Psychotraumatol  ·  20.10.2026  ·  PMID 42900683</w:t>
      </w:r>
    </w:p>
    <w:p>
      <w:r>
        <w:t>Systematische Übersicht über Studien zu dramatherapeutischen Interventionen (Psychodrama, Dramatherapie, angewandtes Theater) bei traumatisierten Personen; Beurteilung der Methodenqualität und Evidenzsicherheit.</w:t>
      </w:r>
    </w:p>
    <w:p>
      <w:r>
        <w:rPr>
          <w:b/>
        </w:rPr>
        <w:t xml:space="preserve">Ergebnis: </w:t>
      </w:r>
      <w:r>
        <w:t>26 von 1.461 Studien erfüllten Einschlusskriterien. Einige Arbeiten zeigten Verbesserungen in PTSD, Angst und Depression; Evidenzsicherheit wurde als sehr niedrig eingestuft wegen kleiner Stichproben, unkontrollierter Designs, heterogener Messung und unzureichender Interventionsbeschreibung. Klare Schlussfolgerungen zur Wirksamkeit sind nicht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Australien/international; Drama-basierte Ansätze zeigen Potenzial, aber rigoros gestaltete Studien mit standardisierter Messung sind erforderlich.</w:t>
      </w:r>
    </w:p>
    <w:p>
      <w:r>
        <w:rPr>
          <w:color w:val="5A7D3A"/>
          <w:sz w:val="18"/>
        </w:rPr>
        <w:t>https://pubmed.ncbi.nlm.nih.gov/42900683/</w:t>
      </w:r>
    </w:p>
    <w:p>
      <w:pPr>
        <w:pStyle w:val="Heading2"/>
      </w:pPr>
      <w:r>
        <w:t>Hybrid-Modell aus App und Psychotherapie verbessert Angst bei peripartalen Frauen</w:t>
      </w:r>
    </w:p>
    <w:p>
      <w:r>
        <w:rPr>
          <w:i/>
          <w:color w:val="666666"/>
          <w:sz w:val="18"/>
        </w:rPr>
        <w:t>Calvert E et al.  ·  BMC Pregnancy Childbirth  ·  24.07.2026  ·  PMID 42897493</w:t>
      </w:r>
    </w:p>
    <w:p>
      <w:r>
        <w:t>Studie zur Wirkung eines Hybrid-Care-Modells (Smartphone-App mindLAMP plus virtuelle CBT) auf Angst- und Depressionssymptome bei schwangeren und postpartalen Frauen (n=13 peripartal, n=39 Kontrollgruppe).</w:t>
      </w:r>
    </w:p>
    <w:p>
      <w:r>
        <w:rPr>
          <w:b/>
        </w:rPr>
        <w:t xml:space="preserve">Ergebnis: </w:t>
      </w:r>
      <w:r>
        <w:t>GAD-7-Scores bei peripartalen Frauen sanken von 14,4 (SD=5,0) auf 5,5 (SD=4,3), Reduktion um 8,9 Punkte (p&lt;0,01; d=-1,91, 95%-KI: -2,89 bis -0,93); PHQ-9 sank von 9,3 auf 5,6 (Reduktion 3,7 Punkte, p=0,055). Das Modell zeigte Versprechen für zugängliche, evidenzbasierte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Hybrid-Care-Modell könnte Gestaltung der Perinatalpsychiatrie in deutschen Kliniken informieren.</w:t>
      </w:r>
    </w:p>
    <w:p>
      <w:r>
        <w:rPr>
          <w:color w:val="5A7D3A"/>
          <w:sz w:val="18"/>
        </w:rPr>
        <w:t>https://pubmed.ncbi.nlm.nih.gov/42897493/</w:t>
      </w:r>
    </w:p>
    <w:p>
      <w:pPr>
        <w:pStyle w:val="Heading2"/>
      </w:pPr>
      <w:r>
        <w:t>EEG-Neurofeedback bei ADHS im Erwachsenenalter: Systematische Übersicht zeigt keine Wirksamkeit über Placebo</w:t>
      </w:r>
    </w:p>
    <w:p>
      <w:r>
        <w:rPr>
          <w:i/>
          <w:color w:val="666666"/>
          <w:sz w:val="18"/>
        </w:rPr>
        <w:t>Rotkiewicz M et al.  ·  J Neurodev Disord  ·  22.07.2026  ·  PMID 42897476</w:t>
      </w:r>
    </w:p>
    <w:p>
      <w:r>
        <w:t>Systematische Übersicht nach PRISMA-Richtlinien über Studien zu EEG-Neurofeedback bei Erwachsenen mit ADHS (Datenbank bis Oktober 2025); Endpunkte: Symptomänderung, kognitive Leistung, Neurophysiologie, Nebenwirkungen.</w:t>
      </w:r>
    </w:p>
    <w:p>
      <w:r>
        <w:rPr>
          <w:b/>
        </w:rPr>
        <w:t xml:space="preserve">Ergebnis: </w:t>
      </w:r>
      <w:r>
        <w:t>Sieben Studien (drei RCTs, vier nicht-randomisiert; n=390) eingeschlossen. Naturalistische und personalisierte Studien berichteten große Symptomreduktionen; RCTs zeigten kleine, meist nicht-signifikante Effekte gegenüber Kontrollen. Kognitive Verbesserungen inkonsistent und größtenteils Praxiseffekte. Elektrophysiologische Veränderungen waren protokollspezifisch ohne Konvergenz. Keine behandlungsbezogenen Nebenwirkungen. Schlussfolgerung: RCTs zeigen keine Überlegenheit über Placebo; methodische Heterogenität, kleine Stichproben, variable Kontrollen, fehlende Standardisierung begrenzen Evidenzsicherheit.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(Durchführung), aber Befund zur Ineffektivität ist populationsunabhängig.</w:t>
      </w:r>
    </w:p>
    <w:p>
      <w:r>
        <w:rPr>
          <w:color w:val="5A7D3A"/>
          <w:sz w:val="18"/>
        </w:rPr>
        <w:t>https://pubmed.ncbi.nlm.nih.gov/42897476/</w:t>
      </w:r>
    </w:p>
    <w:p>
      <w:pPr>
        <w:pStyle w:val="Heading2"/>
      </w:pPr>
      <w:r>
        <w:t>Rock-and-Roll-Tanzen reduziert Angst und verbessert Selbstwirksamkeit bei chinesischen Studierenden</w:t>
      </w:r>
    </w:p>
    <w:p>
      <w:r>
        <w:rPr>
          <w:i/>
          <w:color w:val="666666"/>
          <w:sz w:val="18"/>
        </w:rPr>
        <w:t>He Y et al.  ·  Front Public Health  ·  02.10.2026  ·  PMID 42890720</w:t>
      </w:r>
    </w:p>
    <w:p>
      <w:r>
        <w:t>Dreigliedrige Längsschnittstudie (mixed-methods) zu Effekten von Rock-n-Roll-Tanzsport (Jive, Cha-Cha) auf Selbstwirksamkeit, Angst (GAD-7) und Herzratenvariabilität über 6 Monate bei 152 chinesischen Studierenden (n=131 bei T3), mit Interviews und Beobachtung.</w:t>
      </w:r>
    </w:p>
    <w:p>
      <w:r>
        <w:rPr>
          <w:b/>
        </w:rPr>
        <w:t xml:space="preserve">Ergebnis: </w:t>
      </w:r>
      <w:r>
        <w:t>Hochfrequente Teilnehmer (≥3 Sitzungen/Woche) vs. Niedrigfrequente (1-2 Sitzungen/Woche) zeigten signifikante Haupteffekte: höhere Gesamtselbstwirksamkeit (β=3,60, p&lt;0,001), höhere soziale Selbstwirksamkeit (β=8,62, p&lt;0,001), niedrigere GAD-7 (β=-2,80, p&lt;0,001), höhere HRV (β=7,64 ms, p&lt;0,001). Zeit×Frequenz-Interaktionen zeigten größere Verbesserungen bei Hochfrequenten über 6 Monate in sozialer Selbstwirksamkeit (T2: β=2,40, p=0,001; T3: β=2,37, p=0,001) und HRV (T3: β=3,10, p=0,004). Qualitative Themen: rhythmische Synchronisation als affektiver Katalysator, verkörperte Meisterschaft, synchronisierte Partnerschaft, Sinnbildung.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strukturierte, kunstbasierte körperliche Aktivitäten könnten in Deutschland als niedrigschwelliges, nicht-stigmatisierendes Angebot für Studierende modelliert werden.</w:t>
      </w:r>
    </w:p>
    <w:p>
      <w:r>
        <w:rPr>
          <w:color w:val="5A7D3A"/>
          <w:sz w:val="18"/>
        </w:rPr>
        <w:t>https://pubmed.ncbi.nlm.nih.gov/42890720/</w:t>
      </w:r>
    </w:p>
    <w:p>
      <w:pPr>
        <w:pStyle w:val="Heading2"/>
      </w:pPr>
      <w:r>
        <w:t>Donoren-Empfänger-Beziehung beeinflusst psychische Gesundheit lebender Nierenspendern nicht, aber Pflegelast und Verantwortung sehr</w:t>
      </w:r>
    </w:p>
    <w:p>
      <w:r>
        <w:rPr>
          <w:i/>
          <w:color w:val="666666"/>
          <w:sz w:val="18"/>
        </w:rPr>
        <w:t>Papachristou C et al.  ·  Transpl Int  ·  02.09.2026  ·  PMID 42751546</w:t>
      </w:r>
    </w:p>
    <w:p>
      <w:r>
        <w:t>Europäische Zweizentrum-Studie an 713 lebenden Nierenspendern (Berlin und Barcelona) zu Lebensqualität und psychologischen Ergebnissen (Angst, Depression, Somatisierung) in Beziehung zu Donoren-Empfänger-Relation, Pflegerolle, Pflegelast und wahrgenommener Verantwortung.</w:t>
      </w:r>
    </w:p>
    <w:p>
      <w:r>
        <w:rPr>
          <w:b/>
        </w:rPr>
        <w:t xml:space="preserve">Ergebnis: </w:t>
      </w:r>
      <w:r>
        <w:t>Nach Adjustierung für Geschlecht, Alter, Zentrum und Zeit seit Spende: Beziehungstyp nicht mit körperlichem Wohlbefinden assoziiert, aber mit psychischem Wohlbefinden (Ehegatten-Spender hatten niedrigeres psychisches Wohlbefinden als genetisch verwandte Spender). Pflegerolle: niedrigeres psychisches Wohlbefinden und erhöhte Angst; Pflegelast: höhere Somatisierung; wahrgenommene Verantwortung für Empfängergesundheit: höhere Depression. Unterschiede zwischen Zentren reflektieren kulturelle und organisatorische Charakteristiken.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Deutschland/DACH: Vergleichbares Transplantationssystem, ähnliche ethische Rahmenbedingungen.</w:t>
      </w:r>
    </w:p>
    <w:p>
      <w:r>
        <w:rPr>
          <w:color w:val="5A7D3A"/>
          <w:sz w:val="18"/>
        </w:rPr>
        <w:t>https://pubmed.ncbi.nlm.nih.gov/42751546/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