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31.08.2026  |  6 Studien  |  mental.m-vf.de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Intersektorale Versorgungskoordination für ältere Menschen mit kognitiven Störungen: Prozessevaluation aus Deutschland</w:t>
      </w:r>
    </w:p>
    <w:p>
      <w:r>
        <w:rPr>
          <w:i/>
          <w:color w:val="666666"/>
          <w:sz w:val="18"/>
        </w:rPr>
        <w:t>Chikhradze N et al.  ·  Trials  ·  29.08.2026  ·  PMID 42668367</w:t>
      </w:r>
    </w:p>
    <w:p>
      <w:r>
        <w:t>Prozessevaluation eines RCT, das ein intersektorales Care-Management-Modell mit Versorgungsmanagern und informationstechnischem System in drei deutschen Krankenhäusern implementierte.</w:t>
      </w:r>
    </w:p>
    <w:p>
      <w:r>
        <w:rPr>
          <w:b/>
        </w:rPr>
        <w:t xml:space="preserve">Ergebnis: </w:t>
      </w:r>
      <w:r>
        <w:t>Care Manager konnten Bedarfe nur teilweise erfassen und Koordination zwischen Akutklinik und Grundversorgung etablieren; rigide Alltagsroutinen und Zeitmangel behinderten die Zusammenarbeit zwischen den Versorgungssektoren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 Studiendesign in Routineversorgung zweier Bundesländer</w:t>
      </w:r>
    </w:p>
    <w:p>
      <w:r>
        <w:rPr>
          <w:color w:val="5A7D3A"/>
          <w:sz w:val="18"/>
        </w:rPr>
        <w:t>https://pubmed.ncbi.nlm.nih.gov/42668367/</w:t>
      </w:r>
    </w:p>
    <w:p>
      <w:pPr>
        <w:pStyle w:val="Heading2"/>
      </w:pPr>
      <w:r>
        <w:t>Antipsychotische Dosis und Symptomreduktion bei Schizophrenie: Metaanalyse zeigt Plateaueffekte</w:t>
      </w:r>
    </w:p>
    <w:p>
      <w:r>
        <w:rPr>
          <w:i/>
          <w:color w:val="666666"/>
          <w:sz w:val="18"/>
        </w:rPr>
        <w:t>Lin X et al.  ·  Schizophr Bull  ·  20.08.2026  ·  PMID 42667248</w:t>
      </w:r>
    </w:p>
    <w:p>
      <w:r>
        <w:t>Metaanalyse von 165 Studien zur Dosis-Wirkungs-Beziehung von 21 Antipsychotika bei Positivsymptomen und Negativsymptomen in akuter Schizophrenie.</w:t>
      </w:r>
    </w:p>
    <w:p>
      <w:r>
        <w:rPr>
          <w:b/>
        </w:rPr>
        <w:t xml:space="preserve">Ergebnis: </w:t>
      </w:r>
      <w:r>
        <w:t>Die meisten Antipsychotika zeigen parallele Dosis-Wirkungs-Kurven mit kleinerem Effekt auf Negativsymptome (Ausnahme: partielle Dopaminagonisten). Beide Kurven plateauieren oder sinken nach einem Wendepunkt, was auf optimale Dosisbereichs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 – wirksam für Dosierungsrichtlinien unabhängig vom System</w:t>
      </w:r>
    </w:p>
    <w:p>
      <w:r>
        <w:rPr>
          <w:color w:val="5A7D3A"/>
          <w:sz w:val="18"/>
        </w:rPr>
        <w:t>https://pubmed.ncbi.nlm.nih.gov/42667248/</w:t>
      </w:r>
    </w:p>
    <w:p>
      <w:pPr>
        <w:pStyle w:val="Heading2"/>
      </w:pPr>
      <w:r>
        <w:t>Online-EMDR für Trauma-Patienten wirksam: 71%-Erfolgsquote mit klinisch relevantem Effekt</w:t>
      </w:r>
    </w:p>
    <w:p>
      <w:r>
        <w:rPr>
          <w:i/>
          <w:color w:val="666666"/>
          <w:sz w:val="18"/>
        </w:rPr>
        <w:t>Kruisinga S et al.  ·  Eur J Psychotraumatol  ·  24.08.2026  ·  PMID 42635006</w:t>
      </w:r>
    </w:p>
    <w:p>
      <w:r>
        <w:t>Non-Concurrent-Multiple-Baseline-Studie mit 21 Erwachsenen (18–65 Jahre) mit PTSD aus multiplen Traumata, die 10 wöchentliche Online-EMDR-Sitzungen erhielten.</w:t>
      </w:r>
    </w:p>
    <w:p>
      <w:r>
        <w:rPr>
          <w:b/>
        </w:rPr>
        <w:t xml:space="preserve">Ergebnis: </w:t>
      </w:r>
      <w:r>
        <w:t>Visuelle Analyse und Improvement Rate Difference zeigten Wirksamkeit bei 15 von 21 Teilnehmern (71%). Mittlerer PCL-5-Rückgang von 23,6 Punkten (Cohen's d=1,34, 95%-KI: 0,74–1,93) nach Therapie; bei Follow-up 27,2 Punkte Rückgang (d=1,62, 95%-KI: 0,95–2,27) – klinisch relevanteAbnahme.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– vergleichbares europäisches Gesundheitssystem</w:t>
      </w:r>
    </w:p>
    <w:p>
      <w:r>
        <w:rPr>
          <w:color w:val="5A7D3A"/>
          <w:sz w:val="18"/>
        </w:rPr>
        <w:t>https://pubmed.ncbi.nlm.nih.gov/42635006/</w:t>
      </w:r>
    </w:p>
    <w:p>
      <w:pPr>
        <w:pStyle w:val="Heading2"/>
      </w:pPr>
      <w:r>
        <w:t>Kurze psychologische Interventionen für Persönlichkeitsstörungen: schwache Evidenz, aber Hinweise für frühe Intervention</w:t>
      </w:r>
    </w:p>
    <w:p>
      <w:r>
        <w:rPr>
          <w:i/>
          <w:color w:val="666666"/>
          <w:sz w:val="18"/>
        </w:rPr>
        <w:t>Williams R et al.  ·  Personal Ment Health  ·  Aug. 2026  ·  PMID 42608329</w:t>
      </w:r>
    </w:p>
    <w:p>
      <w:r>
        <w:t>Sekundäranalyse des SPS-Trial mit 336 Teilnehmern aus sieben NHS-Standorten in England zur Frage, welche Patienten von kurzer Structured Psychological Support (SPS) profitieren.</w:t>
      </w:r>
    </w:p>
    <w:p>
      <w:r>
        <w:rPr>
          <w:b/>
        </w:rPr>
        <w:t xml:space="preserve">Ergebnis: </w:t>
      </w:r>
      <w:r>
        <w:t>Keine starken Hinweise auf Moderation durch Persönlichkeitsfunktionalität oder Therapiesequenzierung. Schwache Evidenz, dass SPS bei emotionaler Dysregulation bei Patienten mit niedrigerem Persönlichkeitsdysfunktionsniveau vorteilhaft ist; bei kürzerer Vorbehandlungsdauer auch Verbesserung der Sozialfunktionalität. Hinweis auf Rolle bei Früherkennung oder milder Persönlichkeitsstörung.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englisches NHS-System, Versorgungsforschung</w:t>
      </w:r>
    </w:p>
    <w:p>
      <w:r>
        <w:rPr>
          <w:color w:val="5A7D3A"/>
          <w:sz w:val="18"/>
        </w:rPr>
        <w:t>https://pubmed.ncbi.nlm.nih.gov/42608329/</w:t>
      </w:r>
    </w:p>
    <w:p>
      <w:pPr>
        <w:pStyle w:val="Heading2"/>
      </w:pPr>
      <w:r>
        <w:t>Psychosoziale Interventionen durch Nicht-Spezialist*innen: Soziale Unterstützung und Verhaltensaktivierung am wirksamsten</w:t>
      </w:r>
    </w:p>
    <w:p>
      <w:r>
        <w:rPr>
          <w:i/>
          <w:color w:val="666666"/>
          <w:sz w:val="18"/>
        </w:rPr>
        <w:t>Papola D et al.  ·  Lancet Psychiatry  ·  03.08.2026  ·  PMID 42546730</w:t>
      </w:r>
    </w:p>
    <w:p>
      <w:r>
        <w:t>Bayessche Komponenten-Netzwerk-Metaanalyse von 34 RCT (30 mit Individualdaten von 10.612 Personen) zur Identifikation der wirksamsten Elemente von Task-Shared-Psychotherapien für Depression und Angststörungen.</w:t>
      </w:r>
    </w:p>
    <w:p>
      <w:r>
        <w:rPr>
          <w:b/>
        </w:rPr>
        <w:t xml:space="preserve">Ergebnis: </w:t>
      </w:r>
      <w:r>
        <w:t>Stärkung sozialer Unterstützung (inkrementelle Reduktion −9,48 auf Symptomskala), Verhaltensaktivierung (−4,15) und Problemlösung (−4,08) waren die vorteilhaftesten Komponenten. Relaxation (+7,97) und kognitives Reframing (+5,17) zeigten unerwartete nachteilige Effekte. Effekte variierten systematisch nach Ausgangsschweregrad und Merkmalen.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Daten – übertragbar auf deutsches Primärversorgungssystem</w:t>
      </w:r>
    </w:p>
    <w:p>
      <w:r>
        <w:rPr>
          <w:color w:val="5A7D3A"/>
          <w:sz w:val="18"/>
        </w:rPr>
        <w:t>https://pubmed.ncbi.nlm.nih.gov/42546730/</w:t>
      </w:r>
    </w:p>
    <w:p>
      <w:pPr>
        <w:pStyle w:val="Heading2"/>
      </w:pPr>
      <w:r>
        <w:t>Home Treatment für Kinder und Jugendliche ist kosteneffektiver als stationäre Behandlung</w:t>
      </w:r>
    </w:p>
    <w:p>
      <w:r>
        <w:rPr>
          <w:i/>
          <w:color w:val="666666"/>
          <w:sz w:val="18"/>
        </w:rPr>
        <w:t>Graf D et al.  ·  Swiss Med Wkly  ·  29.06.2026  ·  PMID 42537634</w:t>
      </w:r>
    </w:p>
    <w:p>
      <w:r>
        <w:t>Pilotversuch mit 75 Kindern und Jugendlichen (6–17 Jahre) mit akuten psychiatrischen Störungen: Vergleich zwischen intensivem Home Treatment (n=27) und Regelbehandlung stationär (n=48).</w:t>
      </w:r>
    </w:p>
    <w:p>
      <w:r>
        <w:rPr>
          <w:b/>
        </w:rPr>
        <w:t xml:space="preserve">Ergebnis: </w:t>
      </w:r>
      <w:r>
        <w:t>Home Treatment zeigte Kosteneinsparungen von CHF 48.591 (95%-KI: −108.493 bis 11.312) mit besseren Funktionsergebnissen (GAF-Verbesserung 9,41 Punkte). CEAC deutete 94,6%-ige Wahrscheinlichkeit der Kosteneffektivität an. Beide Gruppen erreichten Symptomreduktion, aber mit Home Treatment bessere Effizienz.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vergleichbares Versicherungssystem, Kostenträgerperspektive</w:t>
      </w:r>
    </w:p>
    <w:p>
      <w:r>
        <w:rPr>
          <w:color w:val="5A7D3A"/>
          <w:sz w:val="18"/>
        </w:rPr>
        <w:t>https://pubmed.ncbi.nlm.nih.gov/42537634/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