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07.10.2026  |  6 Studien  |  mental.m-vf.de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Neurokognitive Störungen im höheren Alter: Erkennung in Primärversorgung ist multidisziplinäre Aufgabe</w:t>
      </w:r>
    </w:p>
    <w:p>
      <w:r>
        <w:rPr>
          <w:i/>
          <w:color w:val="666666"/>
          <w:sz w:val="18"/>
        </w:rPr>
        <w:t>Barbe A et al.  ·  Sante Publique  ·  2026  ·  PMID 42838901</w:t>
      </w:r>
    </w:p>
    <w:p>
      <w:r>
        <w:t>Französische qualitative Fokusgruppen-Studie mit 10 Primärversorgungsfachleuten zu Rolle, Wahrnehmung und Hürden bei Früherkennung neurokognitiver Störungen bei älteren Menschen.</w:t>
      </w:r>
    </w:p>
    <w:p>
      <w:r>
        <w:rPr>
          <w:b/>
        </w:rPr>
        <w:t xml:space="preserve">Ergebnis: </w:t>
      </w:r>
      <w:r>
        <w:t>Alle Fachleute erkannten ihre Fähigkeit zur Früherkennung und Symptomerfassung an; Diagnose folgte aber nicht immer. Barrieren: Wissenslücken, Arbeitskontextkonflikte, Patientenverweigerung. Interprofessionelle Zusammenarbeit als essentiell identifiziert, begrenzt durch Kommunikationsschwierigkeiten und ethische Bedenken. Fachleute erwarten besseren Informationsaustausch und effektivere Partnerschaft; Forderung nach geriatrischem Advanced-Practice-Nursing und Koordinierungstools.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zeigt strukturelle Schnittstellenprobleme, transferierbar auf deutsche Primärversorgung</w:t>
      </w:r>
    </w:p>
    <w:p>
      <w:r>
        <w:rPr>
          <w:color w:val="5A7D3A"/>
          <w:sz w:val="18"/>
        </w:rPr>
        <w:t>https://pubmed.ncbi.nlm.nih.gov/42838901/</w:t>
      </w:r>
    </w:p>
    <w:p>
      <w:pPr>
        <w:pStyle w:val="Heading2"/>
      </w:pPr>
      <w:r>
        <w:t>COVID-19-Krise verstärkte psychische Vulnerabilität bei jungen Erwachsenen und älteren Menschen unterschiedlich</w:t>
      </w:r>
    </w:p>
    <w:p>
      <w:r>
        <w:rPr>
          <w:i/>
          <w:color w:val="666666"/>
          <w:sz w:val="18"/>
        </w:rPr>
        <w:t>Sposito-Tourier M et al.  ·  Sante Publique  ·  2026  ·  PMID 42838892</w:t>
      </w:r>
    </w:p>
    <w:p>
      <w:r>
        <w:t>Französische Mixed-Methods-Studie mit Daten aus dem nationalen Gesundheitssystem (2016-2021) und 29 Interviews zu Auswirkungen der COVID-19-Pandemie auf psychiatrische Behandlungsverläufe und Zugangsformen.</w:t>
      </w:r>
    </w:p>
    <w:p>
      <w:r>
        <w:rPr>
          <w:b/>
        </w:rPr>
        <w:t xml:space="preserve">Ergebnis: </w:t>
      </w:r>
      <w:r>
        <w:t>Junge Menschen wurden während der Krise häufiger hospitalisiert, Personen ab 50 Jahren zeigten höheren Psychopharmaka-Gebrauch. Heterogene Behandlungsverlauf von episodischen Kontakten bis zur Langzeitbetreuung; die Krankheitsauslösung fiel nicht immer mit Lockdown-Phasen zusammen. Die Krise katalysierte latente psychische und soziale Anfälligkeiten.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(SNDS-Daten), vergleichbares Sozialversicherungssystem, altersgerechte Versorgungstrends ablesbar</w:t>
      </w:r>
    </w:p>
    <w:p>
      <w:r>
        <w:rPr>
          <w:color w:val="5A7D3A"/>
          <w:sz w:val="18"/>
        </w:rPr>
        <w:t>https://pubmed.ncbi.nlm.nih.gov/42838892/</w:t>
      </w:r>
    </w:p>
    <w:p>
      <w:pPr>
        <w:pStyle w:val="Heading2"/>
      </w:pPr>
      <w:r>
        <w:t>Hochintensive körperliche Trainings in Suchtbehandlung: Qualitatives Verständnis von Adhärenz-Barrieren erforderlich</w:t>
      </w:r>
    </w:p>
    <w:p>
      <w:r>
        <w:rPr>
          <w:i/>
          <w:color w:val="666666"/>
          <w:sz w:val="18"/>
        </w:rPr>
        <w:t>Bahl NKHKH et al.  ·  BMJ Open  ·  06.10.2026  ·  PMID 42838589</w:t>
      </w:r>
    </w:p>
    <w:p>
      <w:r>
        <w:t>Norwegisches Studienprotokoll für qualitative Collaborating Health Services Study zu Erfahrungen und Adhärenz von 20 stationären Suchtpatienten für hochintensive körperliche Trainingsinterventionen (HIT) innerhalb der Fachbehandlung.</w:t>
      </w:r>
    </w:p>
    <w:p>
      <w:r>
        <w:rPr>
          <w:b/>
        </w:rPr>
        <w:t xml:space="preserve">Ergebnis: </w:t>
      </w:r>
      <w:r>
        <w:t>Studiendesign auf Basis von Erkenntnissen, dass HIT für Suchtpatienten wirksam ist, aber Adhärenz insuffizient verstanden bleibt. Geplant: in-depth Interviews mit 10 Adhärenten und 10 Nicht-Adhärenten zu Erleichterungen und Barrieren, analysiert mit Personen mit Lived Experience. Ziel: patient-zentriertes Verständnis zur Integration von HIT in Suchtbehandlung.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 spezialisierte Versorgungsstruktur für Suchterkrankungen, Fokus auf Implementierungsforschung</w:t>
      </w:r>
    </w:p>
    <w:p>
      <w:r>
        <w:rPr>
          <w:color w:val="5A7D3A"/>
          <w:sz w:val="18"/>
        </w:rPr>
        <w:t>https://pubmed.ncbi.nlm.nih.gov/42838589/</w:t>
      </w:r>
    </w:p>
    <w:p>
      <w:pPr>
        <w:pStyle w:val="Heading2"/>
      </w:pPr>
      <w:r>
        <w:t>Psilocybin-Gebrauch bei Depression: Keine Konkurrenz zu Standardbehandlung, aber ungedeckter Bedarf signalisiert</w:t>
      </w:r>
    </w:p>
    <w:p>
      <w:r>
        <w:rPr>
          <w:i/>
          <w:color w:val="666666"/>
          <w:sz w:val="18"/>
        </w:rPr>
        <w:t>Eun AC et al.  ·  Psychol Med  ·  06.10.2026  ·  PMID 42834832</w:t>
      </w:r>
    </w:p>
    <w:p>
      <w:r>
        <w:t>US-Querschnittstudie mit 6.793 Personen mit depressiver Episode aus dem National Survey on Drug Use and Health 2024 zu Zusammenhang zwischen Psilocybin-Konsum und Inanspruchnahme psychiatrischer Standardbehandlung.</w:t>
      </w:r>
    </w:p>
    <w:p>
      <w:r>
        <w:rPr>
          <w:b/>
        </w:rPr>
        <w:t xml:space="preserve">Ergebnis: </w:t>
      </w:r>
      <w:r>
        <w:t>7,3 % der Personen mit depressiver Episode nutzten Psilocybin im Vorjahr. Nach Adjustierung war Psilocybin-Gebrauch nicht assoziiert mit ambulanter, stationärer oder Telehealth-Behandlung, Psychopharmaka oder Arztkontakt. Signifikante Assoziation mit wahrgenommenem ungedecktem Behandlungsbedarf (52,0 % vs. 33,9 %, aPR=1,44, 95%-KI 1,04-2,01).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Befund ist versorgungspolitisch relevant: Signalisiert Behandlungslücken, nicht Substitionsverhalten</w:t>
      </w:r>
    </w:p>
    <w:p>
      <w:r>
        <w:rPr>
          <w:color w:val="5A7D3A"/>
          <w:sz w:val="18"/>
        </w:rPr>
        <w:t>https://pubmed.ncbi.nlm.nih.gov/42834832/</w:t>
      </w:r>
    </w:p>
    <w:p>
      <w:pPr>
        <w:pStyle w:val="Heading2"/>
      </w:pPr>
      <w:r>
        <w:t>Brief-Interventionen gegen Alkoholvergiftung erreichen auch Menschen mit mehreren Risikofaktoren</w:t>
      </w:r>
    </w:p>
    <w:p>
      <w:r>
        <w:rPr>
          <w:i/>
          <w:color w:val="666666"/>
          <w:sz w:val="18"/>
        </w:rPr>
        <w:t>Krolo-Wicovsky F et al.  ·  Patient Educ Couns  ·  08.09.2026  ·  PMID 42767091</w:t>
      </w:r>
    </w:p>
    <w:p>
      <w:r>
        <w:t>Deutsche RCT mit 961 hospitalisierten Patienten mit riskantem Alkoholkonsum, randomisiert zu motivierender Gesprächsführung, computergestütztem Feedback oder Kontrolle, mit Nachverfolgung über 24 Monate.</w:t>
      </w:r>
    </w:p>
    <w:p>
      <w:r>
        <w:rPr>
          <w:b/>
        </w:rPr>
        <w:t xml:space="preserve">Ergebnis: </w:t>
      </w:r>
      <w:r>
        <w:t>Erreichen (p=0,677) und Wirksamkeit (p=0,179) waren unabhängig von der Zahl komorbider Verhaltensrisiken. Bei Patienten mit drei komorbiden Risikofaktoren zeigten beide Interventionen signifikante Alkoholreduktion (computergestütztes Feedback bis Monat 24: p=0,004; persönliche Beratung bis Monat 18: p=0,044). Beide Formate waren gleich wirksam über alle Risikoprofile.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(Greifswald), dokumentiert Erreichen schwer zugänglicher Gruppen durch proaktive Ansprache</w:t>
      </w:r>
    </w:p>
    <w:p>
      <w:r>
        <w:rPr>
          <w:color w:val="5A7D3A"/>
          <w:sz w:val="18"/>
        </w:rPr>
        <w:t>https://pubmed.ncbi.nlm.nih.gov/42767091/</w:t>
      </w:r>
    </w:p>
    <w:p>
      <w:pPr>
        <w:pStyle w:val="Heading2"/>
      </w:pPr>
      <w:r>
        <w:t>Pflegestudierende erleben Diskrepanz zwischen Digitalethik-Bewusstsein und Praxis</w:t>
      </w:r>
    </w:p>
    <w:p>
      <w:r>
        <w:rPr>
          <w:i/>
          <w:color w:val="666666"/>
          <w:sz w:val="18"/>
        </w:rPr>
        <w:t>Bayram A et al.  ·  Int Nurs Rev  ·  Sept. 2026  ·  PMID 42765544</w:t>
      </w:r>
    </w:p>
    <w:p>
      <w:r>
        <w:t>Qualitative Studie in drei europäischen Ländern (Italien, Polen, Türkei) mit 46 Pflegestudierenden zu Wahrnehmung und Erfahrung digitaler Ethik in der klinischen Ausbildung.</w:t>
      </w:r>
    </w:p>
    <w:p>
      <w:r>
        <w:rPr>
          <w:b/>
        </w:rPr>
        <w:t xml:space="preserve">Ergebnis: </w:t>
      </w:r>
      <w:r>
        <w:t>Studierende zeigten substantielles Bewusstsein für digitale Ethik, begegneten aber erheblichen Unsicherheiten und Inkonsistenzen bei Patientenconsent und Datenhandhabung. Berichtete Verletzungen auf individueller und Peer-Ebene; Ursachen: Ausbildungsdruck, unzureichende ethische Schulung, Nutzung privater Geräte, Einfluss von Rollenmodellen. Interprofessionelle Zusammenarbeit und strukturiertes Training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EU-Länder, zeigt strukturelle Defizite in Gesundheitsfachberufe-Ausbildung bei digitalen Standards</w:t>
      </w:r>
    </w:p>
    <w:p>
      <w:r>
        <w:rPr>
          <w:color w:val="5A7D3A"/>
          <w:sz w:val="18"/>
        </w:rPr>
        <w:t>https://pubmed.ncbi.nlm.nih.gov/42765544/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