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15.10.2026  |  6 Studien  |  mental.m-vf.de</w:t>
      </w:r>
    </w:p>
    <w:p>
      <w:pPr>
        <w:pStyle w:val="Heading1"/>
      </w:pPr>
      <w:r>
        <w:t>Aufgenommen am 15.10.2026</w:t>
      </w:r>
    </w:p>
    <w:p>
      <w:pPr>
        <w:pStyle w:val="Heading2"/>
      </w:pPr>
      <w:r>
        <w:t>Zwangsbehandlung führte zu schlechteren Langzeitergebnissen als freiwillige Versorgung</w:t>
      </w:r>
    </w:p>
    <w:p>
      <w:r>
        <w:rPr>
          <w:i/>
          <w:color w:val="666666"/>
          <w:sz w:val="18"/>
        </w:rPr>
        <w:t>Hofstad T et al.  ·  Lancet Psychiatry  ·  Nov. 2026  ·  PMID 42874602</w:t>
      </w:r>
    </w:p>
    <w:p>
      <w:r>
        <w:t>Norwegische Registerstudie verglich Langzeitergebnisse von erwachsenen Patienten unter Community Treatment Orders, Zwangseinweisung, Zwangsbeobachtung und freiwilliger psychiatrischer Behandlung über 6-8 Jahre.</w:t>
      </w:r>
    </w:p>
    <w:p>
      <w:r>
        <w:rPr>
          <w:b/>
        </w:rPr>
        <w:t xml:space="preserve">Ergebnis: </w:t>
      </w:r>
      <w:r>
        <w:t>Patienten unter Zwangsmaßnahmen zeigten deutlich schlechtere Ergebnisse: Selbstverletzung oder Suizid bei 12,1% der Frauen unter Zwangsbeobachtung (adjustiert 12%, 95%-KI 10–14) versus 5,7% der Männer (adjustiert 5,5%, 4,4–6,9); Substanzstörung bei 39–53%; Gewaltdelikte bei 14–37%. Suizid und externe Ursachen machten 55,7% der Todesfälle in der Zwangsbeobachtungsgruppe aus. Die Ergebnisse unterstreichen, dass Zwangsmaßnahmen keine homogene Prognosepopulation darstellen.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vergleichbares Versicherungssystem, PsychKG-analoge Gesetze</w:t>
      </w:r>
    </w:p>
    <w:p>
      <w:r>
        <w:rPr>
          <w:color w:val="5A7D3A"/>
          <w:sz w:val="18"/>
        </w:rPr>
        <w:t>https://pubmed.ncbi.nlm.nih.gov/42874602/</w:t>
      </w:r>
    </w:p>
    <w:p>
      <w:pPr>
        <w:pStyle w:val="Heading2"/>
      </w:pPr>
      <w:r>
        <w:t>Suchtmedizinische Konsildienste erhöhten MOUD-Einleitung auf 21% bei hospitalisierten Opioidpatienten</w:t>
      </w:r>
    </w:p>
    <w:p>
      <w:r>
        <w:rPr>
          <w:i/>
          <w:color w:val="666666"/>
          <w:sz w:val="18"/>
        </w:rPr>
        <w:t>Dillen M et al.  ·  J Opioid Manag  ·  Sept. 2026  ·  PMID 42873157</w:t>
      </w:r>
    </w:p>
    <w:p>
      <w:r>
        <w:t>US-amerikanische retrospektive Kohortenstudie (n=504 Patienten) zum Einfluss eines Addiction Medicine Consult Service (AMCS) auf die Einleitung von Medikationen gegen Opioidabhängigkeit (MOUD) in zwei Krankenhäusern.</w:t>
      </w:r>
    </w:p>
    <w:p>
      <w:r>
        <w:rPr>
          <w:b/>
        </w:rPr>
        <w:t xml:space="preserve">Ergebnis: </w:t>
      </w:r>
      <w:r>
        <w:t>Standort 1 (mit AMCS ab 2021): MOUD-Einleitung stieg von 8% (10/126 Baseline) auf 21% (26/126 Post-Periode), Differenz 13% (95%-KI 4–21%, p=0,004). Standort 2 (ohne AMCS): unverändert 5% auf 6% (Differenz 1,6%, 95%-KI −4–7,5%, p=0,582). AMCS-Verfügbarkeit war mit erhöhter MOUD-Initiierungsrate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- Suchtbehandlung in Krankenhäusern, begrenzte deutsche Übertragbarkeit</w:t>
      </w:r>
    </w:p>
    <w:p>
      <w:r>
        <w:rPr>
          <w:color w:val="5A7D3A"/>
          <w:sz w:val="18"/>
        </w:rPr>
        <w:t>https://pubmed.ncbi.nlm.nih.gov/42873157/</w:t>
      </w:r>
    </w:p>
    <w:p>
      <w:pPr>
        <w:pStyle w:val="Heading2"/>
      </w:pPr>
      <w:r>
        <w:t>Co-Design-Toolkit verbessert Zugang zu gemeinschaftlichen Ressourcen für Suchtbehandlung</w:t>
      </w:r>
    </w:p>
    <w:p>
      <w:r>
        <w:rPr>
          <w:i/>
          <w:color w:val="666666"/>
          <w:sz w:val="18"/>
        </w:rPr>
        <w:t>Beardmore A et al.  ·  Front Public Health  ·  29.09.2026  ·  PMID 42871138</w:t>
      </w:r>
    </w:p>
    <w:p>
      <w:r>
        <w:t>Britische partizipative Studie mit 12-Wochen-Co-Creation-Workshops (Nutzer, Peer Mentors, Personal) zur Identifikation von Barrieren und Enablern für Zugang zu gemeinschaftlichen Assets bei Suchtbehandlung.</w:t>
      </w:r>
    </w:p>
    <w:p>
      <w:r>
        <w:rPr>
          <w:b/>
        </w:rPr>
        <w:t xml:space="preserve">Ergebnis: </w:t>
      </w:r>
      <w:r>
        <w:t>Zentrale Barrieren: Kosten, Transportprobleme, digitale Ausgrenzung, niedriges Selbstsicherheit, mangelnde Kenntnis. Enabler: Peer-Support, vertraute Beziehungen, praktische Anleitung, Erreichbarkeit. Motivatoren: Wohlbefinden, soziale Verbindung, persönliche Entwicklung. Ergebnis: Vier Toolkit-Komponenten entwickelt (6-Phasen-Engagement-Modell, Community-Connector-Rolle, Gesprächsleitfaden, digitale Plattform-Empfehlungen). Maßnahme adressiert praktische, soziale und informationelle Barrieren.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Suchtbehandlung mit Recovery Capital</w:t>
      </w:r>
    </w:p>
    <w:p>
      <w:r>
        <w:rPr>
          <w:color w:val="5A7D3A"/>
          <w:sz w:val="18"/>
        </w:rPr>
        <w:t>https://pubmed.ncbi.nlm.nih.gov/42871138/</w:t>
      </w:r>
    </w:p>
    <w:p>
      <w:pPr>
        <w:pStyle w:val="Heading2"/>
      </w:pPr>
      <w:r>
        <w:t>Mangelnde Zeitressource behindert Vertrauen zwischen Patient und Hausarzt bei Somatic Symptom Disorders</w:t>
      </w:r>
    </w:p>
    <w:p>
      <w:r>
        <w:rPr>
          <w:i/>
          <w:color w:val="666666"/>
          <w:sz w:val="18"/>
        </w:rPr>
        <w:t>Pohontsch NJ et al.  ·  BMC Psychiatry  ·  13.10.2026  ·  PMID 42870241</w:t>
      </w:r>
    </w:p>
    <w:p>
      <w:r>
        <w:t>Deutsche qualitative Studie mit 15 Patient-Arzt-Dyaden (30 Interviews) zu Kommunikation, Diagnose und Betreuung von Somatic Symptom Disorders in der Hausarztpraxis.</w:t>
      </w:r>
    </w:p>
    <w:p>
      <w:r>
        <w:rPr>
          <w:b/>
        </w:rPr>
        <w:t xml:space="preserve">Ergebnis: </w:t>
      </w:r>
      <w:r>
        <w:t>Kernfund: Mangelnde Zeitressourcen und Fokus auf Symptommanagement behindern gegenseitiges Vertrauen. Patienten berichten über Bedeutung persönlicher Situation, Beziehungen und Arbeit für ihre Symptome; Ärzte konzentrieren sich auf Koordination und Behandlungsstrategien. Schlüsselbefund: Mehr Zeit für Konsultationen und weniger Druck beim Symptommanagement könnten die gegenseitige Verstehensgrundlage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Hamburg UKE, Versorgungsrealität Hausarztpraxis</w:t>
      </w:r>
    </w:p>
    <w:p>
      <w:r>
        <w:rPr>
          <w:color w:val="5A7D3A"/>
          <w:sz w:val="18"/>
        </w:rPr>
        <w:t>https://pubmed.ncbi.nlm.nih.gov/42870241/</w:t>
      </w:r>
    </w:p>
    <w:p>
      <w:pPr>
        <w:pStyle w:val="Heading2"/>
      </w:pPr>
      <w:r>
        <w:t>Emotionale Einsamkeit stärker mit Lebensqualität älterer Frauen verknüpft als soziale Isolation</w:t>
      </w:r>
    </w:p>
    <w:p>
      <w:r>
        <w:rPr>
          <w:i/>
          <w:color w:val="666666"/>
          <w:sz w:val="18"/>
        </w:rPr>
        <w:t>Pérez-Ros P et al.  ·  Arch Psychiatr Nurs  ·  07.08.2026  ·  PMID 42863900</w:t>
      </w:r>
    </w:p>
    <w:p>
      <w:r>
        <w:t>Spanische Querschnittstudie (n=250 Frauen ≥60 Jahre) zur Assoziation emotionaler und sozialer Einsamkeit mit körperlicher und psychischer Lebensqualität mittels De Jong Gierveld Loneliness Scale und SF-12.</w:t>
      </w:r>
    </w:p>
    <w:p>
      <w:r>
        <w:rPr>
          <w:b/>
        </w:rPr>
        <w:t xml:space="preserve">Ergebnis: </w:t>
      </w:r>
      <w:r>
        <w:t>57,6% berichteten moderate Einsamkeit, 7,2% schwere. Einsamkeit korrelierte mit schlechterer körperlicher Lebensqualität (ρ=−0,178) und mentaler (ρ=−0,315). Emotionale Einsamkeit zeigte stärkere Assoziationen (PCS: ρ=−0,215; MCS: ρ=−0,347) als soziale Isolation. In Regressionsanalyse blieb nur emotionale Einsamkeit signifikant für beide Komponenten (B=−1,26 für körperlich, p=0,002; B=−2,16 für mental, p&lt;0,001). Gefühl der Leere stärkste Assoziation mit schlechterer psychischer Lebensqualität.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Langzeitpflege und Prävention Alterseinsamkeit</w:t>
      </w:r>
    </w:p>
    <w:p>
      <w:r>
        <w:rPr>
          <w:color w:val="5A7D3A"/>
          <w:sz w:val="18"/>
        </w:rPr>
        <w:t>https://pubmed.ncbi.nlm.nih.gov/42863900/</w:t>
      </w:r>
    </w:p>
    <w:p>
      <w:pPr>
        <w:pStyle w:val="Heading2"/>
      </w:pPr>
      <w:r>
        <w:t>ADHS-Medikation: Nur 35–39% Persistenz nach fünf Jahren in Norwegen</w:t>
      </w:r>
    </w:p>
    <w:p>
      <w:r>
        <w:rPr>
          <w:i/>
          <w:color w:val="666666"/>
          <w:sz w:val="18"/>
        </w:rPr>
        <w:t>Anker E et al.  ·  Pharmacoepidemiol Drug Saf  ·  Okt. 2026  ·  PMID 42863890</w:t>
      </w:r>
    </w:p>
    <w:p>
      <w:r>
        <w:t>Norwegische Register-Kohortenstudie (n=33.706 Patienten) zu Langzeitbehandlungsmustern und Medikamentenwechsel bei ADHS mit 5-Jahres-Nachbeobachtung.</w:t>
      </w:r>
    </w:p>
    <w:p>
      <w:r>
        <w:rPr>
          <w:b/>
        </w:rPr>
        <w:t xml:space="preserve">Ergebnis: </w:t>
      </w:r>
      <w:r>
        <w:t>Fünfjahres-Persistenz: 39% Männer, 35% Frauen. 62,4% trafen die Definition von Non-Persistenz (Versorgungslücke ≥396 Tage). 41% ohne Wechsel, 26% mit ≥4 Wechseln während Nachbeobachtung. Erste Wechsel überwiegend innerhalb gleichen Wirkstoffs (80,9% Männer, 77,5% Frauen) statt zwischen Wirkstoffen (19,1% bzw. 22,5%). Bei Non-Persistenz war Methylphenidat letztes Medikament in 76% der Fälle; letzter Verordner war Hausarzt in 51,9% und Facharzt in 48,1%.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Arzneimittelregister, Versorgungskontinuität bei ADHS</w:t>
      </w:r>
    </w:p>
    <w:p>
      <w:r>
        <w:rPr>
          <w:color w:val="5A7D3A"/>
          <w:sz w:val="18"/>
        </w:rPr>
        <w:t>https://pubmed.ncbi.nlm.nih.gov/42863890/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2026-10-15T06:00:00Z</dcterms:created>
  <dcterms:modified xsi:type="dcterms:W3CDTF">2026-10-15T06:00:00Z</dcterms:modified>
  <cp:category/>
</cp:coreProperties>
</file>